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CD9" w:rsidRPr="00147CD9" w:rsidRDefault="00147CD9" w:rsidP="00147CD9">
      <w:pPr>
        <w:pStyle w:val="Heading3"/>
        <w:tabs>
          <w:tab w:val="left" w:pos="360"/>
        </w:tabs>
      </w:pPr>
      <w:r w:rsidRPr="003F070C">
        <w:rPr>
          <w:sz w:val="28"/>
        </w:rPr>
        <w:t>Smart Growth</w:t>
      </w:r>
      <w:r w:rsidR="009A1DE8">
        <w:rPr>
          <w:sz w:val="28"/>
        </w:rPr>
        <w:t xml:space="preserve"> Self</w:t>
      </w:r>
      <w:r w:rsidRPr="003F070C">
        <w:rPr>
          <w:sz w:val="28"/>
        </w:rPr>
        <w:t>-Assessment for Rural Communities</w:t>
      </w:r>
      <w:r w:rsidRPr="003F070C">
        <w:rPr>
          <w:sz w:val="24"/>
        </w:rPr>
        <w:br/>
      </w:r>
      <w:r>
        <w:rPr>
          <w:i/>
        </w:rPr>
        <w:t xml:space="preserve">Section III: </w:t>
      </w:r>
      <w:r w:rsidRPr="00147CD9">
        <w:rPr>
          <w:i/>
        </w:rPr>
        <w:t>Engage and Connect Community Members</w:t>
      </w:r>
      <w:r>
        <w:rPr>
          <w:i/>
        </w:rPr>
        <w:br/>
      </w:r>
      <w:r>
        <w:rPr>
          <w:b w:val="0"/>
          <w:i/>
        </w:rPr>
        <w:t>This tool is part of the Smart Growth Self-Assessment for Rural Communities, developed by the U.S. Environmental Protection Agency. EPA suggest</w:t>
      </w:r>
      <w:r w:rsidR="009A1DE8">
        <w:rPr>
          <w:b w:val="0"/>
          <w:i/>
        </w:rPr>
        <w:t>s</w:t>
      </w:r>
      <w:r>
        <w:rPr>
          <w:b w:val="0"/>
          <w:i/>
        </w:rPr>
        <w:t xml:space="preserve"> that communities using this tool </w:t>
      </w:r>
      <w:r w:rsidR="00D8015D">
        <w:rPr>
          <w:b w:val="0"/>
          <w:i/>
        </w:rPr>
        <w:t>complete Section I: “Revitalize Village and Town Center</w:t>
      </w:r>
      <w:r w:rsidR="009A1DE8">
        <w:rPr>
          <w:b w:val="0"/>
          <w:i/>
        </w:rPr>
        <w:t>s,</w:t>
      </w:r>
      <w:r w:rsidR="00D8015D">
        <w:rPr>
          <w:b w:val="0"/>
          <w:i/>
        </w:rPr>
        <w:t xml:space="preserve">” before </w:t>
      </w:r>
      <w:r>
        <w:rPr>
          <w:b w:val="0"/>
          <w:i/>
        </w:rPr>
        <w:t>filling out other sections. For more information and the tool’s other sections, see</w:t>
      </w:r>
      <w:r>
        <w:t xml:space="preserve"> </w:t>
      </w:r>
      <w:hyperlink r:id="rId8" w:history="1">
        <w:r w:rsidR="009A1DE8">
          <w:rPr>
            <w:rStyle w:val="Hyperlink"/>
            <w:b w:val="0"/>
            <w:i/>
          </w:rPr>
          <w:t>https://www.epa.gov/smartgrowth/smart-growth-self-assessment-rural-communities</w:t>
        </w:r>
      </w:hyperlink>
      <w:bookmarkStart w:id="0" w:name="_GoBack"/>
      <w:bookmarkEnd w:id="0"/>
      <w:r w:rsidRPr="003F070C">
        <w:rPr>
          <w:b w:val="0"/>
          <w:i/>
        </w:rPr>
        <w:t>.</w:t>
      </w:r>
    </w:p>
    <w:p w:rsidR="00147CD9" w:rsidRDefault="00147CD9" w:rsidP="002B60BB">
      <w:pPr>
        <w:pStyle w:val="Heading3"/>
        <w:tabs>
          <w:tab w:val="left" w:pos="360"/>
        </w:tabs>
      </w:pPr>
    </w:p>
    <w:p w:rsidR="002B60BB" w:rsidRPr="007B3406" w:rsidRDefault="002B60BB" w:rsidP="002B60BB">
      <w:r w:rsidRPr="00B04E8E">
        <w:t xml:space="preserve">Well-designed roads, sidewalks, buildings, public spaces, and other elements of the built environment support interaction among community members. </w:t>
      </w:r>
      <w:r>
        <w:t>N</w:t>
      </w:r>
      <w:r w:rsidRPr="00B04E8E">
        <w:t xml:space="preserve">ew communications tools, cultural events and festivals, and opportunities to participate in local government can </w:t>
      </w:r>
      <w:r>
        <w:t>also build c</w:t>
      </w:r>
      <w:r w:rsidRPr="00B04E8E">
        <w:t>apital, creating a sense of ownership and pride in a community.</w:t>
      </w:r>
      <w:r w:rsidRPr="007B3406">
        <w:t xml:space="preserve"> </w:t>
      </w:r>
    </w:p>
    <w:tbl>
      <w:tblPr>
        <w:tblStyle w:val="TableGrid"/>
        <w:tblW w:w="13680" w:type="dxa"/>
        <w:tblInd w:w="108" w:type="dxa"/>
        <w:tblLayout w:type="fixed"/>
        <w:tblLook w:val="04A0" w:firstRow="1" w:lastRow="0" w:firstColumn="1" w:lastColumn="0" w:noHBand="0" w:noVBand="1"/>
      </w:tblPr>
      <w:tblGrid>
        <w:gridCol w:w="9540"/>
        <w:gridCol w:w="1440"/>
        <w:gridCol w:w="1440"/>
        <w:gridCol w:w="1260"/>
      </w:tblGrid>
      <w:tr w:rsidR="002B60BB" w:rsidRPr="00EB03D3" w:rsidTr="002B60BB">
        <w:trPr>
          <w:cantSplit/>
          <w:trHeight w:val="773"/>
          <w:tblHeader/>
        </w:trPr>
        <w:tc>
          <w:tcPr>
            <w:tcW w:w="9540" w:type="dxa"/>
            <w:tcBorders>
              <w:bottom w:val="single" w:sz="4" w:space="0" w:color="auto"/>
            </w:tcBorders>
            <w:shd w:val="clear" w:color="auto" w:fill="000000" w:themeFill="text1"/>
            <w:vAlign w:val="center"/>
          </w:tcPr>
          <w:p w:rsidR="002B60BB" w:rsidRPr="00EB03D3" w:rsidRDefault="002B60BB" w:rsidP="002B60BB">
            <w:pPr>
              <w:spacing w:before="40" w:after="40"/>
              <w:rPr>
                <w:rStyle w:val="Emphasis"/>
              </w:rPr>
            </w:pPr>
            <w:r w:rsidRPr="00EB03D3">
              <w:rPr>
                <w:rStyle w:val="Emphasis"/>
              </w:rPr>
              <w:t>Goal: Engage and Connect Community Members</w:t>
            </w:r>
          </w:p>
        </w:tc>
        <w:tc>
          <w:tcPr>
            <w:tcW w:w="1440" w:type="dxa"/>
            <w:tcBorders>
              <w:bottom w:val="single" w:sz="4" w:space="0" w:color="auto"/>
            </w:tcBorders>
            <w:shd w:val="clear" w:color="auto" w:fill="000000" w:themeFill="text1"/>
            <w:vAlign w:val="center"/>
          </w:tcPr>
          <w:p w:rsidR="002B60BB" w:rsidRPr="00EB03D3" w:rsidRDefault="002B60BB" w:rsidP="002B60BB">
            <w:pPr>
              <w:spacing w:before="40" w:after="40"/>
              <w:jc w:val="center"/>
              <w:rPr>
                <w:rStyle w:val="Emphasis"/>
                <w:b w:val="0"/>
              </w:rPr>
            </w:pPr>
            <w:r w:rsidRPr="00EB03D3">
              <w:rPr>
                <w:rStyle w:val="Emphasis"/>
              </w:rPr>
              <w:t>Adopted?</w:t>
            </w:r>
          </w:p>
        </w:tc>
        <w:tc>
          <w:tcPr>
            <w:tcW w:w="1440" w:type="dxa"/>
            <w:tcBorders>
              <w:bottom w:val="single" w:sz="4" w:space="0" w:color="auto"/>
            </w:tcBorders>
            <w:shd w:val="clear" w:color="auto" w:fill="000000" w:themeFill="text1"/>
            <w:vAlign w:val="center"/>
          </w:tcPr>
          <w:p w:rsidR="002B60BB" w:rsidRPr="00EB03D3" w:rsidRDefault="002B60BB" w:rsidP="002B60BB">
            <w:pPr>
              <w:spacing w:before="40" w:after="40"/>
              <w:jc w:val="center"/>
              <w:rPr>
                <w:rStyle w:val="Emphasis"/>
                <w:b w:val="0"/>
              </w:rPr>
            </w:pPr>
            <w:r w:rsidRPr="00EB03D3">
              <w:rPr>
                <w:rStyle w:val="Emphasis"/>
              </w:rPr>
              <w:t>Add or Improve?</w:t>
            </w:r>
          </w:p>
        </w:tc>
        <w:tc>
          <w:tcPr>
            <w:tcW w:w="1260" w:type="dxa"/>
            <w:tcBorders>
              <w:bottom w:val="single" w:sz="4" w:space="0" w:color="auto"/>
            </w:tcBorders>
            <w:shd w:val="clear" w:color="auto" w:fill="000000" w:themeFill="text1"/>
            <w:vAlign w:val="center"/>
          </w:tcPr>
          <w:p w:rsidR="002B60BB" w:rsidRPr="00EB03D3" w:rsidRDefault="002B60BB" w:rsidP="002B60BB">
            <w:pPr>
              <w:spacing w:before="40" w:after="40"/>
              <w:jc w:val="center"/>
              <w:rPr>
                <w:rStyle w:val="Emphasis"/>
                <w:b w:val="0"/>
              </w:rPr>
            </w:pPr>
            <w:r w:rsidRPr="00EB03D3">
              <w:rPr>
                <w:rStyle w:val="Emphasis"/>
              </w:rPr>
              <w:t xml:space="preserve">Context </w:t>
            </w:r>
            <w:r w:rsidRPr="00EB03D3">
              <w:rPr>
                <w:rStyle w:val="Emphasis"/>
                <w:vertAlign w:val="superscript"/>
              </w:rPr>
              <w:footnoteReference w:id="1"/>
            </w:r>
          </w:p>
        </w:tc>
      </w:tr>
      <w:tr w:rsidR="002B60BB" w:rsidRPr="00EB03D3" w:rsidTr="002B60BB">
        <w:trPr>
          <w:cantSplit/>
        </w:trPr>
        <w:tc>
          <w:tcPr>
            <w:tcW w:w="9540" w:type="dxa"/>
            <w:tcBorders>
              <w:right w:val="nil"/>
            </w:tcBorders>
            <w:shd w:val="clear" w:color="auto" w:fill="95B3D7"/>
          </w:tcPr>
          <w:p w:rsidR="002B60BB" w:rsidRPr="00EB03D3" w:rsidRDefault="002B60BB" w:rsidP="002B60BB">
            <w:pPr>
              <w:pStyle w:val="tablequestions"/>
              <w:spacing w:before="40" w:after="40"/>
              <w:rPr>
                <w:rFonts w:asciiTheme="minorHAnsi" w:hAnsiTheme="minorHAnsi"/>
                <w:i/>
              </w:rPr>
            </w:pPr>
            <w:r w:rsidRPr="00EB03D3">
              <w:rPr>
                <w:rFonts w:asciiTheme="minorHAnsi" w:hAnsiTheme="minorHAnsi"/>
                <w:i/>
              </w:rPr>
              <w:t>Engaging the Public in the Planning Process</w:t>
            </w:r>
          </w:p>
        </w:tc>
        <w:tc>
          <w:tcPr>
            <w:tcW w:w="1440" w:type="dxa"/>
            <w:tcBorders>
              <w:left w:val="nil"/>
              <w:right w:val="nil"/>
            </w:tcBorders>
            <w:shd w:val="clear" w:color="auto" w:fill="95B3D7"/>
          </w:tcPr>
          <w:p w:rsidR="002B60BB" w:rsidRPr="00EB03D3" w:rsidRDefault="002B60BB" w:rsidP="002B60BB">
            <w:pPr>
              <w:pStyle w:val="tablequestions"/>
              <w:spacing w:before="40" w:after="40"/>
              <w:jc w:val="center"/>
              <w:rPr>
                <w:rFonts w:asciiTheme="minorHAnsi" w:hAnsiTheme="minorHAnsi"/>
              </w:rPr>
            </w:pPr>
          </w:p>
        </w:tc>
        <w:tc>
          <w:tcPr>
            <w:tcW w:w="1440" w:type="dxa"/>
            <w:tcBorders>
              <w:left w:val="nil"/>
              <w:right w:val="nil"/>
            </w:tcBorders>
            <w:shd w:val="clear" w:color="auto" w:fill="95B3D7"/>
          </w:tcPr>
          <w:p w:rsidR="002B60BB" w:rsidRPr="00EB03D3" w:rsidRDefault="002B60BB" w:rsidP="002B60BB">
            <w:pPr>
              <w:pStyle w:val="tablequestions"/>
              <w:spacing w:before="40" w:after="40"/>
              <w:jc w:val="center"/>
              <w:rPr>
                <w:rFonts w:asciiTheme="minorHAnsi" w:hAnsiTheme="minorHAnsi"/>
              </w:rPr>
            </w:pPr>
          </w:p>
        </w:tc>
        <w:tc>
          <w:tcPr>
            <w:tcW w:w="1260" w:type="dxa"/>
            <w:tcBorders>
              <w:left w:val="nil"/>
            </w:tcBorders>
            <w:shd w:val="clear" w:color="auto" w:fill="95B3D7"/>
          </w:tcPr>
          <w:p w:rsidR="002B60BB" w:rsidRPr="00EB03D3" w:rsidRDefault="002B60BB" w:rsidP="002B60BB">
            <w:pPr>
              <w:pStyle w:val="tablequestions"/>
              <w:spacing w:before="40" w:after="40"/>
              <w:rPr>
                <w:rFonts w:asciiTheme="minorHAnsi" w:hAnsiTheme="minorHAnsi"/>
              </w:rPr>
            </w:pPr>
          </w:p>
        </w:tc>
      </w:tr>
      <w:tr w:rsidR="002B60BB" w:rsidRPr="00EB03D3" w:rsidTr="002B60BB">
        <w:trPr>
          <w:cantSplit/>
        </w:trPr>
        <w:tc>
          <w:tcPr>
            <w:tcW w:w="9540" w:type="dxa"/>
            <w:shd w:val="clear" w:color="auto" w:fill="D9D9D9" w:themeFill="background1" w:themeFillShade="D9"/>
          </w:tcPr>
          <w:p w:rsidR="002B60BB" w:rsidRPr="00EB03D3" w:rsidRDefault="002B60BB" w:rsidP="002B60BB">
            <w:pPr>
              <w:pStyle w:val="tablequestions"/>
              <w:spacing w:before="40" w:after="40"/>
              <w:rPr>
                <w:rFonts w:asciiTheme="minorHAnsi" w:hAnsiTheme="minorHAnsi"/>
              </w:rPr>
            </w:pPr>
            <w:r w:rsidRPr="00EB03D3">
              <w:rPr>
                <w:rFonts w:asciiTheme="minorHAnsi" w:hAnsiTheme="minorHAnsi"/>
              </w:rPr>
              <w:t>Are public participation activities required during the planning process?</w:t>
            </w:r>
          </w:p>
        </w:tc>
        <w:tc>
          <w:tcPr>
            <w:tcW w:w="1440" w:type="dxa"/>
            <w:shd w:val="clear" w:color="auto" w:fill="D9D9D9" w:themeFill="background1" w:themeFillShade="D9"/>
          </w:tcPr>
          <w:p w:rsidR="002B60BB" w:rsidRPr="00EB03D3" w:rsidRDefault="002B60BB" w:rsidP="002B60BB">
            <w:pPr>
              <w:pStyle w:val="tablequestions"/>
              <w:spacing w:before="40" w:after="40"/>
              <w:jc w:val="center"/>
              <w:rPr>
                <w:rFonts w:asciiTheme="minorHAnsi" w:hAnsiTheme="minorHAnsi"/>
              </w:rPr>
            </w:pPr>
          </w:p>
        </w:tc>
        <w:tc>
          <w:tcPr>
            <w:tcW w:w="1440" w:type="dxa"/>
            <w:shd w:val="clear" w:color="auto" w:fill="D9D9D9" w:themeFill="background1" w:themeFillShade="D9"/>
          </w:tcPr>
          <w:p w:rsidR="002B60BB" w:rsidRPr="00EB03D3" w:rsidRDefault="002B60BB" w:rsidP="002B60BB">
            <w:pPr>
              <w:pStyle w:val="tablequestions"/>
              <w:spacing w:before="40" w:after="40"/>
              <w:jc w:val="center"/>
              <w:rPr>
                <w:rFonts w:asciiTheme="minorHAnsi" w:hAnsiTheme="minorHAnsi"/>
              </w:rPr>
            </w:pPr>
          </w:p>
        </w:tc>
        <w:tc>
          <w:tcPr>
            <w:tcW w:w="1260" w:type="dxa"/>
            <w:shd w:val="clear" w:color="auto" w:fill="D9D9D9" w:themeFill="background1" w:themeFillShade="D9"/>
          </w:tcPr>
          <w:p w:rsidR="002B60BB" w:rsidRPr="00EB03D3" w:rsidRDefault="002B60BB" w:rsidP="002B60BB">
            <w:pPr>
              <w:pStyle w:val="tablequestions"/>
              <w:spacing w:before="40" w:after="40"/>
              <w:rPr>
                <w:rFonts w:asciiTheme="minorHAnsi" w:hAnsiTheme="minorHAnsi"/>
              </w:rPr>
            </w:pPr>
          </w:p>
        </w:tc>
      </w:tr>
      <w:tr w:rsidR="002B60BB" w:rsidRPr="00EB03D3" w:rsidTr="002B60BB">
        <w:trPr>
          <w:cantSplit/>
        </w:trPr>
        <w:tc>
          <w:tcPr>
            <w:tcW w:w="9540" w:type="dxa"/>
          </w:tcPr>
          <w:p w:rsidR="002B60BB" w:rsidRPr="00EB03D3" w:rsidRDefault="002B60BB" w:rsidP="00EB7236">
            <w:pPr>
              <w:pStyle w:val="tabletext"/>
              <w:spacing w:before="40" w:after="40"/>
              <w:rPr>
                <w:rFonts w:asciiTheme="minorHAnsi" w:hAnsiTheme="minorHAnsi"/>
              </w:rPr>
            </w:pPr>
            <w:r w:rsidRPr="00EB03D3">
              <w:rPr>
                <w:rFonts w:asciiTheme="minorHAnsi" w:hAnsiTheme="minorHAnsi"/>
              </w:rPr>
              <w:t>Strategy 1: The City/Town establishes a formal group and a robust and meaningful public engagement process to provide good planning advice to elected officials.</w:t>
            </w:r>
            <w:r w:rsidRPr="00EB03D3">
              <w:rPr>
                <w:rStyle w:val="FootnoteReference"/>
                <w:rFonts w:asciiTheme="minorHAnsi" w:hAnsiTheme="minorHAnsi"/>
              </w:rPr>
              <w:footnoteReference w:id="2"/>
            </w:r>
            <w:r w:rsidRPr="00EB03D3">
              <w:rPr>
                <w:rFonts w:asciiTheme="minorHAnsi" w:hAnsiTheme="minorHAnsi"/>
                <w:vertAlign w:val="superscript"/>
              </w:rPr>
              <w:t>,</w:t>
            </w:r>
            <w:r w:rsidRPr="00EB03D3">
              <w:rPr>
                <w:rStyle w:val="FootnoteReference"/>
                <w:rFonts w:asciiTheme="minorHAnsi" w:hAnsiTheme="minorHAnsi"/>
              </w:rPr>
              <w:footnoteReference w:id="3"/>
            </w:r>
            <w:r w:rsidRPr="00EB03D3">
              <w:rPr>
                <w:rFonts w:asciiTheme="minorHAnsi" w:hAnsiTheme="minorHAnsi"/>
                <w:vertAlign w:val="superscript"/>
              </w:rPr>
              <w:t>,</w:t>
            </w:r>
            <w:bookmarkStart w:id="1" w:name="_Ref353378915"/>
            <w:r w:rsidRPr="00EB03D3">
              <w:rPr>
                <w:rStyle w:val="FootnoteReference"/>
                <w:rFonts w:asciiTheme="minorHAnsi" w:hAnsiTheme="minorHAnsi"/>
              </w:rPr>
              <w:footnoteReference w:id="4"/>
            </w:r>
            <w:bookmarkEnd w:id="1"/>
            <w:r w:rsidRPr="00EB03D3">
              <w:rPr>
                <w:rFonts w:asciiTheme="minorHAnsi" w:hAnsiTheme="minorHAnsi"/>
              </w:rPr>
              <w:t xml:space="preserve"> </w:t>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EB7236" w:rsidRPr="00EB7236">
              <w:rPr>
                <w:rFonts w:asciiTheme="minorHAnsi" w:hAnsiTheme="minorHAnsi"/>
                <w:i/>
                <w:noProof/>
                <w:color w:val="FF0000"/>
              </w:rPr>
              <w:t>[Enter</w:t>
            </w:r>
            <w:r w:rsidR="00F15B96">
              <w:rPr>
                <w:rFonts w:asciiTheme="minorHAnsi" w:hAnsiTheme="minorHAnsi"/>
                <w:i/>
                <w:noProof/>
                <w:color w:val="FF0000"/>
              </w:rPr>
              <w:t xml:space="preserve"> optional</w:t>
            </w:r>
            <w:r w:rsidR="00EB7236" w:rsidRPr="00EB7236">
              <w:rPr>
                <w:rFonts w:asciiTheme="minorHAnsi" w:hAnsiTheme="minorHAnsi"/>
                <w:i/>
                <w:noProof/>
                <w:color w:val="FF0000"/>
              </w:rPr>
              <w:t xml:space="preserve"> notes in gray boxes for all strategies]</w:t>
            </w:r>
            <w:r w:rsidR="00403F57" w:rsidRPr="00EB03D3">
              <w:rPr>
                <w:rFonts w:asciiTheme="minorHAnsi" w:hAnsiTheme="minorHAnsi"/>
                <w:i/>
                <w:color w:val="FF0000"/>
              </w:rPr>
              <w:fldChar w:fldCharType="end"/>
            </w:r>
          </w:p>
        </w:tc>
        <w:sdt>
          <w:sdtPr>
            <w:rPr>
              <w:rFonts w:asciiTheme="minorHAnsi" w:hAnsiTheme="minorHAnsi"/>
            </w:rPr>
            <w:id w:val="-1479222704"/>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428797723"/>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5E5915">
            <w:pPr>
              <w:pStyle w:val="tabletext"/>
              <w:spacing w:before="40" w:after="40"/>
              <w:rPr>
                <w:rFonts w:asciiTheme="minorHAnsi" w:hAnsiTheme="minorHAnsi"/>
              </w:rPr>
            </w:pPr>
            <w:r w:rsidRPr="00EB03D3">
              <w:rPr>
                <w:rFonts w:asciiTheme="minorHAnsi" w:hAnsiTheme="minorHAnsi"/>
              </w:rPr>
              <w:t>Strategy 2: A public design meeting or charrette is required for planned unit development projects.</w:t>
            </w:r>
            <w:r w:rsidRPr="00EB03D3">
              <w:rPr>
                <w:rStyle w:val="FootnoteReference"/>
                <w:rFonts w:asciiTheme="minorHAnsi" w:hAnsiTheme="minorHAnsi"/>
              </w:rPr>
              <w:footnoteReference w:id="5"/>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403F57" w:rsidRPr="00EB03D3">
              <w:rPr>
                <w:rFonts w:asciiTheme="minorHAnsi" w:hAnsiTheme="minorHAnsi"/>
                <w:i/>
                <w:color w:val="FF0000"/>
              </w:rPr>
              <w:fldChar w:fldCharType="end"/>
            </w:r>
          </w:p>
        </w:tc>
        <w:sdt>
          <w:sdtPr>
            <w:rPr>
              <w:rFonts w:asciiTheme="minorHAnsi" w:hAnsiTheme="minorHAnsi"/>
            </w:rPr>
            <w:id w:val="1230032808"/>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71127429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spacing w:before="40" w:after="40"/>
              <w:rPr>
                <w:rFonts w:asciiTheme="minorHAnsi" w:hAnsiTheme="minorHAnsi"/>
              </w:rPr>
            </w:pPr>
            <w:r w:rsidRPr="00EB03D3">
              <w:rPr>
                <w:rFonts w:asciiTheme="minorHAnsi" w:hAnsiTheme="minorHAnsi"/>
              </w:rPr>
              <w:t>Strategy 3: Codes require abutting property owners to be notified about potential rezoning, subdivision, or redevelopment proposals so that they can attend the public meetings if they have opinions or concerns.</w:t>
            </w:r>
            <w:r w:rsidRPr="00EB03D3">
              <w:rPr>
                <w:rStyle w:val="FootnoteReference"/>
                <w:rFonts w:asciiTheme="minorHAnsi" w:hAnsiTheme="minorHAnsi"/>
              </w:rPr>
              <w:footnoteReference w:id="6"/>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961333667"/>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955476384"/>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5E5915">
            <w:pPr>
              <w:pStyle w:val="tabletext"/>
              <w:spacing w:before="40" w:after="40"/>
              <w:rPr>
                <w:rFonts w:asciiTheme="minorHAnsi" w:hAnsiTheme="minorHAnsi"/>
              </w:rPr>
            </w:pPr>
            <w:r w:rsidRPr="00EB03D3">
              <w:rPr>
                <w:rFonts w:asciiTheme="minorHAnsi" w:hAnsiTheme="minorHAnsi"/>
              </w:rPr>
              <w:t>Strategy 4: A public review process is required for rezoning.</w:t>
            </w:r>
            <w:r w:rsidRPr="00EB03D3">
              <w:rPr>
                <w:rStyle w:val="FootnoteReference"/>
                <w:rFonts w:asciiTheme="minorHAnsi" w:hAnsiTheme="minorHAnsi"/>
              </w:rPr>
              <w:footnoteReference w:id="7"/>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5E5915">
              <w:rPr>
                <w:rFonts w:asciiTheme="minorHAnsi" w:hAnsiTheme="minorHAnsi"/>
                <w:i/>
                <w:color w:val="FF0000"/>
              </w:rPr>
              <w:t> </w:t>
            </w:r>
            <w:r w:rsidR="00403F57" w:rsidRPr="00EB03D3">
              <w:rPr>
                <w:rFonts w:asciiTheme="minorHAnsi" w:hAnsiTheme="minorHAnsi"/>
                <w:i/>
                <w:color w:val="FF0000"/>
              </w:rPr>
              <w:fldChar w:fldCharType="end"/>
            </w:r>
          </w:p>
        </w:tc>
        <w:sdt>
          <w:sdtPr>
            <w:rPr>
              <w:rFonts w:asciiTheme="minorHAnsi" w:hAnsiTheme="minorHAnsi"/>
            </w:rPr>
            <w:id w:val="478190398"/>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97850876"/>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spacing w:before="40" w:after="40"/>
              <w:rPr>
                <w:rFonts w:asciiTheme="minorHAnsi" w:hAnsiTheme="minorHAnsi"/>
              </w:rPr>
            </w:pPr>
            <w:r w:rsidRPr="00EB03D3">
              <w:rPr>
                <w:rFonts w:asciiTheme="minorHAnsi" w:hAnsiTheme="minorHAnsi"/>
              </w:rPr>
              <w:lastRenderedPageBreak/>
              <w:t>Strategy 5: Public participation is required in development of neighborhood plans, comprehensive plan updates, and long-range transportation plans.</w:t>
            </w:r>
            <w:r w:rsidRPr="00EB03D3">
              <w:rPr>
                <w:rStyle w:val="FootnoteReference"/>
                <w:rFonts w:asciiTheme="minorHAnsi" w:hAnsiTheme="minorHAnsi"/>
              </w:rPr>
              <w:footnoteReference w:id="8"/>
            </w:r>
            <w:r w:rsidRPr="00EB03D3">
              <w:rPr>
                <w:rFonts w:asciiTheme="minorHAnsi" w:hAnsiTheme="minorHAnsi"/>
                <w:vertAlign w:val="superscript"/>
              </w:rPr>
              <w:t>,</w:t>
            </w:r>
            <w:r w:rsidRPr="00EB03D3">
              <w:rPr>
                <w:rStyle w:val="FootnoteReference"/>
                <w:rFonts w:asciiTheme="minorHAnsi" w:hAnsiTheme="minorHAnsi"/>
              </w:rPr>
              <w:footnoteReference w:id="9"/>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960993416"/>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137998104"/>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w:t>
            </w:r>
          </w:p>
        </w:tc>
      </w:tr>
      <w:tr w:rsidR="002B60BB" w:rsidRPr="00EB03D3" w:rsidTr="002B60BB">
        <w:trPr>
          <w:cantSplit/>
        </w:trPr>
        <w:tc>
          <w:tcPr>
            <w:tcW w:w="9540" w:type="dxa"/>
            <w:tcBorders>
              <w:right w:val="nil"/>
            </w:tcBorders>
            <w:shd w:val="clear" w:color="auto" w:fill="95B3D7"/>
          </w:tcPr>
          <w:p w:rsidR="002B60BB" w:rsidRPr="00EB03D3" w:rsidRDefault="002B60BB" w:rsidP="002B60BB">
            <w:pPr>
              <w:pStyle w:val="tablequestions"/>
              <w:spacing w:before="40" w:after="40"/>
              <w:rPr>
                <w:rFonts w:asciiTheme="minorHAnsi" w:hAnsiTheme="minorHAnsi"/>
                <w:i/>
              </w:rPr>
            </w:pPr>
            <w:r w:rsidRPr="00EB03D3">
              <w:rPr>
                <w:rFonts w:asciiTheme="minorHAnsi" w:hAnsiTheme="minorHAnsi"/>
                <w:i/>
              </w:rPr>
              <w:t>Using Design Elements That Encourage Interaction</w:t>
            </w:r>
          </w:p>
        </w:tc>
        <w:tc>
          <w:tcPr>
            <w:tcW w:w="1440" w:type="dxa"/>
            <w:tcBorders>
              <w:left w:val="nil"/>
              <w:right w:val="nil"/>
            </w:tcBorders>
            <w:shd w:val="clear" w:color="auto" w:fill="95B3D7"/>
          </w:tcPr>
          <w:p w:rsidR="002B60BB" w:rsidRPr="00EB03D3" w:rsidRDefault="002B60BB" w:rsidP="002B60BB">
            <w:pPr>
              <w:pStyle w:val="tablequestions"/>
              <w:spacing w:before="40" w:after="40"/>
              <w:jc w:val="center"/>
              <w:rPr>
                <w:rFonts w:asciiTheme="minorHAnsi" w:hAnsiTheme="minorHAnsi"/>
              </w:rPr>
            </w:pPr>
          </w:p>
        </w:tc>
        <w:tc>
          <w:tcPr>
            <w:tcW w:w="1440" w:type="dxa"/>
            <w:tcBorders>
              <w:left w:val="nil"/>
              <w:right w:val="nil"/>
            </w:tcBorders>
            <w:shd w:val="clear" w:color="auto" w:fill="95B3D7"/>
          </w:tcPr>
          <w:p w:rsidR="002B60BB" w:rsidRPr="00EB03D3" w:rsidRDefault="002B60BB" w:rsidP="002B60BB">
            <w:pPr>
              <w:pStyle w:val="tablequestions"/>
              <w:spacing w:before="40" w:after="40"/>
              <w:jc w:val="center"/>
              <w:rPr>
                <w:rFonts w:asciiTheme="minorHAnsi" w:hAnsiTheme="minorHAnsi"/>
              </w:rPr>
            </w:pPr>
          </w:p>
        </w:tc>
        <w:tc>
          <w:tcPr>
            <w:tcW w:w="1260" w:type="dxa"/>
            <w:tcBorders>
              <w:left w:val="nil"/>
            </w:tcBorders>
            <w:shd w:val="clear" w:color="auto" w:fill="95B3D7"/>
          </w:tcPr>
          <w:p w:rsidR="002B60BB" w:rsidRPr="00EB03D3" w:rsidRDefault="002B60BB" w:rsidP="002B60BB">
            <w:pPr>
              <w:pStyle w:val="tablequestions"/>
              <w:spacing w:before="40" w:after="40"/>
              <w:rPr>
                <w:rFonts w:asciiTheme="minorHAnsi" w:hAnsiTheme="minorHAnsi"/>
              </w:rPr>
            </w:pPr>
          </w:p>
        </w:tc>
      </w:tr>
      <w:tr w:rsidR="002B60BB" w:rsidRPr="00EB03D3" w:rsidTr="002B60BB">
        <w:trPr>
          <w:cantSplit/>
        </w:trPr>
        <w:tc>
          <w:tcPr>
            <w:tcW w:w="9540" w:type="dxa"/>
            <w:shd w:val="clear" w:color="auto" w:fill="D9D9D9" w:themeFill="background1" w:themeFillShade="D9"/>
          </w:tcPr>
          <w:p w:rsidR="002B60BB" w:rsidRPr="00EB03D3" w:rsidRDefault="002B60BB" w:rsidP="002B60BB">
            <w:pPr>
              <w:pStyle w:val="tablequestions"/>
              <w:spacing w:before="40" w:after="40"/>
              <w:rPr>
                <w:rFonts w:asciiTheme="minorHAnsi" w:hAnsiTheme="minorHAnsi"/>
              </w:rPr>
            </w:pPr>
            <w:r w:rsidRPr="00EB03D3">
              <w:rPr>
                <w:rFonts w:asciiTheme="minorHAnsi" w:hAnsiTheme="minorHAnsi"/>
              </w:rPr>
              <w:t>Do codes require design elements that promote community interaction?</w:t>
            </w:r>
          </w:p>
        </w:tc>
        <w:tc>
          <w:tcPr>
            <w:tcW w:w="1440" w:type="dxa"/>
            <w:shd w:val="clear" w:color="auto" w:fill="D9D9D9" w:themeFill="background1" w:themeFillShade="D9"/>
          </w:tcPr>
          <w:p w:rsidR="002B60BB" w:rsidRPr="00EB03D3" w:rsidRDefault="002B60BB" w:rsidP="002B60BB">
            <w:pPr>
              <w:pStyle w:val="tablequestions"/>
              <w:spacing w:before="40" w:after="40"/>
              <w:jc w:val="center"/>
              <w:rPr>
                <w:rFonts w:asciiTheme="minorHAnsi" w:hAnsiTheme="minorHAnsi"/>
              </w:rPr>
            </w:pPr>
          </w:p>
        </w:tc>
        <w:tc>
          <w:tcPr>
            <w:tcW w:w="1440" w:type="dxa"/>
            <w:shd w:val="clear" w:color="auto" w:fill="D9D9D9" w:themeFill="background1" w:themeFillShade="D9"/>
          </w:tcPr>
          <w:p w:rsidR="002B60BB" w:rsidRPr="00EB03D3" w:rsidRDefault="002B60BB" w:rsidP="002B60BB">
            <w:pPr>
              <w:pStyle w:val="tablequestions"/>
              <w:spacing w:before="40" w:after="40"/>
              <w:jc w:val="center"/>
              <w:rPr>
                <w:rFonts w:asciiTheme="minorHAnsi" w:hAnsiTheme="minorHAnsi"/>
              </w:rPr>
            </w:pPr>
          </w:p>
        </w:tc>
        <w:tc>
          <w:tcPr>
            <w:tcW w:w="1260" w:type="dxa"/>
            <w:shd w:val="clear" w:color="auto" w:fill="D9D9D9" w:themeFill="background1" w:themeFillShade="D9"/>
          </w:tcPr>
          <w:p w:rsidR="002B60BB" w:rsidRPr="00EB03D3" w:rsidRDefault="002B60BB" w:rsidP="002B60BB">
            <w:pPr>
              <w:pStyle w:val="tablequestions"/>
              <w:spacing w:before="40" w:after="40"/>
              <w:rPr>
                <w:rFonts w:asciiTheme="minorHAnsi" w:hAnsiTheme="minorHAnsi"/>
              </w:rPr>
            </w:pPr>
          </w:p>
        </w:tc>
      </w:tr>
      <w:tr w:rsidR="002B60BB" w:rsidRPr="00EB03D3" w:rsidTr="002B60BB">
        <w:trPr>
          <w:cantSplit/>
        </w:trPr>
        <w:tc>
          <w:tcPr>
            <w:tcW w:w="9540" w:type="dxa"/>
          </w:tcPr>
          <w:p w:rsidR="002B60BB" w:rsidRPr="00EB03D3" w:rsidRDefault="002B60BB" w:rsidP="002B60BB">
            <w:pPr>
              <w:pStyle w:val="tabletext"/>
              <w:spacing w:before="40" w:after="40"/>
              <w:rPr>
                <w:rFonts w:asciiTheme="minorHAnsi" w:hAnsiTheme="minorHAnsi"/>
              </w:rPr>
            </w:pPr>
            <w:r w:rsidRPr="00EB03D3">
              <w:rPr>
                <w:rFonts w:asciiTheme="minorHAnsi" w:hAnsiTheme="minorHAnsi"/>
              </w:rPr>
              <w:t>Strategy 6: Zoning includes a traditional neighborhood zoning overlay district that requires design elements that encourage interaction such as sidewalks, front porches, and community parks.</w:t>
            </w:r>
            <w:r w:rsidRPr="00EB03D3">
              <w:rPr>
                <w:rStyle w:val="FootnoteReference"/>
                <w:rFonts w:asciiTheme="minorHAnsi" w:hAnsiTheme="minorHAnsi"/>
              </w:rPr>
              <w:footnoteReference w:id="10"/>
            </w:r>
            <w:r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637029817"/>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158504442"/>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40" w:after="4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40" w:after="4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Borders>
              <w:bottom w:val="single" w:sz="4" w:space="0" w:color="auto"/>
            </w:tcBorders>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7: Subdivision regulations require sidewalks on new streets.</w:t>
            </w:r>
            <w:r w:rsidRPr="00EB03D3">
              <w:rPr>
                <w:rStyle w:val="FootnoteReference"/>
                <w:rFonts w:asciiTheme="minorHAnsi" w:hAnsiTheme="minorHAnsi"/>
              </w:rPr>
              <w:footnoteReference w:id="11"/>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296483077"/>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38553464"/>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Borders>
              <w:bottom w:val="single" w:sz="4" w:space="0" w:color="auto"/>
            </w:tcBorders>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8: Subdivision regulations ensure good street connectivity by requiring connections in and between neighborhoods.</w:t>
            </w:r>
            <w:r w:rsidRPr="00EB03D3">
              <w:rPr>
                <w:rStyle w:val="FootnoteReference"/>
                <w:rFonts w:asciiTheme="minorHAnsi" w:hAnsiTheme="minorHAnsi"/>
              </w:rPr>
              <w:footnoteReference w:id="12"/>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265306618"/>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423111813"/>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Borders>
              <w:bottom w:val="single" w:sz="4" w:space="0" w:color="auto"/>
            </w:tcBorders>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9: Codes establish minimum standards for parks and open space in new developments, which includes developing around existing civic gathering spaces.</w:t>
            </w:r>
            <w:r w:rsidRPr="00EB03D3">
              <w:rPr>
                <w:rStyle w:val="FootnoteReference"/>
                <w:rFonts w:asciiTheme="minorHAnsi" w:hAnsiTheme="minorHAnsi"/>
              </w:rPr>
              <w:footnoteReference w:id="13"/>
            </w:r>
            <w:r w:rsidRPr="00EB03D3">
              <w:rPr>
                <w:rFonts w:asciiTheme="minorHAnsi" w:hAnsiTheme="minorHAnsi"/>
                <w:vertAlign w:val="superscript"/>
              </w:rPr>
              <w:t>,</w:t>
            </w:r>
            <w:r w:rsidRPr="00EB03D3">
              <w:rPr>
                <w:rStyle w:val="FootnoteReference"/>
                <w:rFonts w:asciiTheme="minorHAnsi" w:hAnsiTheme="minorHAnsi"/>
              </w:rPr>
              <w:footnoteReference w:id="14"/>
            </w:r>
            <w:r w:rsidRPr="00EB03D3">
              <w:rPr>
                <w:rFonts w:asciiTheme="minorHAnsi" w:hAnsiTheme="minorHAnsi"/>
                <w:vertAlign w:val="superscript"/>
              </w:rPr>
              <w:t>,</w:t>
            </w:r>
            <w:r w:rsidRPr="00EB03D3">
              <w:rPr>
                <w:rStyle w:val="FootnoteReference"/>
                <w:rFonts w:asciiTheme="minorHAnsi" w:hAnsiTheme="minorHAnsi"/>
              </w:rPr>
              <w:footnoteReference w:id="15"/>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145695859"/>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582419289"/>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Borders>
              <w:right w:val="nil"/>
            </w:tcBorders>
            <w:shd w:val="clear" w:color="auto" w:fill="C2D69B"/>
          </w:tcPr>
          <w:p w:rsidR="002B60BB" w:rsidRPr="00EB03D3" w:rsidRDefault="002B60BB" w:rsidP="002B60BB">
            <w:pPr>
              <w:pStyle w:val="tablequestions"/>
              <w:spacing w:before="50" w:after="50"/>
              <w:rPr>
                <w:rFonts w:asciiTheme="minorHAnsi" w:hAnsiTheme="minorHAnsi"/>
                <w:i/>
              </w:rPr>
            </w:pPr>
            <w:r w:rsidRPr="00EB03D3">
              <w:rPr>
                <w:rFonts w:asciiTheme="minorHAnsi" w:hAnsiTheme="minorHAnsi"/>
                <w:i/>
              </w:rPr>
              <w:t>Engaging and Connecting Community Members Through Planning and Policies</w:t>
            </w:r>
          </w:p>
        </w:tc>
        <w:tc>
          <w:tcPr>
            <w:tcW w:w="1440" w:type="dxa"/>
            <w:tcBorders>
              <w:left w:val="nil"/>
              <w:right w:val="nil"/>
            </w:tcBorders>
            <w:shd w:val="clear" w:color="auto" w:fill="C2D69B"/>
          </w:tcPr>
          <w:p w:rsidR="002B60BB" w:rsidRPr="00EB03D3" w:rsidRDefault="002B60BB" w:rsidP="002B60BB">
            <w:pPr>
              <w:pStyle w:val="tablequestions"/>
              <w:spacing w:before="50" w:after="50"/>
              <w:jc w:val="center"/>
              <w:rPr>
                <w:rFonts w:asciiTheme="minorHAnsi" w:hAnsiTheme="minorHAnsi"/>
              </w:rPr>
            </w:pPr>
          </w:p>
        </w:tc>
        <w:tc>
          <w:tcPr>
            <w:tcW w:w="1440" w:type="dxa"/>
            <w:tcBorders>
              <w:left w:val="nil"/>
              <w:right w:val="nil"/>
            </w:tcBorders>
            <w:shd w:val="clear" w:color="auto" w:fill="C2D69B"/>
          </w:tcPr>
          <w:p w:rsidR="002B60BB" w:rsidRPr="00EB03D3" w:rsidRDefault="002B60BB" w:rsidP="002B60BB">
            <w:pPr>
              <w:pStyle w:val="tablequestions"/>
              <w:spacing w:before="50" w:after="50"/>
              <w:jc w:val="center"/>
              <w:rPr>
                <w:rFonts w:asciiTheme="minorHAnsi" w:hAnsiTheme="minorHAnsi"/>
              </w:rPr>
            </w:pPr>
          </w:p>
        </w:tc>
        <w:tc>
          <w:tcPr>
            <w:tcW w:w="1260" w:type="dxa"/>
            <w:tcBorders>
              <w:left w:val="nil"/>
            </w:tcBorders>
            <w:shd w:val="clear" w:color="auto" w:fill="C2D69B"/>
          </w:tcPr>
          <w:p w:rsidR="002B60BB" w:rsidRPr="00EB03D3" w:rsidRDefault="002B60BB" w:rsidP="002B60BB">
            <w:pPr>
              <w:pStyle w:val="tablequestions"/>
              <w:spacing w:before="50" w:after="50"/>
              <w:rPr>
                <w:rFonts w:asciiTheme="minorHAnsi" w:hAnsiTheme="minorHAnsi"/>
              </w:rPr>
            </w:pPr>
          </w:p>
        </w:tc>
      </w:tr>
      <w:tr w:rsidR="002B60BB" w:rsidRPr="00EB03D3" w:rsidTr="002B60BB">
        <w:trPr>
          <w:cantSplit/>
        </w:trPr>
        <w:tc>
          <w:tcPr>
            <w:tcW w:w="9540" w:type="dxa"/>
            <w:shd w:val="clear" w:color="auto" w:fill="D9D9D9" w:themeFill="background1" w:themeFillShade="D9"/>
          </w:tcPr>
          <w:p w:rsidR="002B60BB" w:rsidRPr="00EB03D3" w:rsidRDefault="002B60BB" w:rsidP="002B60BB">
            <w:pPr>
              <w:pStyle w:val="tablequestions"/>
              <w:spacing w:before="50" w:after="50"/>
              <w:rPr>
                <w:rFonts w:asciiTheme="minorHAnsi" w:hAnsiTheme="minorHAnsi"/>
              </w:rPr>
            </w:pPr>
            <w:r w:rsidRPr="00EB03D3">
              <w:rPr>
                <w:rFonts w:asciiTheme="minorHAnsi" w:hAnsiTheme="minorHAnsi"/>
              </w:rPr>
              <w:t xml:space="preserve">Do planning documents or local government policies support development of community-shared spaces? </w:t>
            </w:r>
          </w:p>
        </w:tc>
        <w:tc>
          <w:tcPr>
            <w:tcW w:w="1440" w:type="dxa"/>
            <w:shd w:val="clear" w:color="auto" w:fill="D9D9D9" w:themeFill="background1" w:themeFillShade="D9"/>
          </w:tcPr>
          <w:p w:rsidR="002B60BB" w:rsidRPr="00EB03D3" w:rsidRDefault="002B60BB" w:rsidP="002B60BB">
            <w:pPr>
              <w:pStyle w:val="tablequestions"/>
              <w:spacing w:before="50" w:after="50"/>
              <w:jc w:val="center"/>
              <w:rPr>
                <w:rFonts w:asciiTheme="minorHAnsi" w:hAnsiTheme="minorHAnsi"/>
              </w:rPr>
            </w:pPr>
          </w:p>
        </w:tc>
        <w:tc>
          <w:tcPr>
            <w:tcW w:w="1440" w:type="dxa"/>
            <w:shd w:val="clear" w:color="auto" w:fill="D9D9D9" w:themeFill="background1" w:themeFillShade="D9"/>
          </w:tcPr>
          <w:p w:rsidR="002B60BB" w:rsidRPr="00EB03D3" w:rsidRDefault="002B60BB" w:rsidP="002B60BB">
            <w:pPr>
              <w:pStyle w:val="tablequestions"/>
              <w:spacing w:before="50" w:after="50"/>
              <w:jc w:val="center"/>
              <w:rPr>
                <w:rFonts w:asciiTheme="minorHAnsi" w:hAnsiTheme="minorHAnsi"/>
              </w:rPr>
            </w:pPr>
          </w:p>
        </w:tc>
        <w:tc>
          <w:tcPr>
            <w:tcW w:w="1260" w:type="dxa"/>
            <w:shd w:val="clear" w:color="auto" w:fill="D9D9D9" w:themeFill="background1" w:themeFillShade="D9"/>
          </w:tcPr>
          <w:p w:rsidR="002B60BB" w:rsidRPr="00EB03D3" w:rsidRDefault="002B60BB" w:rsidP="002B60BB">
            <w:pPr>
              <w:pStyle w:val="tablequestions"/>
              <w:spacing w:before="50" w:after="50"/>
              <w:rPr>
                <w:rFonts w:asciiTheme="minorHAnsi" w:hAnsiTheme="minorHAnsi"/>
              </w:rPr>
            </w:pP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10: Plans identify potential areas for traditional neighborhood development.</w:t>
            </w:r>
            <w:r w:rsidRPr="00EB03D3">
              <w:rPr>
                <w:rStyle w:val="FootnoteReference"/>
                <w:rFonts w:asciiTheme="minorHAnsi" w:hAnsiTheme="minorHAnsi"/>
              </w:rPr>
              <w:footnoteReference w:id="16"/>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668093898"/>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933198812"/>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11: Plans encourage a mix of uses and space for social gatherings, such as parks, churches, community centers, schools, and other facilities, in new neighborhood developments.</w:t>
            </w:r>
            <w:r w:rsidRPr="00EB03D3">
              <w:rPr>
                <w:rStyle w:val="FootnoteReference"/>
                <w:rFonts w:asciiTheme="minorHAnsi" w:hAnsiTheme="minorHAnsi"/>
              </w:rPr>
              <w:footnoteReference w:id="17"/>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903719505"/>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41967493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Borders>
              <w:bottom w:val="single" w:sz="4" w:space="0" w:color="auto"/>
            </w:tcBorders>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12: The community owns or has a long-term lease on properties for a centrally located venue such as a stage, farmers’ market, park, or other gathering space.</w:t>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228064161"/>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655138531"/>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rPr>
            </w:pPr>
            <w:r w:rsidRPr="00EB03D3">
              <w:rPr>
                <w:rFonts w:asciiTheme="minorHAnsi" w:hAnsiTheme="minorHAnsi"/>
              </w:rPr>
              <w:t>Strategy 13: Identify or provide public space for a community garden.</w:t>
            </w:r>
            <w:r w:rsidRPr="00EB03D3">
              <w:rPr>
                <w:rStyle w:val="FootnoteReference"/>
                <w:rFonts w:asciiTheme="minorHAnsi" w:hAnsiTheme="minorHAnsi"/>
              </w:rPr>
              <w:footnoteReference w:id="18"/>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71484966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20563660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shd w:val="clear" w:color="auto" w:fill="D9D9D9" w:themeFill="background1" w:themeFillShade="D9"/>
          </w:tcPr>
          <w:p w:rsidR="002B60BB" w:rsidRPr="00EB03D3" w:rsidRDefault="002B60BB" w:rsidP="002B60BB">
            <w:pPr>
              <w:pStyle w:val="tabletext"/>
              <w:spacing w:before="50" w:after="50"/>
              <w:rPr>
                <w:rFonts w:asciiTheme="minorHAnsi" w:hAnsiTheme="minorHAnsi"/>
                <w:b/>
              </w:rPr>
            </w:pPr>
            <w:r w:rsidRPr="00EB03D3">
              <w:rPr>
                <w:rFonts w:asciiTheme="minorHAnsi" w:hAnsiTheme="minorHAnsi"/>
                <w:b/>
              </w:rPr>
              <w:lastRenderedPageBreak/>
              <w:t>Do planning processes or government policies promote strong community engagement?</w:t>
            </w:r>
          </w:p>
        </w:tc>
        <w:tc>
          <w:tcPr>
            <w:tcW w:w="1440" w:type="dxa"/>
            <w:shd w:val="clear" w:color="auto" w:fill="D9D9D9" w:themeFill="background1" w:themeFillShade="D9"/>
          </w:tcPr>
          <w:p w:rsidR="002B60BB" w:rsidRPr="00EB03D3" w:rsidRDefault="002B60BB" w:rsidP="002B60BB">
            <w:pPr>
              <w:pStyle w:val="tabletext"/>
              <w:spacing w:before="50" w:after="50"/>
              <w:jc w:val="center"/>
              <w:rPr>
                <w:rFonts w:asciiTheme="minorHAnsi" w:hAnsiTheme="minorHAnsi"/>
              </w:rPr>
            </w:pPr>
          </w:p>
        </w:tc>
        <w:tc>
          <w:tcPr>
            <w:tcW w:w="1440" w:type="dxa"/>
            <w:shd w:val="clear" w:color="auto" w:fill="D9D9D9" w:themeFill="background1" w:themeFillShade="D9"/>
          </w:tcPr>
          <w:p w:rsidR="002B60BB" w:rsidRPr="00EB03D3" w:rsidRDefault="002B60BB" w:rsidP="002B60BB">
            <w:pPr>
              <w:pStyle w:val="tabletext"/>
              <w:spacing w:before="50" w:after="50"/>
              <w:jc w:val="center"/>
              <w:rPr>
                <w:rFonts w:asciiTheme="minorHAnsi" w:hAnsiTheme="minorHAnsi"/>
              </w:rPr>
            </w:pPr>
          </w:p>
        </w:tc>
        <w:tc>
          <w:tcPr>
            <w:tcW w:w="1260" w:type="dxa"/>
            <w:shd w:val="clear" w:color="auto" w:fill="D9D9D9" w:themeFill="background1" w:themeFillShade="D9"/>
          </w:tcPr>
          <w:p w:rsidR="002B60BB" w:rsidRPr="00EB03D3" w:rsidRDefault="002B60BB" w:rsidP="002B60BB">
            <w:pPr>
              <w:pStyle w:val="tabletext"/>
              <w:spacing w:before="50" w:after="50"/>
              <w:jc w:val="center"/>
              <w:rPr>
                <w:rFonts w:asciiTheme="minorHAnsi" w:hAnsiTheme="minorHAnsi"/>
              </w:rPr>
            </w:pP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szCs w:val="20"/>
              </w:rPr>
            </w:pPr>
            <w:r w:rsidRPr="00EB03D3">
              <w:rPr>
                <w:rFonts w:asciiTheme="minorHAnsi" w:hAnsiTheme="minorHAnsi"/>
                <w:szCs w:val="20"/>
              </w:rPr>
              <w:t>Strategy 14: Hold regular community meetings, in locations and at times that allow people on different schedules and in different parts of the community to attend, to encourage public participation in developing plans and other land use regulations.</w:t>
            </w:r>
            <w:r w:rsidRPr="00EB03D3">
              <w:rPr>
                <w:rStyle w:val="FootnoteReference"/>
                <w:rFonts w:asciiTheme="minorHAnsi" w:hAnsiTheme="minorHAnsi"/>
                <w:szCs w:val="20"/>
              </w:rPr>
              <w:footnoteReference w:id="19"/>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559209160"/>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884325543"/>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szCs w:val="20"/>
              </w:rPr>
            </w:pPr>
            <w:r w:rsidRPr="00EB03D3">
              <w:rPr>
                <w:rFonts w:asciiTheme="minorHAnsi" w:hAnsiTheme="minorHAnsi"/>
                <w:szCs w:val="20"/>
              </w:rPr>
              <w:t>Strategy 15: Translate public meeting materials into the languages used by predominant minority populations in the community.</w:t>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2066100269"/>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047185966"/>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spacing w:before="50" w:after="50"/>
              <w:rPr>
                <w:rFonts w:asciiTheme="minorHAnsi" w:hAnsiTheme="minorHAnsi"/>
                <w:szCs w:val="20"/>
              </w:rPr>
            </w:pPr>
            <w:r w:rsidRPr="00EB03D3">
              <w:rPr>
                <w:rFonts w:asciiTheme="minorHAnsi" w:hAnsiTheme="minorHAnsi"/>
                <w:szCs w:val="20"/>
              </w:rPr>
              <w:t>Strategy 16: Translation services are available for meetings where attendees speak English as a second language.</w:t>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321574825"/>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932963417"/>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spacing w:before="50" w:after="50"/>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spacing w:before="50" w:after="50"/>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szCs w:val="20"/>
              </w:rPr>
            </w:pPr>
            <w:r w:rsidRPr="00EB03D3">
              <w:rPr>
                <w:rFonts w:asciiTheme="minorHAnsi" w:hAnsiTheme="minorHAnsi"/>
                <w:szCs w:val="20"/>
              </w:rPr>
              <w:t>Strategy 17: The local government or a partner conducts community assessments, such as walking audits, to collect information about local needs and opportunities.</w:t>
            </w:r>
            <w:r w:rsidRPr="00EB03D3">
              <w:rPr>
                <w:rStyle w:val="FootnoteReference"/>
                <w:rFonts w:asciiTheme="minorHAnsi" w:hAnsiTheme="minorHAnsi"/>
                <w:szCs w:val="20"/>
              </w:rPr>
              <w:footnoteReference w:id="20"/>
            </w:r>
            <w:r w:rsidRPr="00EB03D3">
              <w:rPr>
                <w:rFonts w:asciiTheme="minorHAnsi" w:hAnsiTheme="minorHAnsi"/>
                <w:szCs w:val="20"/>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00617374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948275404"/>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szCs w:val="20"/>
              </w:rPr>
            </w:pPr>
            <w:r w:rsidRPr="00EB03D3">
              <w:rPr>
                <w:rFonts w:asciiTheme="minorHAnsi" w:hAnsiTheme="minorHAnsi"/>
                <w:szCs w:val="20"/>
              </w:rPr>
              <w:t>Strategy 18: Form citizen advisory councils community-wide, or for individual neighborhoods to provide input on development review and policy decisions.</w:t>
            </w:r>
            <w:r w:rsidRPr="00EB03D3">
              <w:rPr>
                <w:rFonts w:asciiTheme="minorHAnsi" w:hAnsiTheme="minorHAnsi"/>
                <w:szCs w:val="20"/>
                <w:vertAlign w:val="superscript"/>
              </w:rPr>
              <w:fldChar w:fldCharType="begin"/>
            </w:r>
            <w:r w:rsidRPr="00EB03D3">
              <w:rPr>
                <w:rFonts w:asciiTheme="minorHAnsi" w:hAnsiTheme="minorHAnsi"/>
                <w:szCs w:val="20"/>
                <w:vertAlign w:val="superscript"/>
              </w:rPr>
              <w:instrText xml:space="preserve"> NOTEREF _Ref353378915 \h  \* MERGEFORMAT </w:instrText>
            </w:r>
            <w:r w:rsidRPr="00EB03D3">
              <w:rPr>
                <w:rFonts w:asciiTheme="minorHAnsi" w:hAnsiTheme="minorHAnsi"/>
                <w:szCs w:val="20"/>
                <w:vertAlign w:val="superscript"/>
              </w:rPr>
            </w:r>
            <w:r w:rsidRPr="00EB03D3">
              <w:rPr>
                <w:rFonts w:asciiTheme="minorHAnsi" w:hAnsiTheme="minorHAnsi"/>
                <w:szCs w:val="20"/>
                <w:vertAlign w:val="superscript"/>
              </w:rPr>
              <w:fldChar w:fldCharType="separate"/>
            </w:r>
            <w:r w:rsidRPr="00EB03D3">
              <w:rPr>
                <w:rFonts w:asciiTheme="minorHAnsi" w:hAnsiTheme="minorHAnsi"/>
                <w:szCs w:val="20"/>
                <w:vertAlign w:val="superscript"/>
              </w:rPr>
              <w:t>132</w:t>
            </w:r>
            <w:r w:rsidRPr="00EB03D3">
              <w:rPr>
                <w:rFonts w:asciiTheme="minorHAnsi" w:hAnsiTheme="minorHAnsi"/>
                <w:szCs w:val="20"/>
                <w:vertAlign w:val="superscript"/>
              </w:rPr>
              <w:fldChar w:fldCharType="end"/>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262966787"/>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589348739"/>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19: Surveys elicit feedback from residents on various community issues.</w:t>
            </w:r>
            <w:r w:rsidRPr="00EB03D3">
              <w:rPr>
                <w:rStyle w:val="FootnoteReference"/>
                <w:rFonts w:asciiTheme="minorHAnsi" w:hAnsiTheme="minorHAnsi"/>
              </w:rPr>
              <w:footnoteReference w:id="21"/>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269284944"/>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051853150"/>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20: Websites, social media tools, or public access television stations provide broadcasts or recordings of community meetings for those unable to attend in person.</w:t>
            </w:r>
            <w:r w:rsidRPr="00EB03D3">
              <w:rPr>
                <w:rStyle w:val="FootnoteReference"/>
                <w:rFonts w:asciiTheme="minorHAnsi" w:hAnsiTheme="minorHAnsi"/>
              </w:rPr>
              <w:footnoteReference w:id="22"/>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273023589"/>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857183503"/>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21: The local government or a partner distributes a weekly bulletin of community meetings via email, local paper, direct-mailers, or others forms of communication accessible to everyone.</w:t>
            </w:r>
            <w:r w:rsidRPr="00EB03D3">
              <w:rPr>
                <w:rStyle w:val="FootnoteReference"/>
                <w:rFonts w:asciiTheme="minorHAnsi" w:hAnsiTheme="minorHAnsi"/>
              </w:rPr>
              <w:footnoteReference w:id="23"/>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909448690"/>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248547155"/>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Borders>
              <w:right w:val="nil"/>
            </w:tcBorders>
            <w:shd w:val="clear" w:color="auto" w:fill="FABF8F"/>
          </w:tcPr>
          <w:p w:rsidR="002B60BB" w:rsidRPr="00EB03D3" w:rsidRDefault="002B60BB" w:rsidP="002B60BB">
            <w:pPr>
              <w:pStyle w:val="tablequestions"/>
              <w:rPr>
                <w:rFonts w:asciiTheme="minorHAnsi" w:hAnsiTheme="minorHAnsi"/>
                <w:i/>
              </w:rPr>
            </w:pPr>
            <w:r w:rsidRPr="00EB03D3">
              <w:rPr>
                <w:rFonts w:asciiTheme="minorHAnsi" w:hAnsiTheme="minorHAnsi"/>
                <w:i/>
              </w:rPr>
              <w:t>Engaging and Connecting Community Members Through Programs and Services</w:t>
            </w:r>
          </w:p>
        </w:tc>
        <w:tc>
          <w:tcPr>
            <w:tcW w:w="1440" w:type="dxa"/>
            <w:tcBorders>
              <w:left w:val="nil"/>
              <w:right w:val="nil"/>
            </w:tcBorders>
            <w:shd w:val="clear" w:color="auto" w:fill="FABF8F"/>
          </w:tcPr>
          <w:p w:rsidR="002B60BB" w:rsidRPr="00EB03D3" w:rsidRDefault="002B60BB" w:rsidP="002B60BB">
            <w:pPr>
              <w:pStyle w:val="tablequestions"/>
              <w:jc w:val="center"/>
              <w:rPr>
                <w:rFonts w:asciiTheme="minorHAnsi" w:hAnsiTheme="minorHAnsi"/>
              </w:rPr>
            </w:pPr>
          </w:p>
        </w:tc>
        <w:tc>
          <w:tcPr>
            <w:tcW w:w="1440" w:type="dxa"/>
            <w:tcBorders>
              <w:left w:val="nil"/>
              <w:right w:val="nil"/>
            </w:tcBorders>
            <w:shd w:val="clear" w:color="auto" w:fill="FABF8F"/>
          </w:tcPr>
          <w:p w:rsidR="002B60BB" w:rsidRPr="00EB03D3" w:rsidRDefault="002B60BB" w:rsidP="002B60BB">
            <w:pPr>
              <w:pStyle w:val="tablequestions"/>
              <w:jc w:val="center"/>
              <w:rPr>
                <w:rFonts w:asciiTheme="minorHAnsi" w:hAnsiTheme="minorHAnsi"/>
              </w:rPr>
            </w:pPr>
          </w:p>
        </w:tc>
        <w:tc>
          <w:tcPr>
            <w:tcW w:w="1260" w:type="dxa"/>
            <w:tcBorders>
              <w:left w:val="nil"/>
            </w:tcBorders>
            <w:shd w:val="clear" w:color="auto" w:fill="FABF8F"/>
          </w:tcPr>
          <w:p w:rsidR="002B60BB" w:rsidRPr="00EB03D3" w:rsidRDefault="002B60BB" w:rsidP="002B60BB">
            <w:pPr>
              <w:pStyle w:val="tablequestions"/>
              <w:rPr>
                <w:rFonts w:asciiTheme="minorHAnsi" w:hAnsiTheme="minorHAnsi"/>
              </w:rPr>
            </w:pPr>
          </w:p>
        </w:tc>
      </w:tr>
      <w:tr w:rsidR="002B60BB" w:rsidRPr="00EB03D3" w:rsidTr="002B60BB">
        <w:trPr>
          <w:cantSplit/>
        </w:trPr>
        <w:tc>
          <w:tcPr>
            <w:tcW w:w="9540" w:type="dxa"/>
            <w:shd w:val="clear" w:color="auto" w:fill="D9D9D9" w:themeFill="background1" w:themeFillShade="D9"/>
          </w:tcPr>
          <w:p w:rsidR="002B60BB" w:rsidRPr="00EB03D3" w:rsidRDefault="002B60BB" w:rsidP="002B60BB">
            <w:pPr>
              <w:pStyle w:val="tablequestions"/>
              <w:rPr>
                <w:rFonts w:asciiTheme="minorHAnsi" w:hAnsiTheme="minorHAnsi"/>
              </w:rPr>
            </w:pPr>
            <w:r w:rsidRPr="00EB03D3">
              <w:rPr>
                <w:rFonts w:asciiTheme="minorHAnsi" w:hAnsiTheme="minorHAnsi"/>
              </w:rPr>
              <w:t>Are community, cultural, or business coordination events supported through programs or services?</w:t>
            </w:r>
          </w:p>
        </w:tc>
        <w:tc>
          <w:tcPr>
            <w:tcW w:w="1440" w:type="dxa"/>
            <w:shd w:val="clear" w:color="auto" w:fill="D9D9D9" w:themeFill="background1" w:themeFillShade="D9"/>
          </w:tcPr>
          <w:p w:rsidR="002B60BB" w:rsidRPr="00EB03D3" w:rsidRDefault="002B60BB" w:rsidP="002B60BB">
            <w:pPr>
              <w:pStyle w:val="tablequestions"/>
              <w:jc w:val="center"/>
              <w:rPr>
                <w:rFonts w:asciiTheme="minorHAnsi" w:hAnsiTheme="minorHAnsi"/>
              </w:rPr>
            </w:pPr>
          </w:p>
        </w:tc>
        <w:tc>
          <w:tcPr>
            <w:tcW w:w="1440" w:type="dxa"/>
            <w:shd w:val="clear" w:color="auto" w:fill="D9D9D9" w:themeFill="background1" w:themeFillShade="D9"/>
          </w:tcPr>
          <w:p w:rsidR="002B60BB" w:rsidRPr="00EB03D3" w:rsidRDefault="002B60BB" w:rsidP="002B60BB">
            <w:pPr>
              <w:pStyle w:val="tablequestions"/>
              <w:jc w:val="center"/>
              <w:rPr>
                <w:rFonts w:asciiTheme="minorHAnsi" w:hAnsiTheme="minorHAnsi"/>
              </w:rPr>
            </w:pPr>
          </w:p>
        </w:tc>
        <w:tc>
          <w:tcPr>
            <w:tcW w:w="1260" w:type="dxa"/>
            <w:shd w:val="clear" w:color="auto" w:fill="D9D9D9" w:themeFill="background1" w:themeFillShade="D9"/>
          </w:tcPr>
          <w:p w:rsidR="002B60BB" w:rsidRPr="00EB03D3" w:rsidRDefault="002B60BB" w:rsidP="002B60BB">
            <w:pPr>
              <w:pStyle w:val="tablequestions"/>
              <w:rPr>
                <w:rFonts w:asciiTheme="minorHAnsi" w:hAnsiTheme="minorHAnsi"/>
              </w:rPr>
            </w:pP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22: Local school clubs or groups engage in civic activities to build interest in and commitment to improving the community.</w:t>
            </w:r>
            <w:r w:rsidRPr="00EB03D3">
              <w:rPr>
                <w:rStyle w:val="FootnoteReference"/>
                <w:rFonts w:asciiTheme="minorHAnsi" w:hAnsiTheme="minorHAnsi"/>
              </w:rPr>
              <w:footnoteReference w:id="24"/>
            </w:r>
            <w:r w:rsidRPr="00EB03D3">
              <w:rPr>
                <w:rFonts w:asciiTheme="minorHAnsi" w:hAnsiTheme="minorHAnsi"/>
              </w:rPr>
              <w:t xml:space="preserve"> </w:t>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737855733"/>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465499543"/>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Borders>
              <w:bottom w:val="single" w:sz="4" w:space="0" w:color="auto"/>
            </w:tcBorders>
          </w:tcPr>
          <w:p w:rsidR="002B60BB" w:rsidRPr="00EB03D3" w:rsidRDefault="002B60BB" w:rsidP="002B60BB">
            <w:pPr>
              <w:pStyle w:val="tabletext"/>
              <w:rPr>
                <w:rFonts w:asciiTheme="minorHAnsi" w:hAnsiTheme="minorHAnsi"/>
              </w:rPr>
            </w:pPr>
            <w:r w:rsidRPr="00EB03D3">
              <w:rPr>
                <w:rFonts w:asciiTheme="minorHAnsi" w:hAnsiTheme="minorHAnsi"/>
              </w:rPr>
              <w:lastRenderedPageBreak/>
              <w:t>Strategy 23: The local government designates a special events coordinator to support seasonal community activities.</w:t>
            </w:r>
            <w:r w:rsidRPr="00EB03D3">
              <w:rPr>
                <w:rStyle w:val="FootnoteReference"/>
                <w:rFonts w:asciiTheme="minorHAnsi" w:hAnsiTheme="minorHAnsi"/>
              </w:rPr>
              <w:footnoteReference w:id="25"/>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099293126"/>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861270242"/>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2B60BB">
            <w:pPr>
              <w:pStyle w:val="tabletext"/>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24: The local government works with local civic youth groups (e.g., YMCA or Big Brothers) to identify community health and social needs.</w:t>
            </w:r>
            <w:r w:rsidRPr="00EB03D3">
              <w:rPr>
                <w:rStyle w:val="FootnoteReference"/>
                <w:rFonts w:asciiTheme="minorHAnsi" w:hAnsiTheme="minorHAnsi"/>
              </w:rPr>
              <w:footnoteReference w:id="26"/>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287863446"/>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804615178"/>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2B60BB">
            <w:pPr>
              <w:pStyle w:val="tabletext"/>
              <w:rPr>
                <w:rFonts w:asciiTheme="minorHAnsi" w:hAnsiTheme="minorHAnsi"/>
              </w:rPr>
            </w:pPr>
            <w:r w:rsidRPr="00EB03D3">
              <w:rPr>
                <w:rFonts w:asciiTheme="minorHAnsi" w:hAnsiTheme="minorHAnsi"/>
              </w:rPr>
              <w:t>Strategy 25: The community provides programs and incentives to help residents share resources, co-produce, and create their own jobs through a sharing economy.</w:t>
            </w:r>
            <w:r w:rsidRPr="00EB03D3">
              <w:rPr>
                <w:rStyle w:val="FootnoteReference"/>
                <w:rFonts w:asciiTheme="minorHAnsi" w:hAnsiTheme="minorHAnsi"/>
              </w:rPr>
              <w:footnoteReference w:id="27"/>
            </w:r>
            <w:r w:rsidRPr="00EB03D3">
              <w:rPr>
                <w:rFonts w:asciiTheme="minorHAnsi" w:hAnsiTheme="minorHAnsi"/>
                <w:vertAlign w:val="superscript"/>
              </w:rPr>
              <w:t>,</w:t>
            </w:r>
            <w:r w:rsidRPr="00EB03D3">
              <w:rPr>
                <w:rStyle w:val="FootnoteReference"/>
                <w:rFonts w:asciiTheme="minorHAnsi" w:hAnsiTheme="minorHAnsi"/>
              </w:rPr>
              <w:footnoteReference w:id="28"/>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915385941"/>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257574370"/>
            <w14:checkbox>
              <w14:checked w14:val="0"/>
              <w14:checkedState w14:val="2612" w14:font="MS Gothic"/>
              <w14:uncheckedState w14:val="2610" w14:font="MS Gothic"/>
            </w14:checkbox>
          </w:sdtPr>
          <w:sdtEndPr/>
          <w:sdtContent>
            <w:tc>
              <w:tcPr>
                <w:tcW w:w="1440" w:type="dxa"/>
              </w:tcPr>
              <w:p w:rsidR="002B60BB" w:rsidRPr="00EB03D3" w:rsidRDefault="002B60BB" w:rsidP="002B60BB">
                <w:pPr>
                  <w:pStyle w:val="tabletext"/>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2B60BB">
            <w:pPr>
              <w:pStyle w:val="tabletext"/>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shd w:val="clear" w:color="auto" w:fill="D9D9D9" w:themeFill="background1" w:themeFillShade="D9"/>
          </w:tcPr>
          <w:p w:rsidR="002B60BB" w:rsidRPr="00EB03D3" w:rsidRDefault="002B60BB" w:rsidP="00403F57">
            <w:pPr>
              <w:pStyle w:val="tabletext"/>
              <w:spacing w:before="34" w:after="34"/>
              <w:rPr>
                <w:rFonts w:asciiTheme="minorHAnsi" w:hAnsiTheme="minorHAnsi"/>
                <w:b/>
              </w:rPr>
            </w:pPr>
            <w:r w:rsidRPr="00EB03D3">
              <w:rPr>
                <w:rFonts w:asciiTheme="minorHAnsi" w:hAnsiTheme="minorHAnsi"/>
                <w:b/>
              </w:rPr>
              <w:t>Are there programs to facilitate better community interaction?</w:t>
            </w:r>
          </w:p>
        </w:tc>
        <w:tc>
          <w:tcPr>
            <w:tcW w:w="144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c>
          <w:tcPr>
            <w:tcW w:w="144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c>
          <w:tcPr>
            <w:tcW w:w="126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26: The local government or a partner hosts periodic community meals to bring together residents to discuss topical local issues.</w:t>
            </w:r>
            <w:r w:rsidRPr="00EB03D3">
              <w:rPr>
                <w:rStyle w:val="FootnoteReference"/>
                <w:rFonts w:asciiTheme="minorHAnsi" w:hAnsiTheme="minorHAnsi"/>
              </w:rPr>
              <w:footnoteReference w:id="29"/>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750497515"/>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409384711"/>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1,2, 3</w:t>
            </w:r>
          </w:p>
        </w:tc>
      </w:tr>
      <w:tr w:rsidR="002B60BB" w:rsidRPr="00EB03D3" w:rsidTr="002B60BB">
        <w:trPr>
          <w:cantSplit/>
        </w:trPr>
        <w:tc>
          <w:tcPr>
            <w:tcW w:w="9540" w:type="dxa"/>
            <w:tcBorders>
              <w:bottom w:val="single" w:sz="4" w:space="0" w:color="auto"/>
            </w:tcBorders>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27: Local events such as fairs or school sports games include a kiosk or information booth to provide information about upcoming planning activities or other community issues.</w:t>
            </w:r>
            <w:r w:rsidRPr="00EB03D3">
              <w:rPr>
                <w:rStyle w:val="FootnoteReference"/>
                <w:rFonts w:asciiTheme="minorHAnsi" w:hAnsiTheme="minorHAnsi"/>
              </w:rPr>
              <w:footnoteReference w:id="30"/>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099288185"/>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448045793"/>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Borders>
              <w:bottom w:val="single" w:sz="4" w:space="0" w:color="auto"/>
            </w:tcBorders>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28: Bulletins and newsletters of local organizations, such as churches, provide information about upcoming planning activities or other community issues.</w:t>
            </w:r>
            <w:r w:rsidRPr="00EB03D3">
              <w:rPr>
                <w:rStyle w:val="FootnoteReference"/>
                <w:rFonts w:asciiTheme="minorHAnsi" w:hAnsiTheme="minorHAnsi"/>
              </w:rPr>
              <w:footnoteReference w:id="31"/>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597645074"/>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609318454"/>
            <w14:checkbox>
              <w14:checked w14:val="0"/>
              <w14:checkedState w14:val="2612" w14:font="MS Gothic"/>
              <w14:uncheckedState w14:val="2610" w14:font="MS Gothic"/>
            </w14:checkbox>
          </w:sdtPr>
          <w:sdtEndPr/>
          <w:sdtContent>
            <w:tc>
              <w:tcPr>
                <w:tcW w:w="144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Borders>
              <w:bottom w:val="single" w:sz="4" w:space="0" w:color="auto"/>
            </w:tcBorders>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shd w:val="clear" w:color="auto" w:fill="auto"/>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29: The community has walking tours to inform residents about community history and assets.</w:t>
            </w:r>
            <w:r w:rsidRPr="00EB03D3">
              <w:rPr>
                <w:rStyle w:val="FootnoteReference"/>
                <w:rFonts w:asciiTheme="minorHAnsi" w:hAnsiTheme="minorHAnsi"/>
              </w:rPr>
              <w:footnoteReference w:id="32"/>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766111423"/>
            <w14:checkbox>
              <w14:checked w14:val="0"/>
              <w14:checkedState w14:val="2612" w14:font="MS Gothic"/>
              <w14:uncheckedState w14:val="2610" w14:font="MS Gothic"/>
            </w14:checkbox>
          </w:sdtPr>
          <w:sdtEndPr/>
          <w:sdtContent>
            <w:tc>
              <w:tcPr>
                <w:tcW w:w="1440" w:type="dxa"/>
                <w:shd w:val="clear" w:color="auto" w:fill="auto"/>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2108723555"/>
            <w14:checkbox>
              <w14:checked w14:val="0"/>
              <w14:checkedState w14:val="2612" w14:font="MS Gothic"/>
              <w14:uncheckedState w14:val="2610" w14:font="MS Gothic"/>
            </w14:checkbox>
          </w:sdtPr>
          <w:sdtEndPr/>
          <w:sdtContent>
            <w:tc>
              <w:tcPr>
                <w:tcW w:w="1440" w:type="dxa"/>
                <w:shd w:val="clear" w:color="auto" w:fill="auto"/>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shd w:val="clear" w:color="auto" w:fill="auto"/>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 xml:space="preserve">Strategy 30: </w:t>
            </w:r>
            <w:r w:rsidRPr="00EB03D3">
              <w:rPr>
                <w:rFonts w:asciiTheme="minorHAnsi" w:hAnsiTheme="minorHAnsi"/>
                <w:spacing w:val="-6"/>
              </w:rPr>
              <w:t>Coordinate with downtown merchants on seasonal or locally relevant downtown window display themes.</w:t>
            </w:r>
            <w:r w:rsidRPr="00EB03D3">
              <w:rPr>
                <w:rStyle w:val="FootnoteReference"/>
                <w:rFonts w:asciiTheme="minorHAnsi" w:hAnsiTheme="minorHAnsi"/>
              </w:rPr>
              <w:footnoteReference w:id="33"/>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432750048"/>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676496616"/>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31: The community has buy-local and community gardening educational programs.</w:t>
            </w:r>
            <w:r w:rsidRPr="00EB03D3">
              <w:rPr>
                <w:rStyle w:val="FootnoteReference"/>
                <w:rFonts w:asciiTheme="minorHAnsi" w:hAnsiTheme="minorHAnsi"/>
              </w:rPr>
              <w:footnoteReference w:id="34"/>
            </w:r>
            <w:r w:rsidRPr="00EB03D3">
              <w:rPr>
                <w:rFonts w:asciiTheme="minorHAnsi" w:hAnsiTheme="minorHAnsi"/>
                <w:vertAlign w:val="superscript"/>
              </w:rPr>
              <w:t>,</w:t>
            </w:r>
            <w:r w:rsidRPr="00EB03D3">
              <w:rPr>
                <w:rStyle w:val="FootnoteReference"/>
                <w:rFonts w:asciiTheme="minorHAnsi" w:hAnsiTheme="minorHAnsi"/>
              </w:rPr>
              <w:footnoteReference w:id="35"/>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918402488"/>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43507303"/>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32: The community hosts monthly cleanup days.</w:t>
            </w:r>
            <w:r w:rsidRPr="00EB03D3">
              <w:rPr>
                <w:rStyle w:val="FootnoteReference"/>
                <w:rFonts w:asciiTheme="minorHAnsi" w:hAnsiTheme="minorHAnsi"/>
              </w:rPr>
              <w:footnoteReference w:id="36"/>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844553042"/>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767031212"/>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r w:rsidR="002B60BB" w:rsidRPr="00EB03D3" w:rsidTr="002B60BB">
        <w:trPr>
          <w:cantSplit/>
        </w:trPr>
        <w:tc>
          <w:tcPr>
            <w:tcW w:w="9540" w:type="dxa"/>
            <w:shd w:val="clear" w:color="auto" w:fill="D9D9D9" w:themeFill="background1" w:themeFillShade="D9"/>
          </w:tcPr>
          <w:p w:rsidR="002B60BB" w:rsidRPr="00EB03D3" w:rsidRDefault="002B60BB" w:rsidP="00403F57">
            <w:pPr>
              <w:pStyle w:val="tabletext"/>
              <w:spacing w:before="34" w:after="34"/>
              <w:rPr>
                <w:rFonts w:asciiTheme="minorHAnsi" w:hAnsiTheme="minorHAnsi"/>
                <w:b/>
              </w:rPr>
            </w:pPr>
            <w:r w:rsidRPr="00EB03D3">
              <w:rPr>
                <w:rFonts w:asciiTheme="minorHAnsi" w:hAnsiTheme="minorHAnsi"/>
                <w:b/>
              </w:rPr>
              <w:lastRenderedPageBreak/>
              <w:t>Does the local government have an online presence to educate residents and visitors about available services and foster communication?</w:t>
            </w:r>
          </w:p>
        </w:tc>
        <w:tc>
          <w:tcPr>
            <w:tcW w:w="144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c>
          <w:tcPr>
            <w:tcW w:w="144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c>
          <w:tcPr>
            <w:tcW w:w="1260" w:type="dxa"/>
            <w:shd w:val="clear" w:color="auto" w:fill="D9D9D9" w:themeFill="background1" w:themeFillShade="D9"/>
          </w:tcPr>
          <w:p w:rsidR="002B60BB" w:rsidRPr="00EB03D3" w:rsidRDefault="002B60BB" w:rsidP="00403F57">
            <w:pPr>
              <w:pStyle w:val="tabletext"/>
              <w:spacing w:before="34" w:after="34"/>
              <w:jc w:val="center"/>
              <w:rPr>
                <w:rFonts w:asciiTheme="minorHAnsi" w:hAnsiTheme="minorHAnsi"/>
              </w:rPr>
            </w:pP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33: The local government offers online information such as agendas, meeting minutes, contact information, and land use information through multiple platforms (e.g., website or Facebook) and formats (e.g., PDF documents or GIS map application).</w:t>
            </w:r>
            <w:r w:rsidRPr="00EB03D3">
              <w:rPr>
                <w:rStyle w:val="FootnoteReference"/>
                <w:rFonts w:asciiTheme="minorHAnsi" w:hAnsiTheme="minorHAnsi"/>
              </w:rPr>
              <w:footnoteReference w:id="37"/>
            </w:r>
            <w:r w:rsidRPr="00EB03D3">
              <w:rPr>
                <w:rFonts w:asciiTheme="minorHAnsi" w:hAnsiTheme="minorHAnsi"/>
                <w:vertAlign w:val="superscript"/>
              </w:rPr>
              <w:t>,</w:t>
            </w:r>
            <w:r w:rsidRPr="00EB03D3">
              <w:rPr>
                <w:rStyle w:val="FootnoteReference"/>
                <w:rFonts w:asciiTheme="minorHAnsi" w:hAnsiTheme="minorHAnsi"/>
              </w:rPr>
              <w:footnoteReference w:id="38"/>
            </w:r>
            <w:r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1129672685"/>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1018584102"/>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w:t>
            </w:r>
          </w:p>
        </w:tc>
      </w:tr>
      <w:tr w:rsidR="002B60BB" w:rsidRPr="00EB03D3" w:rsidTr="002B60BB">
        <w:trPr>
          <w:cantSplit/>
        </w:trPr>
        <w:tc>
          <w:tcPr>
            <w:tcW w:w="9540" w:type="dxa"/>
          </w:tcPr>
          <w:p w:rsidR="002B60BB" w:rsidRPr="00EB03D3" w:rsidRDefault="002B60BB" w:rsidP="00403F57">
            <w:pPr>
              <w:pStyle w:val="tabletext"/>
              <w:spacing w:before="34" w:after="34"/>
              <w:rPr>
                <w:rFonts w:asciiTheme="minorHAnsi" w:hAnsiTheme="minorHAnsi"/>
              </w:rPr>
            </w:pPr>
            <w:r w:rsidRPr="00EB03D3">
              <w:rPr>
                <w:rFonts w:asciiTheme="minorHAnsi" w:hAnsiTheme="minorHAnsi"/>
              </w:rPr>
              <w:t>Strategy 34: The local government uses social media and a website to communicate with the public and solicit feedback.</w:t>
            </w:r>
            <w:r w:rsidRPr="00EB03D3">
              <w:rPr>
                <w:rStyle w:val="FootnoteReference"/>
                <w:rFonts w:asciiTheme="minorHAnsi" w:hAnsiTheme="minorHAnsi"/>
              </w:rPr>
              <w:footnoteReference w:id="39"/>
            </w:r>
            <w:r w:rsidR="00403F57" w:rsidRPr="00EB03D3">
              <w:rPr>
                <w:rFonts w:asciiTheme="minorHAnsi" w:hAnsiTheme="minorHAnsi"/>
              </w:rPr>
              <w:t xml:space="preserve"> </w:t>
            </w:r>
            <w:r w:rsidR="00403F57" w:rsidRPr="00EB03D3">
              <w:rPr>
                <w:rFonts w:asciiTheme="minorHAnsi" w:hAnsiTheme="minorHAnsi"/>
                <w:i/>
                <w:color w:val="FF0000"/>
              </w:rPr>
              <w:fldChar w:fldCharType="begin">
                <w:ffData>
                  <w:name w:val="Text1"/>
                  <w:enabled/>
                  <w:calcOnExit w:val="0"/>
                  <w:textInput/>
                </w:ffData>
              </w:fldChar>
            </w:r>
            <w:r w:rsidR="00403F57" w:rsidRPr="00EB03D3">
              <w:rPr>
                <w:rFonts w:asciiTheme="minorHAnsi" w:hAnsiTheme="minorHAnsi"/>
                <w:i/>
                <w:color w:val="FF0000"/>
              </w:rPr>
              <w:instrText xml:space="preserve"> FORMTEXT </w:instrText>
            </w:r>
            <w:r w:rsidR="00403F57" w:rsidRPr="00EB03D3">
              <w:rPr>
                <w:rFonts w:asciiTheme="minorHAnsi" w:hAnsiTheme="minorHAnsi"/>
                <w:i/>
                <w:color w:val="FF0000"/>
              </w:rPr>
            </w:r>
            <w:r w:rsidR="00403F57" w:rsidRPr="00EB03D3">
              <w:rPr>
                <w:rFonts w:asciiTheme="minorHAnsi" w:hAnsiTheme="minorHAnsi"/>
                <w:i/>
                <w:color w:val="FF0000"/>
              </w:rPr>
              <w:fldChar w:fldCharType="separate"/>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noProof/>
                <w:color w:val="FF0000"/>
              </w:rPr>
              <w:t> </w:t>
            </w:r>
            <w:r w:rsidR="00403F57" w:rsidRPr="00EB03D3">
              <w:rPr>
                <w:rFonts w:asciiTheme="minorHAnsi" w:hAnsiTheme="minorHAnsi"/>
                <w:i/>
                <w:color w:val="FF0000"/>
              </w:rPr>
              <w:fldChar w:fldCharType="end"/>
            </w:r>
          </w:p>
        </w:tc>
        <w:sdt>
          <w:sdtPr>
            <w:rPr>
              <w:rFonts w:asciiTheme="minorHAnsi" w:hAnsiTheme="minorHAnsi"/>
            </w:rPr>
            <w:id w:val="-308470434"/>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sdt>
          <w:sdtPr>
            <w:rPr>
              <w:rFonts w:asciiTheme="minorHAnsi" w:hAnsiTheme="minorHAnsi"/>
            </w:rPr>
            <w:id w:val="-553005998"/>
            <w14:checkbox>
              <w14:checked w14:val="0"/>
              <w14:checkedState w14:val="2612" w14:font="MS Gothic"/>
              <w14:uncheckedState w14:val="2610" w14:font="MS Gothic"/>
            </w14:checkbox>
          </w:sdtPr>
          <w:sdtEndPr/>
          <w:sdtContent>
            <w:tc>
              <w:tcPr>
                <w:tcW w:w="1440" w:type="dxa"/>
              </w:tcPr>
              <w:p w:rsidR="002B60BB" w:rsidRPr="00EB03D3" w:rsidRDefault="002B60BB" w:rsidP="00403F57">
                <w:pPr>
                  <w:pStyle w:val="tabletext"/>
                  <w:spacing w:before="34" w:after="34"/>
                  <w:jc w:val="center"/>
                  <w:rPr>
                    <w:rFonts w:asciiTheme="minorHAnsi" w:hAnsiTheme="minorHAnsi"/>
                  </w:rPr>
                </w:pPr>
                <w:r w:rsidRPr="00EB03D3">
                  <w:rPr>
                    <w:rFonts w:ascii="MS Gothic" w:eastAsia="MS Gothic" w:hAnsi="MS Gothic" w:cs="MS Gothic" w:hint="eastAsia"/>
                  </w:rPr>
                  <w:t>☐</w:t>
                </w:r>
              </w:p>
            </w:tc>
          </w:sdtContent>
        </w:sdt>
        <w:tc>
          <w:tcPr>
            <w:tcW w:w="1260" w:type="dxa"/>
          </w:tcPr>
          <w:p w:rsidR="002B60BB" w:rsidRPr="00EB03D3" w:rsidRDefault="002B60BB" w:rsidP="00403F57">
            <w:pPr>
              <w:pStyle w:val="tabletext"/>
              <w:spacing w:before="34" w:after="34"/>
              <w:jc w:val="center"/>
              <w:rPr>
                <w:rFonts w:asciiTheme="minorHAnsi" w:hAnsiTheme="minorHAnsi"/>
              </w:rPr>
            </w:pPr>
            <w:r w:rsidRPr="00EB03D3">
              <w:rPr>
                <w:rFonts w:asciiTheme="minorHAnsi" w:hAnsiTheme="minorHAnsi"/>
              </w:rPr>
              <w:t>1,2,3</w:t>
            </w:r>
          </w:p>
        </w:tc>
      </w:tr>
    </w:tbl>
    <w:p w:rsidR="00DC4273" w:rsidRPr="002B60BB" w:rsidRDefault="00DC4273" w:rsidP="002B60BB"/>
    <w:sectPr w:rsidR="00DC4273" w:rsidRPr="002B60BB" w:rsidSect="00403F57">
      <w:headerReference w:type="default" r:id="rId9"/>
      <w:footerReference w:type="default" r:id="rId10"/>
      <w:pgSz w:w="15840" w:h="12240" w:orient="landscape"/>
      <w:pgMar w:top="1296"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0E8" w:rsidRDefault="003030E8" w:rsidP="000364A3">
      <w:pPr>
        <w:spacing w:after="0" w:line="240" w:lineRule="auto"/>
      </w:pPr>
      <w:r>
        <w:separator/>
      </w:r>
    </w:p>
  </w:endnote>
  <w:endnote w:type="continuationSeparator" w:id="0">
    <w:p w:rsidR="003030E8" w:rsidRDefault="003030E8" w:rsidP="00036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12312"/>
      <w:gridCol w:w="1368"/>
    </w:tblGrid>
    <w:tr w:rsidR="000364A3" w:rsidTr="00D6406A">
      <w:tc>
        <w:tcPr>
          <w:tcW w:w="4500" w:type="pct"/>
          <w:tcBorders>
            <w:top w:val="single" w:sz="4" w:space="0" w:color="000000" w:themeColor="text1"/>
          </w:tcBorders>
        </w:tcPr>
        <w:p w:rsidR="000364A3" w:rsidRPr="00724694" w:rsidRDefault="000364A3" w:rsidP="003A2E13">
          <w:pPr>
            <w:pStyle w:val="Footer"/>
            <w:rPr>
              <w:sz w:val="18"/>
            </w:rPr>
          </w:pPr>
          <w:r w:rsidRPr="00724694">
            <w:rPr>
              <w:sz w:val="18"/>
            </w:rPr>
            <w:t>Smart Growth Self-Assessment for Rural Communi</w:t>
          </w:r>
          <w:r w:rsidR="003A2E13">
            <w:rPr>
              <w:sz w:val="18"/>
            </w:rPr>
            <w:t>ties</w:t>
          </w:r>
        </w:p>
      </w:tc>
      <w:tc>
        <w:tcPr>
          <w:tcW w:w="500" w:type="pct"/>
          <w:tcBorders>
            <w:top w:val="single" w:sz="4" w:space="0" w:color="C0504D" w:themeColor="accent2"/>
          </w:tcBorders>
          <w:shd w:val="clear" w:color="auto" w:fill="76923C" w:themeFill="accent3" w:themeFillShade="BF"/>
        </w:tcPr>
        <w:p w:rsidR="000364A3" w:rsidRPr="00724694" w:rsidRDefault="000364A3" w:rsidP="00D6406A">
          <w:pPr>
            <w:pStyle w:val="Header"/>
            <w:jc w:val="right"/>
            <w:rPr>
              <w:color w:val="FFFFFF" w:themeColor="background1"/>
              <w:sz w:val="18"/>
            </w:rPr>
          </w:pPr>
          <w:r w:rsidRPr="00846C31">
            <w:rPr>
              <w:color w:val="FFFFFF" w:themeColor="background1"/>
              <w:sz w:val="18"/>
              <w:szCs w:val="18"/>
            </w:rPr>
            <w:fldChar w:fldCharType="begin"/>
          </w:r>
          <w:r w:rsidRPr="00846C31">
            <w:rPr>
              <w:color w:val="FFFFFF" w:themeColor="background1"/>
              <w:sz w:val="18"/>
              <w:szCs w:val="18"/>
            </w:rPr>
            <w:instrText xml:space="preserve"> PAGE   \* MERGEFORMAT </w:instrText>
          </w:r>
          <w:r w:rsidRPr="00846C31">
            <w:rPr>
              <w:color w:val="FFFFFF" w:themeColor="background1"/>
              <w:sz w:val="18"/>
              <w:szCs w:val="18"/>
            </w:rPr>
            <w:fldChar w:fldCharType="separate"/>
          </w:r>
          <w:r w:rsidR="009A1DE8">
            <w:rPr>
              <w:noProof/>
              <w:color w:val="FFFFFF" w:themeColor="background1"/>
              <w:sz w:val="18"/>
              <w:szCs w:val="18"/>
            </w:rPr>
            <w:t>5</w:t>
          </w:r>
          <w:r w:rsidRPr="00846C31">
            <w:rPr>
              <w:noProof/>
              <w:color w:val="FFFFFF" w:themeColor="background1"/>
              <w:sz w:val="18"/>
              <w:szCs w:val="18"/>
            </w:rPr>
            <w:fldChar w:fldCharType="end"/>
          </w:r>
        </w:p>
      </w:tc>
    </w:tr>
  </w:tbl>
  <w:p w:rsidR="000364A3" w:rsidRPr="00666A88" w:rsidRDefault="000364A3" w:rsidP="00036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0E8" w:rsidRDefault="003030E8" w:rsidP="000364A3">
      <w:pPr>
        <w:spacing w:after="0" w:line="240" w:lineRule="auto"/>
      </w:pPr>
      <w:r>
        <w:separator/>
      </w:r>
    </w:p>
  </w:footnote>
  <w:footnote w:type="continuationSeparator" w:id="0">
    <w:p w:rsidR="003030E8" w:rsidRDefault="003030E8" w:rsidP="000364A3">
      <w:pPr>
        <w:spacing w:after="0" w:line="240" w:lineRule="auto"/>
      </w:pPr>
      <w:r>
        <w:continuationSeparator/>
      </w:r>
    </w:p>
  </w:footnote>
  <w:footnote w:id="1">
    <w:p w:rsidR="002B60BB" w:rsidRPr="00F802E3" w:rsidRDefault="002B60BB" w:rsidP="002B60BB">
      <w:pPr>
        <w:pStyle w:val="FootnoteText"/>
        <w:contextualSpacing/>
        <w:rPr>
          <w:i/>
          <w:sz w:val="16"/>
        </w:rPr>
      </w:pPr>
      <w:r w:rsidRPr="009C63D2">
        <w:rPr>
          <w:rStyle w:val="FootnoteReference"/>
          <w:sz w:val="16"/>
        </w:rPr>
        <w:footnoteRef/>
      </w:r>
      <w:r w:rsidRPr="009C63D2">
        <w:rPr>
          <w:sz w:val="16"/>
        </w:rPr>
        <w:t xml:space="preserve"> </w:t>
      </w:r>
      <w:r w:rsidRPr="00F802E3">
        <w:rPr>
          <w:i/>
          <w:sz w:val="16"/>
        </w:rPr>
        <w:t>Self-assessment topics and recommendations apply to one or more of the following scales: 1 – large town/small city (population of approximately 10,000 or greater); 2 - village/small town (population typically under 10,000); 3 – rural (very low density places, working lands, and natural areas outside of towns, villages, and cities).</w:t>
      </w:r>
    </w:p>
  </w:footnote>
  <w:footnote w:id="2">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New York’s Department of State, Division of Local Government Services has developed a set of local government planning guidance documents. One provides information on conducting public meetings. Another describes establishing a Zoning Board of Appeals. They are available at: (</w:t>
      </w:r>
      <w:hyperlink r:id="rId1" w:anchor="Planning" w:history="1">
        <w:r w:rsidRPr="009C63D2">
          <w:rPr>
            <w:rStyle w:val="Hyperlink"/>
            <w:sz w:val="16"/>
          </w:rPr>
          <w:t>http://www.dos.ny.gov/lg/publications.html#Planning</w:t>
        </w:r>
      </w:hyperlink>
      <w:r w:rsidRPr="009C63D2">
        <w:rPr>
          <w:sz w:val="16"/>
        </w:rPr>
        <w:t xml:space="preserve">). </w:t>
      </w:r>
    </w:p>
  </w:footnote>
  <w:footnote w:id="3">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Jacksonville</w:t>
      </w:r>
      <w:r>
        <w:rPr>
          <w:sz w:val="16"/>
        </w:rPr>
        <w:t>,</w:t>
      </w:r>
      <w:r w:rsidRPr="009C63D2">
        <w:rPr>
          <w:sz w:val="16"/>
        </w:rPr>
        <w:t xml:space="preserve"> F</w:t>
      </w:r>
      <w:r>
        <w:rPr>
          <w:sz w:val="16"/>
        </w:rPr>
        <w:t>lorida</w:t>
      </w:r>
      <w:r w:rsidRPr="009C63D2">
        <w:rPr>
          <w:sz w:val="16"/>
        </w:rPr>
        <w:t xml:space="preserve"> Citizens Planning Advisory Committee (</w:t>
      </w:r>
      <w:hyperlink r:id="rId2" w:history="1">
        <w:r w:rsidRPr="009C63D2">
          <w:rPr>
            <w:rStyle w:val="Hyperlink"/>
            <w:sz w:val="16"/>
          </w:rPr>
          <w:t>http://www.coj.net/departments/housing-and-neighborhoods/neighborhood-initiatives-(1)/citizen-planning-advisory-committees-(cpacs).aspx</w:t>
        </w:r>
      </w:hyperlink>
      <w:r w:rsidRPr="009C63D2">
        <w:rPr>
          <w:sz w:val="16"/>
        </w:rPr>
        <w:t>). The Mayor appoints CPAC members. Members are nominated through a variety of community, civic, or government organizations located in their district. Eligibility for appointment is determined by the Chief of the Housing and Community Development Division, Planning and Development Department. Committee chairs meet with and advise the Mayor.</w:t>
      </w:r>
    </w:p>
  </w:footnote>
  <w:footnote w:id="4">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w:t>
      </w:r>
      <w:r>
        <w:rPr>
          <w:sz w:val="16"/>
        </w:rPr>
        <w:t xml:space="preserve">Primer on </w:t>
      </w:r>
      <w:r w:rsidRPr="009C63D2">
        <w:rPr>
          <w:sz w:val="16"/>
        </w:rPr>
        <w:t>Local Government Citizen Advisory Boards (</w:t>
      </w:r>
      <w:hyperlink r:id="rId3" w:history="1">
        <w:r w:rsidRPr="009C63D2">
          <w:rPr>
            <w:rStyle w:val="Hyperlink"/>
            <w:sz w:val="16"/>
          </w:rPr>
          <w:t>http://mrsc.org/getmedia/72061479-9BA8-48B4-AB1F-CFA62CF7D4F1/lgcab08.aspx</w:t>
        </w:r>
      </w:hyperlink>
      <w:hyperlink r:id="rId4" w:history="1"/>
      <w:r w:rsidRPr="009C63D2">
        <w:rPr>
          <w:sz w:val="16"/>
        </w:rPr>
        <w:t>).</w:t>
      </w:r>
    </w:p>
  </w:footnote>
  <w:footnote w:id="5">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Bartlesville Metropolitan Planning Area Planned Unit Development Procedure (</w:t>
      </w:r>
      <w:hyperlink r:id="rId5" w:history="1">
        <w:r w:rsidRPr="009C63D2">
          <w:rPr>
            <w:rStyle w:val="Hyperlink"/>
            <w:sz w:val="16"/>
          </w:rPr>
          <w:t>http://www.cityofbartlesville.org/page.php?page=1150</w:t>
        </w:r>
      </w:hyperlink>
      <w:r w:rsidRPr="009C63D2">
        <w:rPr>
          <w:sz w:val="16"/>
        </w:rPr>
        <w:t xml:space="preserve">). </w:t>
      </w:r>
      <w:r w:rsidRPr="009C63D2" w:rsidDel="006027C1">
        <w:t xml:space="preserve"> </w:t>
      </w:r>
    </w:p>
  </w:footnote>
  <w:footnote w:id="6">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Fayetteville Code of Ordinances: Notification and Public Hearings (</w:t>
      </w:r>
      <w:hyperlink r:id="rId6" w:history="1">
        <w:r w:rsidRPr="009C63D2">
          <w:rPr>
            <w:rStyle w:val="Hyperlink"/>
            <w:sz w:val="16"/>
          </w:rPr>
          <w:t>http://www.cityoffayetteville.org/planning_department/rezoning.aspx?AspxAutoDetectCookieSupport=1</w:t>
        </w:r>
      </w:hyperlink>
      <w:r w:rsidRPr="009C63D2">
        <w:rPr>
          <w:sz w:val="16"/>
        </w:rPr>
        <w:t>).</w:t>
      </w:r>
    </w:p>
  </w:footnote>
  <w:footnote w:id="7">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Gwinnett County Rezoning and Special Use Permit Application Process (</w:t>
      </w:r>
      <w:hyperlink r:id="rId7" w:history="1">
        <w:r w:rsidRPr="009C63D2">
          <w:rPr>
            <w:rStyle w:val="Hyperlink"/>
            <w:sz w:val="16"/>
          </w:rPr>
          <w:t>http://www.gwinnettcounty.com/portal/gwinnett/Departments/PlanningandDevelopment/Rezoning-SUP/Process</w:t>
        </w:r>
      </w:hyperlink>
      <w:r w:rsidRPr="009C63D2">
        <w:rPr>
          <w:sz w:val="16"/>
        </w:rPr>
        <w:t>).</w:t>
      </w:r>
    </w:p>
  </w:footnote>
  <w:footnote w:id="8">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Public Participation Plan for the Town of Farmington Comprehensive Plan Process (</w:t>
      </w:r>
      <w:hyperlink r:id="rId8" w:history="1">
        <w:r w:rsidRPr="009C63D2">
          <w:rPr>
            <w:rStyle w:val="Hyperlink"/>
            <w:sz w:val="16"/>
          </w:rPr>
          <w:t>http://www.co.washington.wi.us/departments.iml?Detail=281&amp;Detail=290&amp;Detail=289</w:t>
        </w:r>
      </w:hyperlink>
      <w:hyperlink r:id="rId9" w:history="1"/>
      <w:r w:rsidRPr="009C63D2">
        <w:rPr>
          <w:sz w:val="16"/>
        </w:rPr>
        <w:t>).</w:t>
      </w:r>
    </w:p>
  </w:footnote>
  <w:footnote w:id="9">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Southeastern Wisconsin RPC: Public Participation in the </w:t>
      </w:r>
      <w:r>
        <w:rPr>
          <w:sz w:val="16"/>
        </w:rPr>
        <w:t>Transportation</w:t>
      </w:r>
      <w:r w:rsidRPr="009C63D2">
        <w:rPr>
          <w:sz w:val="16"/>
        </w:rPr>
        <w:t xml:space="preserve"> Planning Process (</w:t>
      </w:r>
      <w:hyperlink r:id="rId10" w:history="1">
        <w:r w:rsidRPr="009C63D2">
          <w:rPr>
            <w:rStyle w:val="Hyperlink"/>
            <w:sz w:val="16"/>
          </w:rPr>
          <w:t>http://www.sewrpc.org/SEWRPC/Transportation/PublicParticipationintheTransp.htm</w:t>
        </w:r>
      </w:hyperlink>
      <w:r w:rsidRPr="009C63D2">
        <w:rPr>
          <w:sz w:val="16"/>
        </w:rPr>
        <w:t>).</w:t>
      </w:r>
    </w:p>
  </w:footnote>
  <w:footnote w:id="10">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w:t>
      </w:r>
      <w:r w:rsidRPr="0073460A">
        <w:rPr>
          <w:spacing w:val="-4"/>
          <w:sz w:val="16"/>
        </w:rPr>
        <w:t>The town of Dryden, New York’s zoning ordinance includes a traditional neighborhood development overlay district. The zoning ordinance is available at: (</w:t>
      </w:r>
      <w:hyperlink r:id="rId11" w:history="1">
        <w:r w:rsidRPr="0073460A">
          <w:rPr>
            <w:rStyle w:val="Hyperlink"/>
            <w:spacing w:val="-4"/>
            <w:sz w:val="16"/>
          </w:rPr>
          <w:t>http://dryden.ny.us/departments/planning-department</w:t>
        </w:r>
      </w:hyperlink>
      <w:r w:rsidRPr="0073460A">
        <w:rPr>
          <w:spacing w:val="-4"/>
          <w:sz w:val="16"/>
        </w:rPr>
        <w:t xml:space="preserve">). </w:t>
      </w:r>
    </w:p>
  </w:footnote>
  <w:footnote w:id="11">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Model Sidewalk Regulations – Zoning &amp; Subdivision (</w:t>
      </w:r>
      <w:hyperlink r:id="rId12" w:history="1">
        <w:r w:rsidRPr="009C63D2">
          <w:rPr>
            <w:rStyle w:val="Hyperlink"/>
            <w:sz w:val="16"/>
          </w:rPr>
          <w:t>http://www.pvpc.org/val_vision/html/toolbox/Part%20III%20Strategies/Model%20Bylaws/Model%20Sidewalk%20Regulations.rtf</w:t>
        </w:r>
      </w:hyperlink>
      <w:r w:rsidRPr="009C63D2">
        <w:rPr>
          <w:sz w:val="16"/>
        </w:rPr>
        <w:t>).</w:t>
      </w:r>
    </w:p>
  </w:footnote>
  <w:footnote w:id="12">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Street Connectivity: Zoning and Subdivision Model Ordinance (</w:t>
      </w:r>
      <w:hyperlink r:id="rId13" w:history="1">
        <w:r w:rsidRPr="009C63D2">
          <w:rPr>
            <w:rStyle w:val="Hyperlink"/>
            <w:sz w:val="16"/>
          </w:rPr>
          <w:t>http://www.fhwa.dot.gov/planning/processes/land_use/land_use_tools/page04.cfm</w:t>
        </w:r>
      </w:hyperlink>
      <w:r w:rsidRPr="009C63D2">
        <w:rPr>
          <w:sz w:val="16"/>
        </w:rPr>
        <w:t xml:space="preserve">). </w:t>
      </w:r>
      <w:r w:rsidRPr="009C63D2" w:rsidDel="006027C1">
        <w:t xml:space="preserve"> </w:t>
      </w:r>
    </w:p>
  </w:footnote>
  <w:footnote w:id="13">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Model Conservation Subdivision / Open Space Development Ordinance (</w:t>
      </w:r>
      <w:hyperlink r:id="rId14" w:history="1">
        <w:r w:rsidRPr="009C63D2">
          <w:rPr>
            <w:rStyle w:val="Hyperlink"/>
            <w:sz w:val="16"/>
          </w:rPr>
          <w:t>http://www.sewrpc.org/SEWRPC/communityassistance/ModelOrdinancesGuides.htm</w:t>
        </w:r>
      </w:hyperlink>
      <w:r w:rsidRPr="009C63D2">
        <w:rPr>
          <w:sz w:val="16"/>
        </w:rPr>
        <w:t>).</w:t>
      </w:r>
    </w:p>
  </w:footnote>
  <w:footnote w:id="14">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Madison County, I</w:t>
      </w:r>
      <w:r>
        <w:rPr>
          <w:sz w:val="16"/>
        </w:rPr>
        <w:t>daho</w:t>
      </w:r>
      <w:r w:rsidRPr="009C63D2">
        <w:rPr>
          <w:sz w:val="16"/>
        </w:rPr>
        <w:t>: Open Space Development Ordinance (</w:t>
      </w:r>
      <w:hyperlink r:id="rId15" w:history="1">
        <w:r w:rsidRPr="009C63D2">
          <w:rPr>
            <w:rStyle w:val="Hyperlink"/>
            <w:sz w:val="16"/>
          </w:rPr>
          <w:t>http://www.co.madison.id.us/index.php/depts/planning-a-zoning/41-ordinances</w:t>
        </w:r>
      </w:hyperlink>
      <w:r w:rsidRPr="009C63D2">
        <w:rPr>
          <w:sz w:val="16"/>
        </w:rPr>
        <w:t>).</w:t>
      </w:r>
    </w:p>
  </w:footnote>
  <w:footnote w:id="15">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Open Space Incentive Zoning</w:t>
      </w:r>
      <w:r>
        <w:rPr>
          <w:sz w:val="16"/>
        </w:rPr>
        <w:t xml:space="preserve"> in Saratoga Springs, New York (</w:t>
      </w:r>
      <w:hyperlink r:id="rId16" w:history="1">
        <w:r w:rsidRPr="007409B8">
          <w:rPr>
            <w:rStyle w:val="Hyperlink"/>
            <w:sz w:val="16"/>
          </w:rPr>
          <w:t>http://www.saratoga-springs.org/index.php?option=com_remository&amp;Itemid=67&amp;func=startdown&amp;id=1345</w:t>
        </w:r>
      </w:hyperlink>
      <w:r w:rsidRPr="009C63D2">
        <w:rPr>
          <w:sz w:val="16"/>
        </w:rPr>
        <w:t>).</w:t>
      </w:r>
    </w:p>
  </w:footnote>
  <w:footnote w:id="16">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Madison, W</w:t>
      </w:r>
      <w:r>
        <w:rPr>
          <w:sz w:val="16"/>
        </w:rPr>
        <w:t>isconsin</w:t>
      </w:r>
      <w:r w:rsidRPr="009C63D2">
        <w:rPr>
          <w:sz w:val="16"/>
        </w:rPr>
        <w:t>: Pumpkin Hollow Neighborhood Development Plan (</w:t>
      </w:r>
      <w:hyperlink r:id="rId17" w:history="1">
        <w:r w:rsidRPr="009C63D2">
          <w:rPr>
            <w:rStyle w:val="Hyperlink"/>
            <w:sz w:val="16"/>
          </w:rPr>
          <w:t>http://www.cityofmadison.com/planning/pumpkinhollow.html</w:t>
        </w:r>
      </w:hyperlink>
      <w:r w:rsidRPr="009C63D2">
        <w:rPr>
          <w:sz w:val="16"/>
          <w:szCs w:val="16"/>
        </w:rPr>
        <w:t>).</w:t>
      </w:r>
      <w:r w:rsidRPr="009C63D2">
        <w:t xml:space="preserve"> </w:t>
      </w:r>
    </w:p>
  </w:footnote>
  <w:footnote w:id="17">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Parkville, M</w:t>
      </w:r>
      <w:r>
        <w:rPr>
          <w:sz w:val="16"/>
        </w:rPr>
        <w:t>issouri</w:t>
      </w:r>
      <w:r w:rsidRPr="009C63D2">
        <w:rPr>
          <w:sz w:val="16"/>
        </w:rPr>
        <w:t>: Master Plan: Park, Civic and Open Spaces (</w:t>
      </w:r>
      <w:hyperlink r:id="rId18" w:history="1">
        <w:r w:rsidRPr="009C63D2">
          <w:rPr>
            <w:rStyle w:val="Hyperlink"/>
            <w:sz w:val="16"/>
          </w:rPr>
          <w:t>http://parkvillemo.gov/departments/community-development-department/master-plan/</w:t>
        </w:r>
      </w:hyperlink>
      <w:hyperlink r:id="rId19" w:history="1"/>
      <w:r w:rsidRPr="009C63D2">
        <w:rPr>
          <w:sz w:val="16"/>
        </w:rPr>
        <w:t>).</w:t>
      </w:r>
    </w:p>
  </w:footnote>
  <w:footnote w:id="18">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Williamson, West Virginia, has provided public land for a community garden through its Sustainable Williamson program (</w:t>
      </w:r>
      <w:hyperlink r:id="rId20" w:history="1">
        <w:r w:rsidRPr="009C63D2">
          <w:rPr>
            <w:rStyle w:val="Hyperlink"/>
            <w:sz w:val="16"/>
          </w:rPr>
          <w:t>http://cityofwilliamson.org/Projects.html</w:t>
        </w:r>
      </w:hyperlink>
      <w:r w:rsidRPr="009C63D2">
        <w:rPr>
          <w:sz w:val="16"/>
        </w:rPr>
        <w:t xml:space="preserve">). </w:t>
      </w:r>
      <w:r w:rsidRPr="009C63D2">
        <w:t xml:space="preserve"> </w:t>
      </w:r>
    </w:p>
  </w:footnote>
  <w:footnote w:id="19">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Clackamas County Land Use Meetings</w:t>
      </w:r>
      <w:r>
        <w:rPr>
          <w:sz w:val="16"/>
        </w:rPr>
        <w:t xml:space="preserve"> Best </w:t>
      </w:r>
      <w:r w:rsidRPr="00113FBE">
        <w:rPr>
          <w:sz w:val="16"/>
        </w:rPr>
        <w:t>Practices (</w:t>
      </w:r>
      <w:hyperlink r:id="rId21" w:history="1">
        <w:r w:rsidRPr="00113FBE">
          <w:rPr>
            <w:rStyle w:val="Hyperlink"/>
            <w:sz w:val="16"/>
            <w:szCs w:val="16"/>
          </w:rPr>
          <w:t>http://www.clackamas.us/citizenin/communicating.html</w:t>
        </w:r>
      </w:hyperlink>
      <w:r w:rsidRPr="00113FBE">
        <w:rPr>
          <w:sz w:val="16"/>
          <w:szCs w:val="16"/>
        </w:rPr>
        <w:t>).</w:t>
      </w:r>
    </w:p>
  </w:footnote>
  <w:footnote w:id="20">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The Pedestrian and Bicycle Information Center provide</w:t>
      </w:r>
      <w:r>
        <w:rPr>
          <w:sz w:val="16"/>
        </w:rPr>
        <w:t>s information on walking audits</w:t>
      </w:r>
      <w:r w:rsidRPr="009C63D2">
        <w:rPr>
          <w:sz w:val="16"/>
        </w:rPr>
        <w:t xml:space="preserve"> (</w:t>
      </w:r>
      <w:hyperlink r:id="rId22" w:history="1">
        <w:r w:rsidRPr="009C63D2">
          <w:rPr>
            <w:rStyle w:val="Hyperlink"/>
            <w:sz w:val="16"/>
          </w:rPr>
          <w:t>http://www.walkinginfo.org/problems/audits.cfm</w:t>
        </w:r>
      </w:hyperlink>
      <w:r w:rsidRPr="009C63D2">
        <w:rPr>
          <w:sz w:val="16"/>
        </w:rPr>
        <w:t xml:space="preserve">). </w:t>
      </w:r>
    </w:p>
  </w:footnote>
  <w:footnote w:id="21">
    <w:p w:rsidR="002B60BB" w:rsidRPr="009C63D2" w:rsidRDefault="002B60BB" w:rsidP="002B60BB">
      <w:pPr>
        <w:pStyle w:val="FootnoteText"/>
        <w:contextualSpacing/>
        <w:rPr>
          <w:sz w:val="16"/>
        </w:rPr>
      </w:pPr>
      <w:r w:rsidRPr="009C63D2">
        <w:rPr>
          <w:rStyle w:val="FootnoteReference"/>
          <w:sz w:val="16"/>
        </w:rPr>
        <w:footnoteRef/>
      </w:r>
      <w:r>
        <w:rPr>
          <w:sz w:val="16"/>
        </w:rPr>
        <w:t xml:space="preserve"> Benson Hill Community Plan and Survey Results </w:t>
      </w:r>
      <w:r w:rsidRPr="009C63D2">
        <w:rPr>
          <w:sz w:val="16"/>
        </w:rPr>
        <w:t>(</w:t>
      </w:r>
      <w:hyperlink r:id="rId23" w:history="1">
        <w:r w:rsidRPr="00113FBE">
          <w:rPr>
            <w:rStyle w:val="Hyperlink"/>
            <w:sz w:val="16"/>
          </w:rPr>
          <w:t>http://rentonwa.gov/uploadedFiles/Business/CED/planning/2013/1120_BensonPlan_DRAFT_2013-03-11.pdf</w:t>
        </w:r>
      </w:hyperlink>
      <w:r w:rsidRPr="00113FBE">
        <w:rPr>
          <w:sz w:val="16"/>
        </w:rPr>
        <w:t>).</w:t>
      </w:r>
    </w:p>
  </w:footnote>
  <w:footnote w:id="22">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Plan 2040 Public Outreach will Utilize Online Public Meetings (</w:t>
      </w:r>
      <w:hyperlink r:id="rId24" w:history="1">
        <w:r w:rsidRPr="009C63D2">
          <w:rPr>
            <w:rStyle w:val="Hyperlink"/>
            <w:sz w:val="16"/>
          </w:rPr>
          <w:t>http://landmatters.wordpress.com/2010/04/22/plan-2040-public-outreach-will-utilize-online-public-meetings/</w:t>
        </w:r>
      </w:hyperlink>
      <w:r w:rsidRPr="009C63D2">
        <w:rPr>
          <w:sz w:val="16"/>
        </w:rPr>
        <w:t>).</w:t>
      </w:r>
    </w:p>
  </w:footnote>
  <w:footnote w:id="23">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Kirkland Planning Public Meeting Calendar with email updates (</w:t>
      </w:r>
      <w:hyperlink r:id="rId25" w:history="1">
        <w:r w:rsidRPr="009C63D2">
          <w:rPr>
            <w:rStyle w:val="Hyperlink"/>
            <w:sz w:val="16"/>
          </w:rPr>
          <w:t>http://www.kirklandwa.gov/depart/planning/Planning_Public_Meeting_Calendar.htm</w:t>
        </w:r>
      </w:hyperlink>
      <w:r w:rsidRPr="009C63D2">
        <w:rPr>
          <w:sz w:val="16"/>
        </w:rPr>
        <w:t>).</w:t>
      </w:r>
    </w:p>
  </w:footnote>
  <w:footnote w:id="24">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In Brownsville, Pennsylvania, the Students in Action club at the high school is leading a project to transform a vacant lot downtown into a community park with a performing arts space. Many small towns and rural communities are concerned about retaining younger residents. Groups like Student in Action can help young people feel invested in their community (</w:t>
      </w:r>
      <w:hyperlink r:id="rId26" w:history="1">
        <w:r w:rsidRPr="009C63D2">
          <w:rPr>
            <w:rStyle w:val="Hyperlink"/>
            <w:sz w:val="16"/>
          </w:rPr>
          <w:t>https://sites.google.com/site/ofrstudentsinaction/</w:t>
        </w:r>
      </w:hyperlink>
      <w:r w:rsidRPr="009C63D2">
        <w:rPr>
          <w:sz w:val="16"/>
        </w:rPr>
        <w:t>).</w:t>
      </w:r>
    </w:p>
  </w:footnote>
  <w:footnote w:id="25">
    <w:p w:rsidR="002B60BB" w:rsidRPr="009C63D2" w:rsidRDefault="002B60BB" w:rsidP="002B60BB">
      <w:pPr>
        <w:pStyle w:val="FootnoteText"/>
        <w:contextualSpacing/>
        <w:rPr>
          <w:sz w:val="16"/>
          <w:szCs w:val="16"/>
        </w:rPr>
      </w:pPr>
      <w:r w:rsidRPr="009C63D2">
        <w:rPr>
          <w:rStyle w:val="FootnoteReference"/>
          <w:sz w:val="16"/>
        </w:rPr>
        <w:footnoteRef/>
      </w:r>
      <w:r w:rsidRPr="009C63D2">
        <w:rPr>
          <w:sz w:val="16"/>
        </w:rPr>
        <w:t xml:space="preserve"> Examples of seasonal community activities include Trail Days in Damascus, Virginia; Rib Fest in Salamanca, New York; and the Johnny Race in Independence, </w:t>
      </w:r>
      <w:r w:rsidRPr="009C63D2">
        <w:rPr>
          <w:sz w:val="16"/>
          <w:szCs w:val="16"/>
        </w:rPr>
        <w:t xml:space="preserve">Virginia. A coalition of groups often supports such events that include the local government and the chamber of commerce.  </w:t>
      </w:r>
    </w:p>
  </w:footnote>
  <w:footnote w:id="26">
    <w:p w:rsidR="002B60BB" w:rsidRPr="009C63D2" w:rsidRDefault="002B60BB" w:rsidP="002B60BB">
      <w:pPr>
        <w:pStyle w:val="FootnoteText"/>
        <w:contextualSpacing/>
        <w:rPr>
          <w:sz w:val="16"/>
          <w:szCs w:val="16"/>
        </w:rPr>
      </w:pPr>
      <w:r w:rsidRPr="009C63D2">
        <w:rPr>
          <w:rStyle w:val="FootnoteReference"/>
          <w:sz w:val="16"/>
          <w:szCs w:val="16"/>
        </w:rPr>
        <w:footnoteRef/>
      </w:r>
      <w:r w:rsidRPr="009C63D2">
        <w:rPr>
          <w:sz w:val="16"/>
          <w:szCs w:val="16"/>
        </w:rPr>
        <w:t xml:space="preserve"> Ann Arbor YMCA: Youth </w:t>
      </w:r>
      <w:r>
        <w:rPr>
          <w:sz w:val="16"/>
          <w:szCs w:val="16"/>
        </w:rPr>
        <w:t xml:space="preserve">in Government program </w:t>
      </w:r>
      <w:r w:rsidRPr="009C63D2">
        <w:rPr>
          <w:sz w:val="16"/>
          <w:szCs w:val="16"/>
        </w:rPr>
        <w:t>(</w:t>
      </w:r>
      <w:hyperlink r:id="rId27" w:history="1">
        <w:r w:rsidRPr="009C63D2">
          <w:rPr>
            <w:rStyle w:val="Hyperlink"/>
            <w:sz w:val="16"/>
            <w:szCs w:val="16"/>
          </w:rPr>
          <w:t>http://www.annarborymca.org/youth-government.php</w:t>
        </w:r>
      </w:hyperlink>
      <w:r w:rsidRPr="009C63D2">
        <w:rPr>
          <w:sz w:val="16"/>
          <w:szCs w:val="16"/>
        </w:rPr>
        <w:t xml:space="preserve">). </w:t>
      </w:r>
    </w:p>
  </w:footnote>
  <w:footnote w:id="27">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w:t>
      </w:r>
      <w:r>
        <w:rPr>
          <w:sz w:val="16"/>
        </w:rPr>
        <w:t>Local Governments and the Sharing Economy Project</w:t>
      </w:r>
      <w:r w:rsidRPr="009C63D2">
        <w:rPr>
          <w:sz w:val="16"/>
        </w:rPr>
        <w:t xml:space="preserve"> (</w:t>
      </w:r>
      <w:hyperlink r:id="rId28" w:history="1">
        <w:r w:rsidRPr="009C63D2">
          <w:rPr>
            <w:rStyle w:val="Hyperlink"/>
            <w:sz w:val="16"/>
          </w:rPr>
          <w:t>http://www.oneearthweb.org/local-governments-and-the-sharing-economy.html</w:t>
        </w:r>
      </w:hyperlink>
      <w:r w:rsidRPr="009C63D2">
        <w:rPr>
          <w:sz w:val="16"/>
        </w:rPr>
        <w:t>).</w:t>
      </w:r>
    </w:p>
  </w:footnote>
  <w:footnote w:id="28">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Policies for Shareable Cities</w:t>
      </w:r>
      <w:r>
        <w:rPr>
          <w:sz w:val="16"/>
        </w:rPr>
        <w:t>: A Sharing Economy Policy Primer for Urban Leaders</w:t>
      </w:r>
      <w:r w:rsidRPr="009C63D2">
        <w:rPr>
          <w:sz w:val="16"/>
        </w:rPr>
        <w:t xml:space="preserve"> (</w:t>
      </w:r>
      <w:hyperlink r:id="rId29" w:history="1">
        <w:r w:rsidRPr="009C63D2">
          <w:rPr>
            <w:rStyle w:val="Hyperlink"/>
            <w:sz w:val="16"/>
          </w:rPr>
          <w:t>http://www.shareable.net/blog/new-report-policies-for-shareable-cities</w:t>
        </w:r>
      </w:hyperlink>
      <w:r w:rsidRPr="009C63D2">
        <w:rPr>
          <w:sz w:val="16"/>
        </w:rPr>
        <w:t>).</w:t>
      </w:r>
    </w:p>
  </w:footnote>
  <w:footnote w:id="29">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Richmond</w:t>
      </w:r>
      <w:r>
        <w:rPr>
          <w:sz w:val="16"/>
        </w:rPr>
        <w:t>,</w:t>
      </w:r>
      <w:r w:rsidRPr="009C63D2">
        <w:rPr>
          <w:sz w:val="16"/>
        </w:rPr>
        <w:t xml:space="preserve"> C</w:t>
      </w:r>
      <w:r>
        <w:rPr>
          <w:sz w:val="16"/>
        </w:rPr>
        <w:t>alifornia</w:t>
      </w:r>
      <w:r w:rsidRPr="009C63D2">
        <w:rPr>
          <w:sz w:val="16"/>
        </w:rPr>
        <w:t xml:space="preserve"> Dinner Dialogue (</w:t>
      </w:r>
      <w:hyperlink r:id="rId30" w:history="1">
        <w:r w:rsidRPr="00113FBE">
          <w:rPr>
            <w:rStyle w:val="Hyperlink"/>
            <w:sz w:val="16"/>
          </w:rPr>
          <w:t>http://bbk-richmond.org/iron-triangle-residents-engage-in-crucial-conversations-at-dinner-dialogues/</w:t>
        </w:r>
      </w:hyperlink>
      <w:r w:rsidRPr="009C63D2">
        <w:rPr>
          <w:sz w:val="16"/>
        </w:rPr>
        <w:t>).</w:t>
      </w:r>
    </w:p>
  </w:footnote>
  <w:footnote w:id="30">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Lawrence</w:t>
      </w:r>
      <w:r>
        <w:rPr>
          <w:sz w:val="16"/>
        </w:rPr>
        <w:t>,</w:t>
      </w:r>
      <w:r w:rsidRPr="009C63D2">
        <w:rPr>
          <w:sz w:val="16"/>
        </w:rPr>
        <w:t xml:space="preserve"> Kansas Farmers’ Market Community Booth (</w:t>
      </w:r>
      <w:hyperlink r:id="rId31" w:history="1">
        <w:r w:rsidRPr="009C63D2">
          <w:rPr>
            <w:rStyle w:val="Hyperlink"/>
            <w:sz w:val="16"/>
          </w:rPr>
          <w:t>http://www.lawrencefarmersmarket.com/community_booth.php</w:t>
        </w:r>
      </w:hyperlink>
      <w:r w:rsidRPr="009C63D2">
        <w:rPr>
          <w:sz w:val="16"/>
        </w:rPr>
        <w:t>).</w:t>
      </w:r>
    </w:p>
  </w:footnote>
  <w:footnote w:id="31">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Gleason Public Library Community Bulletin Board (</w:t>
      </w:r>
      <w:hyperlink r:id="rId32" w:history="1">
        <w:r w:rsidRPr="009C63D2">
          <w:rPr>
            <w:rStyle w:val="Hyperlink"/>
            <w:sz w:val="16"/>
          </w:rPr>
          <w:t>http://www.gleasonlibrary.org/displays.htm</w:t>
        </w:r>
      </w:hyperlink>
      <w:r w:rsidRPr="009C63D2">
        <w:rPr>
          <w:sz w:val="16"/>
        </w:rPr>
        <w:t>)</w:t>
      </w:r>
      <w:r>
        <w:rPr>
          <w:sz w:val="16"/>
        </w:rPr>
        <w:t>.</w:t>
      </w:r>
    </w:p>
  </w:footnote>
  <w:footnote w:id="32">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Orange Community Historical Society: Historical Walking Tours (</w:t>
      </w:r>
      <w:hyperlink r:id="rId33" w:history="1">
        <w:r w:rsidRPr="008E1B77">
          <w:rPr>
            <w:rStyle w:val="Hyperlink"/>
            <w:sz w:val="16"/>
          </w:rPr>
          <w:t>http://www.historicalorange.org/historical-walking-tours/</w:t>
        </w:r>
      </w:hyperlink>
      <w:r w:rsidRPr="004F661D">
        <w:rPr>
          <w:rStyle w:val="Hyperlink"/>
          <w:sz w:val="16"/>
        </w:rPr>
        <w:t>).</w:t>
      </w:r>
    </w:p>
  </w:footnote>
  <w:footnote w:id="33">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Ambler Main Street Annual Window Display Contest (</w:t>
      </w:r>
      <w:hyperlink r:id="rId34" w:history="1">
        <w:r w:rsidRPr="00113FBE">
          <w:rPr>
            <w:rStyle w:val="Hyperlink"/>
            <w:sz w:val="16"/>
          </w:rPr>
          <w:t>http://www.montgomerynews.com/articles/2014/12/09/ambler_gazette/news/doc548735df3cc3b135054104.txt</w:t>
        </w:r>
      </w:hyperlink>
      <w:r>
        <w:rPr>
          <w:sz w:val="16"/>
        </w:rPr>
        <w:t>).</w:t>
      </w:r>
    </w:p>
  </w:footnote>
  <w:footnote w:id="34">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Sullivan County Shop Local Campaign (</w:t>
      </w:r>
      <w:hyperlink r:id="rId35" w:history="1">
        <w:r w:rsidRPr="008E1B77">
          <w:rPr>
            <w:rStyle w:val="Hyperlink"/>
            <w:sz w:val="16"/>
          </w:rPr>
          <w:t>http://sullivancountynyprod.weblinkconnect.com/shop-local.html</w:t>
        </w:r>
      </w:hyperlink>
      <w:r w:rsidRPr="009C63D2">
        <w:rPr>
          <w:sz w:val="16"/>
          <w:szCs w:val="16"/>
        </w:rPr>
        <w:t>).</w:t>
      </w:r>
    </w:p>
  </w:footnote>
  <w:footnote w:id="35">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Somerville</w:t>
      </w:r>
      <w:r>
        <w:rPr>
          <w:sz w:val="16"/>
        </w:rPr>
        <w:t>, Massachusetts</w:t>
      </w:r>
      <w:r w:rsidRPr="009C63D2">
        <w:rPr>
          <w:sz w:val="16"/>
        </w:rPr>
        <w:t xml:space="preserve"> Community Gardens (</w:t>
      </w:r>
      <w:hyperlink r:id="rId36" w:history="1">
        <w:r w:rsidRPr="009C63D2">
          <w:rPr>
            <w:rStyle w:val="Hyperlink"/>
            <w:sz w:val="16"/>
          </w:rPr>
          <w:t>http://www.somervillema.gov/departments/concom/gardens</w:t>
        </w:r>
      </w:hyperlink>
      <w:r w:rsidRPr="009C63D2">
        <w:rPr>
          <w:sz w:val="16"/>
          <w:szCs w:val="16"/>
        </w:rPr>
        <w:t>).</w:t>
      </w:r>
    </w:p>
  </w:footnote>
  <w:footnote w:id="36">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Bethlehem</w:t>
      </w:r>
      <w:r>
        <w:rPr>
          <w:sz w:val="16"/>
        </w:rPr>
        <w:t>, New York</w:t>
      </w:r>
      <w:r w:rsidRPr="009C63D2">
        <w:rPr>
          <w:sz w:val="16"/>
        </w:rPr>
        <w:t xml:space="preserve"> Community Cleanup Days (</w:t>
      </w:r>
      <w:hyperlink r:id="rId37" w:history="1">
        <w:r w:rsidRPr="008E1B77">
          <w:rPr>
            <w:rStyle w:val="Hyperlink"/>
            <w:sz w:val="16"/>
          </w:rPr>
          <w:t>http://www.townofbethlehem.org/317/Community-Clean-Up-Days</w:t>
        </w:r>
      </w:hyperlink>
      <w:r w:rsidRPr="00C1025C">
        <w:rPr>
          <w:sz w:val="16"/>
          <w:szCs w:val="16"/>
        </w:rPr>
        <w:t>).</w:t>
      </w:r>
    </w:p>
  </w:footnote>
  <w:footnote w:id="37">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A Local Official’s Guide to Online Public Engagement (</w:t>
      </w:r>
      <w:hyperlink r:id="rId38" w:history="1">
        <w:r w:rsidRPr="009C63D2">
          <w:rPr>
            <w:rStyle w:val="Hyperlink"/>
            <w:sz w:val="16"/>
          </w:rPr>
          <w:t>http://www.ca-ilg.org/public-engagement-technology</w:t>
        </w:r>
      </w:hyperlink>
      <w:r w:rsidRPr="009C63D2">
        <w:rPr>
          <w:sz w:val="16"/>
          <w:szCs w:val="16"/>
        </w:rPr>
        <w:t>).</w:t>
      </w:r>
    </w:p>
  </w:footnote>
  <w:footnote w:id="38">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Institute for Local Government Public Engagement and Technology (</w:t>
      </w:r>
      <w:hyperlink r:id="rId39" w:history="1">
        <w:r w:rsidRPr="009C63D2">
          <w:rPr>
            <w:rStyle w:val="Hyperlink"/>
            <w:sz w:val="16"/>
          </w:rPr>
          <w:t>http://www.ca-ilg.org/PEandTechnology</w:t>
        </w:r>
      </w:hyperlink>
      <w:r w:rsidRPr="009C63D2">
        <w:rPr>
          <w:sz w:val="16"/>
          <w:szCs w:val="16"/>
        </w:rPr>
        <w:t>).</w:t>
      </w:r>
    </w:p>
  </w:footnote>
  <w:footnote w:id="39">
    <w:p w:rsidR="002B60BB" w:rsidRPr="009C63D2" w:rsidRDefault="002B60BB" w:rsidP="002B60BB">
      <w:pPr>
        <w:pStyle w:val="FootnoteText"/>
        <w:contextualSpacing/>
        <w:rPr>
          <w:sz w:val="16"/>
        </w:rPr>
      </w:pPr>
      <w:r w:rsidRPr="009C63D2">
        <w:rPr>
          <w:rStyle w:val="FootnoteReference"/>
          <w:sz w:val="16"/>
        </w:rPr>
        <w:footnoteRef/>
      </w:r>
      <w:r w:rsidRPr="009C63D2">
        <w:rPr>
          <w:sz w:val="16"/>
        </w:rPr>
        <w:t xml:space="preserve"> Chapel Hill</w:t>
      </w:r>
      <w:r w:rsidRPr="009C63D2">
        <w:rPr>
          <w:sz w:val="16"/>
          <w:szCs w:val="16"/>
        </w:rPr>
        <w:t>,</w:t>
      </w:r>
      <w:r>
        <w:rPr>
          <w:sz w:val="16"/>
        </w:rPr>
        <w:t xml:space="preserve"> North Carolina</w:t>
      </w:r>
      <w:r w:rsidRPr="009C63D2">
        <w:rPr>
          <w:sz w:val="16"/>
        </w:rPr>
        <w:t xml:space="preserve"> Social Media </w:t>
      </w:r>
      <w:r w:rsidRPr="00C1025C">
        <w:rPr>
          <w:sz w:val="16"/>
        </w:rPr>
        <w:t>(</w:t>
      </w:r>
      <w:hyperlink r:id="rId40" w:history="1">
        <w:r w:rsidRPr="008E1B77">
          <w:rPr>
            <w:rStyle w:val="Hyperlink"/>
            <w:sz w:val="16"/>
          </w:rPr>
          <w:t>http://www.townofchapelhill.org/town-hall/news-events/social-media</w:t>
        </w:r>
      </w:hyperlink>
      <w:r w:rsidRPr="00C1025C">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4A3" w:rsidRDefault="003340FB" w:rsidP="003340FB">
    <w:pPr>
      <w:pStyle w:val="SGHeader"/>
      <w:numPr>
        <w:ilvl w:val="0"/>
        <w:numId w:val="0"/>
      </w:numPr>
      <w:tabs>
        <w:tab w:val="left" w:pos="360"/>
      </w:tabs>
    </w:pPr>
    <w:r>
      <w:t>III.</w:t>
    </w:r>
    <w:r>
      <w:tab/>
    </w:r>
    <w:r w:rsidR="002B60BB">
      <w:t>Engage and Connect Community Members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62383D"/>
    <w:multiLevelType w:val="hybridMultilevel"/>
    <w:tmpl w:val="6E54ECBA"/>
    <w:lvl w:ilvl="0" w:tplc="F0E05C46">
      <w:start w:val="2"/>
      <w:numFmt w:val="upperRoman"/>
      <w:pStyle w:val="SGHead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0364C9"/>
    <w:multiLevelType w:val="hybridMultilevel"/>
    <w:tmpl w:val="7EC4C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4A3"/>
    <w:rsid w:val="000364A3"/>
    <w:rsid w:val="000636F2"/>
    <w:rsid w:val="00147CD9"/>
    <w:rsid w:val="001848C6"/>
    <w:rsid w:val="0019265E"/>
    <w:rsid w:val="001C4D41"/>
    <w:rsid w:val="00292F2C"/>
    <w:rsid w:val="002B60BB"/>
    <w:rsid w:val="002C68B4"/>
    <w:rsid w:val="003030E8"/>
    <w:rsid w:val="003340FB"/>
    <w:rsid w:val="00337159"/>
    <w:rsid w:val="00366234"/>
    <w:rsid w:val="003A2E13"/>
    <w:rsid w:val="00403F57"/>
    <w:rsid w:val="00410D19"/>
    <w:rsid w:val="004D2412"/>
    <w:rsid w:val="0052217A"/>
    <w:rsid w:val="005426E4"/>
    <w:rsid w:val="00563612"/>
    <w:rsid w:val="005E5915"/>
    <w:rsid w:val="007F535A"/>
    <w:rsid w:val="00952192"/>
    <w:rsid w:val="009A1DE8"/>
    <w:rsid w:val="009B6909"/>
    <w:rsid w:val="009C5516"/>
    <w:rsid w:val="00A15440"/>
    <w:rsid w:val="00AA0578"/>
    <w:rsid w:val="00AB4D5C"/>
    <w:rsid w:val="00AD119D"/>
    <w:rsid w:val="00BA3888"/>
    <w:rsid w:val="00BE5DFC"/>
    <w:rsid w:val="00C131E4"/>
    <w:rsid w:val="00D41841"/>
    <w:rsid w:val="00D8015D"/>
    <w:rsid w:val="00DC4273"/>
    <w:rsid w:val="00DD64C7"/>
    <w:rsid w:val="00EA380E"/>
    <w:rsid w:val="00EB03D3"/>
    <w:rsid w:val="00EB7236"/>
    <w:rsid w:val="00F15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43FA9"/>
  <w15:docId w15:val="{D13756E6-FCF5-4B43-84D4-D5BBD3473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364A3"/>
  </w:style>
  <w:style w:type="paragraph" w:styleId="Heading2">
    <w:name w:val="heading 2"/>
    <w:basedOn w:val="Normal"/>
    <w:next w:val="Normal"/>
    <w:link w:val="Heading2Char"/>
    <w:uiPriority w:val="9"/>
    <w:semiHidden/>
    <w:unhideWhenUsed/>
    <w:qFormat/>
    <w:rsid w:val="000364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4A3"/>
    <w:pPr>
      <w:keepNext/>
      <w:keepLines/>
      <w:spacing w:before="40" w:after="0"/>
      <w:outlineLvl w:val="2"/>
    </w:pPr>
    <w:rPr>
      <w:rFonts w:asciiTheme="majorHAnsi" w:eastAsiaTheme="majorEastAsia" w:hAnsiTheme="majorHAnsi" w:cstheme="majorBidi"/>
      <w:b/>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64A3"/>
    <w:rPr>
      <w:rFonts w:asciiTheme="majorHAnsi" w:eastAsiaTheme="majorEastAsia" w:hAnsiTheme="majorHAnsi" w:cstheme="majorBidi"/>
      <w:b/>
      <w:color w:val="243F60" w:themeColor="accent1" w:themeShade="7F"/>
      <w:szCs w:val="24"/>
    </w:rPr>
  </w:style>
  <w:style w:type="character" w:styleId="Hyperlink">
    <w:name w:val="Hyperlink"/>
    <w:basedOn w:val="DefaultParagraphFont"/>
    <w:uiPriority w:val="99"/>
    <w:unhideWhenUsed/>
    <w:rsid w:val="000364A3"/>
    <w:rPr>
      <w:color w:val="0000FF" w:themeColor="hyperlink"/>
      <w:u w:val="single"/>
    </w:rPr>
  </w:style>
  <w:style w:type="paragraph" w:styleId="FootnoteText">
    <w:name w:val="footnote text"/>
    <w:basedOn w:val="Normal"/>
    <w:link w:val="FootnoteTextChar"/>
    <w:uiPriority w:val="99"/>
    <w:unhideWhenUsed/>
    <w:rsid w:val="000364A3"/>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0364A3"/>
    <w:rPr>
      <w:rFonts w:eastAsiaTheme="minorEastAsia"/>
      <w:sz w:val="20"/>
      <w:szCs w:val="20"/>
    </w:rPr>
  </w:style>
  <w:style w:type="character" w:styleId="FootnoteReference">
    <w:name w:val="footnote reference"/>
    <w:basedOn w:val="DefaultParagraphFont"/>
    <w:uiPriority w:val="99"/>
    <w:semiHidden/>
    <w:unhideWhenUsed/>
    <w:rsid w:val="000364A3"/>
    <w:rPr>
      <w:vertAlign w:val="superscript"/>
    </w:rPr>
  </w:style>
  <w:style w:type="table" w:styleId="TableGrid">
    <w:name w:val="Table Grid"/>
    <w:basedOn w:val="TableNormal"/>
    <w:uiPriority w:val="59"/>
    <w:rsid w:val="00036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364A3"/>
    <w:rPr>
      <w:rFonts w:ascii="Georgia" w:hAnsi="Georgia"/>
      <w:b/>
      <w:i/>
      <w:iCs/>
      <w:color w:val="FFFFFF" w:themeColor="background1"/>
      <w:sz w:val="22"/>
    </w:rPr>
  </w:style>
  <w:style w:type="paragraph" w:customStyle="1" w:styleId="tabletext">
    <w:name w:val="tabletext"/>
    <w:basedOn w:val="NoSpacing"/>
    <w:link w:val="tabletextChar"/>
    <w:qFormat/>
    <w:rsid w:val="000364A3"/>
    <w:pPr>
      <w:spacing w:before="60" w:after="60"/>
    </w:pPr>
    <w:rPr>
      <w:rFonts w:ascii="Georgia" w:hAnsi="Georgia"/>
      <w:color w:val="0D0D0D" w:themeColor="text1" w:themeTint="F2"/>
      <w:sz w:val="20"/>
    </w:rPr>
  </w:style>
  <w:style w:type="character" w:customStyle="1" w:styleId="tabletextChar">
    <w:name w:val="tabletext Char"/>
    <w:basedOn w:val="DefaultParagraphFont"/>
    <w:link w:val="tabletext"/>
    <w:rsid w:val="000364A3"/>
    <w:rPr>
      <w:rFonts w:ascii="Georgia" w:hAnsi="Georgia"/>
      <w:color w:val="0D0D0D" w:themeColor="text1" w:themeTint="F2"/>
      <w:sz w:val="20"/>
    </w:rPr>
  </w:style>
  <w:style w:type="paragraph" w:customStyle="1" w:styleId="tablequestions">
    <w:name w:val="tablequestions"/>
    <w:basedOn w:val="tabletext"/>
    <w:link w:val="tablequestionsChar"/>
    <w:qFormat/>
    <w:rsid w:val="000364A3"/>
    <w:rPr>
      <w:b/>
      <w:szCs w:val="20"/>
    </w:rPr>
  </w:style>
  <w:style w:type="character" w:customStyle="1" w:styleId="tablequestionsChar">
    <w:name w:val="tablequestions Char"/>
    <w:basedOn w:val="tabletextChar"/>
    <w:link w:val="tablequestions"/>
    <w:rsid w:val="000364A3"/>
    <w:rPr>
      <w:rFonts w:ascii="Georgia" w:hAnsi="Georgia"/>
      <w:b/>
      <w:color w:val="0D0D0D" w:themeColor="text1" w:themeTint="F2"/>
      <w:sz w:val="20"/>
      <w:szCs w:val="20"/>
    </w:rPr>
  </w:style>
  <w:style w:type="paragraph" w:styleId="NoSpacing">
    <w:name w:val="No Spacing"/>
    <w:uiPriority w:val="1"/>
    <w:qFormat/>
    <w:rsid w:val="000364A3"/>
    <w:pPr>
      <w:spacing w:after="0" w:line="240" w:lineRule="auto"/>
    </w:pPr>
  </w:style>
  <w:style w:type="paragraph" w:styleId="Header">
    <w:name w:val="header"/>
    <w:basedOn w:val="Normal"/>
    <w:link w:val="HeaderChar"/>
    <w:uiPriority w:val="99"/>
    <w:unhideWhenUsed/>
    <w:rsid w:val="00036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4A3"/>
  </w:style>
  <w:style w:type="paragraph" w:styleId="Footer">
    <w:name w:val="footer"/>
    <w:basedOn w:val="Normal"/>
    <w:link w:val="FooterChar"/>
    <w:uiPriority w:val="99"/>
    <w:unhideWhenUsed/>
    <w:rsid w:val="00036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4A3"/>
  </w:style>
  <w:style w:type="paragraph" w:customStyle="1" w:styleId="SGHeader">
    <w:name w:val="SG_Header"/>
    <w:basedOn w:val="Heading2"/>
    <w:link w:val="SGHeaderChar"/>
    <w:qFormat/>
    <w:rsid w:val="000364A3"/>
    <w:pPr>
      <w:numPr>
        <w:numId w:val="1"/>
      </w:numPr>
      <w:spacing w:before="0" w:after="200"/>
    </w:pPr>
    <w:rPr>
      <w:i/>
      <w:color w:val="000000" w:themeColor="text1"/>
      <w:sz w:val="20"/>
    </w:rPr>
  </w:style>
  <w:style w:type="character" w:customStyle="1" w:styleId="SGHeaderChar">
    <w:name w:val="SG_Header Char"/>
    <w:basedOn w:val="DefaultParagraphFont"/>
    <w:link w:val="SGHeader"/>
    <w:rsid w:val="000364A3"/>
    <w:rPr>
      <w:rFonts w:asciiTheme="majorHAnsi" w:eastAsiaTheme="majorEastAsia" w:hAnsiTheme="majorHAnsi" w:cstheme="majorBidi"/>
      <w:b/>
      <w:bCs/>
      <w:i/>
      <w:color w:val="000000" w:themeColor="text1"/>
      <w:sz w:val="20"/>
      <w:szCs w:val="26"/>
    </w:rPr>
  </w:style>
  <w:style w:type="character" w:customStyle="1" w:styleId="Heading2Char">
    <w:name w:val="Heading 2 Char"/>
    <w:basedOn w:val="DefaultParagraphFont"/>
    <w:link w:val="Heading2"/>
    <w:uiPriority w:val="9"/>
    <w:semiHidden/>
    <w:rsid w:val="000364A3"/>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410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D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martgrowth/smart-growth-self-assessment-rural-communiti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www.co.washington.wi.us/departments.iml?Detail=281&amp;Detail=290&amp;Detail=289" TargetMode="External"/><Relationship Id="rId13" Type="http://schemas.openxmlformats.org/officeDocument/2006/relationships/hyperlink" Target="http://www.fhwa.dot.gov/planning/processes/land_use/land_use_tools/page04.cfm" TargetMode="External"/><Relationship Id="rId18" Type="http://schemas.openxmlformats.org/officeDocument/2006/relationships/hyperlink" Target="http://parkvillemo.gov/departments/community-development-department/master-plan/" TargetMode="External"/><Relationship Id="rId26" Type="http://schemas.openxmlformats.org/officeDocument/2006/relationships/hyperlink" Target="https://sites.google.com/site/ofrstudentsinaction/" TargetMode="External"/><Relationship Id="rId39" Type="http://schemas.openxmlformats.org/officeDocument/2006/relationships/hyperlink" Target="http://www.ca-ilg.org/PEandTechnology" TargetMode="External"/><Relationship Id="rId3" Type="http://schemas.openxmlformats.org/officeDocument/2006/relationships/hyperlink" Target="http://mrsc.org/getmedia/72061479-9BA8-48B4-AB1F-CFA62CF7D4F1/lgcab08.aspx" TargetMode="External"/><Relationship Id="rId21" Type="http://schemas.openxmlformats.org/officeDocument/2006/relationships/hyperlink" Target="http://www.clackamas.us/citizenin/communicating.html" TargetMode="External"/><Relationship Id="rId34" Type="http://schemas.openxmlformats.org/officeDocument/2006/relationships/hyperlink" Target="http://www.montgomerynews.com/articles/2014/12/09/ambler_gazette/news/doc548735df3cc3b135054104.txt" TargetMode="External"/><Relationship Id="rId7" Type="http://schemas.openxmlformats.org/officeDocument/2006/relationships/hyperlink" Target="http://www.gwinnettcounty.com/portal/gwinnett/Departments/PlanningandDevelopment/Rezoning-SUP/Process" TargetMode="External"/><Relationship Id="rId12" Type="http://schemas.openxmlformats.org/officeDocument/2006/relationships/hyperlink" Target="http://www.pvpc.org/val_vision/html/toolbox/Part%20III%20Strategies/Model%20Bylaws/Model%20Sidewalk%20Regulations.rtf" TargetMode="External"/><Relationship Id="rId17" Type="http://schemas.openxmlformats.org/officeDocument/2006/relationships/hyperlink" Target="http://www.cityofmadison.com/planning/pumpkinhollow.html" TargetMode="External"/><Relationship Id="rId25" Type="http://schemas.openxmlformats.org/officeDocument/2006/relationships/hyperlink" Target="http://www.kirklandwa.gov/depart/planning/Planning_Public_Meeting_Calendar.htm" TargetMode="External"/><Relationship Id="rId33" Type="http://schemas.openxmlformats.org/officeDocument/2006/relationships/hyperlink" Target="http://www.historicalorange.org/historical-walking-tours/" TargetMode="External"/><Relationship Id="rId38" Type="http://schemas.openxmlformats.org/officeDocument/2006/relationships/hyperlink" Target="http://www.ca-ilg.org/public-engagement-technology" TargetMode="External"/><Relationship Id="rId2" Type="http://schemas.openxmlformats.org/officeDocument/2006/relationships/hyperlink" Target="http://www.coj.net/departments/housing-and-neighborhoods/neighborhood-initiatives-(1)/citizen-planning-advisory-committees-(cpacs).aspx" TargetMode="External"/><Relationship Id="rId16" Type="http://schemas.openxmlformats.org/officeDocument/2006/relationships/hyperlink" Target="http://www.saratoga-springs.org/index.php?option=com_remository&amp;Itemid=67&amp;func=startdown&amp;id=1345" TargetMode="External"/><Relationship Id="rId20" Type="http://schemas.openxmlformats.org/officeDocument/2006/relationships/hyperlink" Target="http://cityofwilliamson.org/Projects.html" TargetMode="External"/><Relationship Id="rId29" Type="http://schemas.openxmlformats.org/officeDocument/2006/relationships/hyperlink" Target="http://www.shareable.net/blog/new-report-policies-for-shareable-cities" TargetMode="External"/><Relationship Id="rId1" Type="http://schemas.openxmlformats.org/officeDocument/2006/relationships/hyperlink" Target="http://www.dos.ny.gov/lg/publications.html" TargetMode="External"/><Relationship Id="rId6" Type="http://schemas.openxmlformats.org/officeDocument/2006/relationships/hyperlink" Target="http://www.cityoffayetteville.org/planning_department/rezoning.aspx?AspxAutoDetectCookieSupport=1" TargetMode="External"/><Relationship Id="rId11" Type="http://schemas.openxmlformats.org/officeDocument/2006/relationships/hyperlink" Target="http://dryden.ny.us/departments/planning-department" TargetMode="External"/><Relationship Id="rId24" Type="http://schemas.openxmlformats.org/officeDocument/2006/relationships/hyperlink" Target="http://landmatters.wordpress.com/2010/04/22/plan-2040-public-outreach-will-utilize-online-public-meetings/" TargetMode="External"/><Relationship Id="rId32" Type="http://schemas.openxmlformats.org/officeDocument/2006/relationships/hyperlink" Target="http://www.gleasonlibrary.org/displays.htm" TargetMode="External"/><Relationship Id="rId37" Type="http://schemas.openxmlformats.org/officeDocument/2006/relationships/hyperlink" Target="http://www.townofbethlehem.org/317/Community-Clean-Up-Days" TargetMode="External"/><Relationship Id="rId40" Type="http://schemas.openxmlformats.org/officeDocument/2006/relationships/hyperlink" Target="http://www.townofchapelhill.org/town-hall/news-events/social-media" TargetMode="External"/><Relationship Id="rId5" Type="http://schemas.openxmlformats.org/officeDocument/2006/relationships/hyperlink" Target="http://www.cityofbartlesville.org/page.php?page=1150" TargetMode="External"/><Relationship Id="rId15" Type="http://schemas.openxmlformats.org/officeDocument/2006/relationships/hyperlink" Target="http://www.co.madison.id.us/index.php/depts/planning-a-zoning/41-ordinances" TargetMode="External"/><Relationship Id="rId23" Type="http://schemas.openxmlformats.org/officeDocument/2006/relationships/hyperlink" Target="http://rentonwa.gov/uploadedFiles/Business/CED/planning/2013/1120_BensonPlan_DRAFT_2013-03-11.pdf" TargetMode="External"/><Relationship Id="rId28" Type="http://schemas.openxmlformats.org/officeDocument/2006/relationships/hyperlink" Target="http://www.oneearthweb.org/local-governments-and-the-sharing-economy.html" TargetMode="External"/><Relationship Id="rId36" Type="http://schemas.openxmlformats.org/officeDocument/2006/relationships/hyperlink" Target="http://www.somervillema.gov/departments/concom/gardens" TargetMode="External"/><Relationship Id="rId10" Type="http://schemas.openxmlformats.org/officeDocument/2006/relationships/hyperlink" Target="http://www.sewrpc.org/SEWRPC/Transportation/PublicParticipationintheTransp.htm" TargetMode="External"/><Relationship Id="rId19" Type="http://schemas.openxmlformats.org/officeDocument/2006/relationships/hyperlink" Target="http://parkvillemo.gov/download/community-development/master-plan/Chpt%205.PDF" TargetMode="External"/><Relationship Id="rId31" Type="http://schemas.openxmlformats.org/officeDocument/2006/relationships/hyperlink" Target="http://www.lawrencefarmersmarket.com/community_booth.php" TargetMode="External"/><Relationship Id="rId4" Type="http://schemas.openxmlformats.org/officeDocument/2006/relationships/hyperlink" Target="http://www.mrsc.org/publications/lgcab08.pdf" TargetMode="External"/><Relationship Id="rId9" Type="http://schemas.openxmlformats.org/officeDocument/2006/relationships/hyperlink" Target="http://www.co.la-crosse.wi.us/townoffarmington/docs/PubParticipationPlan.pdf" TargetMode="External"/><Relationship Id="rId14" Type="http://schemas.openxmlformats.org/officeDocument/2006/relationships/hyperlink" Target="http://www.sewrpc.org/SEWRPC/communityassistance/ModelOrdinancesGuides.htm" TargetMode="External"/><Relationship Id="rId22" Type="http://schemas.openxmlformats.org/officeDocument/2006/relationships/hyperlink" Target="http://www.walkinginfo.org/problems/audits.cfm" TargetMode="External"/><Relationship Id="rId27" Type="http://schemas.openxmlformats.org/officeDocument/2006/relationships/hyperlink" Target="http://www.annarborymca.org/youth-government.php" TargetMode="External"/><Relationship Id="rId30" Type="http://schemas.openxmlformats.org/officeDocument/2006/relationships/hyperlink" Target="http://bbk-richmond.org/iron-triangle-residents-engage-in-crucial-conversations-at-dinner-dialogues/" TargetMode="External"/><Relationship Id="rId35" Type="http://schemas.openxmlformats.org/officeDocument/2006/relationships/hyperlink" Target="http://sullivancountynyprod.weblinkconnect.com/shop-loca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A71219-DC8C-4F59-966B-0C80583FC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1192</Words>
  <Characters>6797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III. Engage and Connect Community Members</vt:lpstr>
    </vt:vector>
  </TitlesOfParts>
  <Company>U.S. EPA</Company>
  <LinksUpToDate>false</LinksUpToDate>
  <CharactersWithSpaces>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III. Engage and Connect Community Members</dc:title>
  <dc:subject>This document contains section III of the Smart Growth Self-Assessment for Rural Communities.</dc:subject>
  <dc:creator>U.S. EPA;Smart Growth Program</dc:creator>
  <cp:keywords>U.S. EPA, Smart Growth, Section III, engage, connect, community, members</cp:keywords>
  <cp:lastModifiedBy>Susman, Megan</cp:lastModifiedBy>
  <cp:revision>6</cp:revision>
  <dcterms:created xsi:type="dcterms:W3CDTF">2016-08-23T14:37:00Z</dcterms:created>
  <dcterms:modified xsi:type="dcterms:W3CDTF">2016-12-07T20:19:00Z</dcterms:modified>
</cp:coreProperties>
</file>