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
        <w:rPr>
          <w:i w:val="0"/>
          <w:sz w:val="5"/>
        </w:rPr>
      </w:pPr>
    </w:p>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280"/>
        <w:gridCol w:w="2010"/>
        <w:gridCol w:w="1560"/>
        <w:gridCol w:w="2100"/>
      </w:tblGrid>
      <w:tr>
        <w:trPr>
          <w:trHeight w:val="494" w:hRule="exact"/>
        </w:trPr>
        <w:tc>
          <w:tcPr>
            <w:tcW w:w="2280" w:type="dxa"/>
          </w:tcPr>
          <w:p>
            <w:pPr>
              <w:pStyle w:val="TableParagraph"/>
              <w:spacing w:before="214"/>
              <w:ind w:right="119"/>
              <w:jc w:val="right"/>
              <w:rPr>
                <w:b/>
                <w:sz w:val="22"/>
              </w:rPr>
            </w:pPr>
            <w:r>
              <w:rPr>
                <w:b/>
                <w:sz w:val="22"/>
                <w:shd w:fill="FFFF00" w:color="auto" w:val="clear"/>
              </w:rPr>
              <w:t>Primary Reviewer:</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214"/>
              <w:ind w:right="-633"/>
              <w:jc w:val="right"/>
              <w:rPr>
                <w:b/>
                <w:sz w:val="22"/>
              </w:rPr>
            </w:pPr>
            <w:r>
              <w:rPr>
                <w:b/>
                <w:sz w:val="22"/>
                <w:shd w:fill="FFFF00" w:color="auto" w:val="clear"/>
              </w:rPr>
              <w:t>Date:</w:t>
            </w:r>
          </w:p>
        </w:tc>
      </w:tr>
      <w:tr>
        <w:trPr>
          <w:trHeight w:val="314" w:hRule="exact"/>
        </w:trPr>
        <w:tc>
          <w:tcPr>
            <w:tcW w:w="2280" w:type="dxa"/>
          </w:tcPr>
          <w:p>
            <w:pPr/>
          </w:p>
        </w:tc>
        <w:tc>
          <w:tcPr>
            <w:tcW w:w="2010" w:type="dxa"/>
            <w:tcBorders>
              <w:top w:val="single" w:sz="4" w:space="0" w:color="000000"/>
            </w:tcBorders>
          </w:tcPr>
          <w:p>
            <w:pPr>
              <w:pStyle w:val="TableParagraph"/>
              <w:spacing w:before="27"/>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7"/>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298" w:hRule="exact"/>
        </w:trPr>
        <w:tc>
          <w:tcPr>
            <w:tcW w:w="2280" w:type="dxa"/>
          </w:tcPr>
          <w:p>
            <w:pPr>
              <w:pStyle w:val="TableParagraph"/>
              <w:spacing w:before="18"/>
              <w:ind w:right="118"/>
              <w:jc w:val="right"/>
              <w:rPr>
                <w:b/>
                <w:sz w:val="22"/>
              </w:rPr>
            </w:pPr>
            <w:r>
              <w:rPr>
                <w:b/>
                <w:sz w:val="22"/>
                <w:shd w:fill="FFFF00" w:color="auto" w:val="clear"/>
              </w:rPr>
              <w:t>Secondary Reviewer:</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8"/>
              <w:ind w:right="-633"/>
              <w:jc w:val="right"/>
              <w:rPr>
                <w:b/>
                <w:sz w:val="22"/>
              </w:rPr>
            </w:pPr>
            <w:r>
              <w:rPr>
                <w:b/>
                <w:sz w:val="22"/>
                <w:shd w:fill="FFFF00" w:color="auto" w:val="clear"/>
              </w:rPr>
              <w:t>Date:</w:t>
            </w:r>
          </w:p>
        </w:tc>
      </w:tr>
      <w:tr>
        <w:trPr>
          <w:trHeight w:val="314" w:hRule="exact"/>
        </w:trPr>
        <w:tc>
          <w:tcPr>
            <w:tcW w:w="2280" w:type="dxa"/>
          </w:tcPr>
          <w:p>
            <w:pPr/>
          </w:p>
        </w:tc>
        <w:tc>
          <w:tcPr>
            <w:tcW w:w="2010" w:type="dxa"/>
            <w:tcBorders>
              <w:top w:val="single" w:sz="4" w:space="0" w:color="000000"/>
            </w:tcBorders>
          </w:tcPr>
          <w:p>
            <w:pPr>
              <w:pStyle w:val="TableParagraph"/>
              <w:spacing w:before="27"/>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7"/>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323" w:hRule="exact"/>
        </w:trPr>
        <w:tc>
          <w:tcPr>
            <w:tcW w:w="7950" w:type="dxa"/>
            <w:gridSpan w:val="4"/>
          </w:tcPr>
          <w:p>
            <w:pPr>
              <w:pStyle w:val="TableParagraph"/>
              <w:spacing w:before="18"/>
              <w:ind w:left="150"/>
              <w:rPr>
                <w:b/>
                <w:sz w:val="24"/>
              </w:rPr>
            </w:pPr>
            <w:r>
              <w:rPr>
                <w:b/>
                <w:color w:val="0070C0"/>
                <w:sz w:val="24"/>
                <w:shd w:fill="FFFF00" w:color="auto" w:val="clear"/>
              </w:rPr>
              <w:t>[FOR JOINT REVIEWS ONLY- </w:t>
            </w:r>
            <w:r>
              <w:rPr>
                <w:b/>
                <w:i/>
                <w:color w:val="0070C0"/>
                <w:sz w:val="24"/>
                <w:shd w:fill="FFFF00" w:color="auto" w:val="clear"/>
              </w:rPr>
              <w:t>otherwise delete</w:t>
            </w:r>
            <w:r>
              <w:rPr>
                <w:b/>
                <w:color w:val="0070C0"/>
                <w:sz w:val="24"/>
                <w:shd w:fill="FFFF00" w:color="auto" w:val="clear"/>
              </w:rPr>
              <w:t>]</w:t>
            </w:r>
          </w:p>
        </w:tc>
      </w:tr>
      <w:tr>
        <w:trPr>
          <w:trHeight w:val="299" w:hRule="exact"/>
        </w:trPr>
        <w:tc>
          <w:tcPr>
            <w:tcW w:w="2280" w:type="dxa"/>
          </w:tcPr>
          <w:p>
            <w:pPr>
              <w:pStyle w:val="TableParagraph"/>
              <w:spacing w:before="19"/>
              <w:ind w:right="118"/>
              <w:jc w:val="right"/>
              <w:rPr>
                <w:b/>
                <w:sz w:val="22"/>
              </w:rPr>
            </w:pPr>
            <w:r>
              <w:rPr>
                <w:b/>
                <w:sz w:val="22"/>
                <w:shd w:fill="FFFF00" w:color="auto" w:val="clear"/>
              </w:rPr>
              <w:t>Approved by:</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574"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bottom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bl>
    <w:p>
      <w:pPr>
        <w:pStyle w:val="BodyText"/>
        <w:spacing w:before="4"/>
        <w:rPr>
          <w:i w:val="0"/>
          <w:sz w:val="20"/>
        </w:rPr>
      </w:pPr>
      <w:r>
        <w:rPr/>
        <w:pict>
          <v:group style="position:absolute;margin-left:211.350006pt;margin-top:13.653222pt;width:195.3pt;height:24.65pt;mso-position-horizontal-relative:page;mso-position-vertical-relative:paragraph;z-index:1048;mso-wrap-distance-left:0;mso-wrap-distance-right:0" coordorigin="4227,273" coordsize="3906,493">
            <v:shape style="position:absolute;left:4227;top:273;width:3906;height:493" coordorigin="4227,273" coordsize="3906,493" path="m8133,273l4227,273,4227,766,8133,766,8133,746,4247,746,4247,293,8133,293,8133,273xm8133,293l8113,293,8113,746,8133,746,8133,293xm4267,313l4267,726,8093,726,8093,706,4287,706,4287,333,4267,313xm8093,313l4267,313,4287,333,8073,333,8073,706,8093,706,8093,313xe" filled="true" fillcolor="#000000" stroked="false">
              <v:path arrowok="t"/>
              <v:fill type="solid"/>
            </v:shape>
            <v:shape style="position:absolute;left:4227;top:273;width:3906;height:493" type="#_x0000_t202" filled="false" stroked="false">
              <v:textbox inset="0,0,0,0">
                <w:txbxContent>
                  <w:p>
                    <w:pPr>
                      <w:spacing w:before="131"/>
                      <w:ind w:left="508" w:right="0" w:firstLine="0"/>
                      <w:jc w:val="left"/>
                      <w:rPr>
                        <w:b/>
                        <w:sz w:val="20"/>
                      </w:rPr>
                    </w:pPr>
                    <w:r>
                      <w:rPr>
                        <w:b/>
                        <w:sz w:val="20"/>
                      </w:rPr>
                      <w:t>DATA EVALUATION RECORD</w:t>
                    </w:r>
                  </w:p>
                </w:txbxContent>
              </v:textbox>
              <w10:wrap type="none"/>
            </v:shape>
            <w10:wrap type="topAndBottom"/>
          </v:group>
        </w:pict>
      </w:r>
    </w:p>
    <w:p>
      <w:pPr>
        <w:pStyle w:val="BodyText"/>
        <w:spacing w:before="1"/>
        <w:rPr>
          <w:i w:val="0"/>
          <w:sz w:val="19"/>
        </w:rPr>
      </w:pPr>
    </w:p>
    <w:p>
      <w:pPr>
        <w:spacing w:before="92"/>
        <w:ind w:left="291" w:right="289" w:firstLine="1"/>
        <w:jc w:val="center"/>
        <w:rPr>
          <w:b/>
          <w:i/>
          <w:sz w:val="20"/>
        </w:rPr>
      </w:pPr>
      <w:r>
        <w:rPr>
          <w:b/>
          <w:i/>
          <w:color w:val="0070C0"/>
          <w:sz w:val="20"/>
          <w:shd w:fill="FFFF00" w:color="auto" w:val="clear"/>
        </w:rPr>
        <w:t>[</w:t>
      </w:r>
      <w:r>
        <w:rPr>
          <w:b/>
          <w:color w:val="0070C0"/>
          <w:sz w:val="20"/>
          <w:shd w:fill="FFFF00" w:color="auto" w:val="clear"/>
          <w:u w:val="single" w:color="0070C0"/>
        </w:rPr>
        <w:t>NOTE TO REGISTRANT/APPLICANT: </w:t>
      </w:r>
      <w:r>
        <w:rPr>
          <w:b/>
          <w:color w:val="0070C0"/>
          <w:sz w:val="20"/>
          <w:shd w:fill="FFFF00" w:color="auto" w:val="clear"/>
        </w:rPr>
        <w:t>PLEASE DISREGARD </w:t>
      </w:r>
      <w:r>
        <w:rPr>
          <w:b/>
          <w:i/>
          <w:color w:val="0070C0"/>
          <w:sz w:val="20"/>
          <w:shd w:fill="FFFF00" w:color="auto" w:val="clear"/>
        </w:rPr>
        <w:t>the header, footer, and reviewer information; </w:t>
      </w:r>
      <w:r>
        <w:rPr>
          <w:b/>
          <w:i/>
          <w:color w:val="0070C0"/>
          <w:sz w:val="20"/>
          <w:shd w:fill="FFFF00" w:color="auto" w:val="clear"/>
        </w:rPr>
        <w:t>reviewers’ comments in the conclusion section; and study classification statement. These sections are for EPA, PMRA, and OECD data entry only and will be populated upon Agency review.]</w:t>
      </w:r>
    </w:p>
    <w:p>
      <w:pPr>
        <w:pStyle w:val="BodyText"/>
        <w:spacing w:before="9"/>
        <w:rPr>
          <w:b/>
          <w:i/>
          <w:sz w:val="23"/>
        </w:rPr>
      </w:pPr>
    </w:p>
    <w:p>
      <w:pPr>
        <w:tabs>
          <w:tab w:pos="2300" w:val="left" w:leader="none"/>
        </w:tabs>
        <w:spacing w:before="1"/>
        <w:ind w:left="140" w:right="0" w:firstLine="0"/>
        <w:jc w:val="left"/>
        <w:rPr>
          <w:sz w:val="22"/>
        </w:rPr>
      </w:pPr>
      <w:r>
        <w:rPr>
          <w:b/>
          <w:sz w:val="22"/>
          <w:u w:val="thick"/>
        </w:rPr>
        <w:t>REQUIREMENT</w:t>
      </w:r>
      <w:r>
        <w:rPr>
          <w:b/>
          <w:sz w:val="22"/>
        </w:rPr>
        <w:t>:</w:t>
        <w:tab/>
      </w:r>
      <w:r>
        <w:rPr>
          <w:sz w:val="22"/>
        </w:rPr>
        <w:t>Freshwater Aquatic Invertebrate Testing, Tier</w:t>
      </w:r>
      <w:r>
        <w:rPr>
          <w:spacing w:val="-20"/>
          <w:sz w:val="22"/>
        </w:rPr>
        <w:t> </w:t>
      </w:r>
      <w:r>
        <w:rPr>
          <w:sz w:val="22"/>
        </w:rPr>
        <w:t>I</w:t>
      </w:r>
    </w:p>
    <w:p>
      <w:pPr>
        <w:pStyle w:val="Heading4"/>
        <w:tabs>
          <w:tab w:pos="5180" w:val="left" w:leader="none"/>
        </w:tabs>
        <w:ind w:left="2300"/>
      </w:pPr>
      <w:r>
        <w:rPr/>
        <w:t>U.S. EPA</w:t>
      </w:r>
      <w:r>
        <w:rPr>
          <w:spacing w:val="-5"/>
        </w:rPr>
        <w:t> </w:t>
      </w:r>
      <w:r>
        <w:rPr/>
        <w:t>OCSPP</w:t>
      </w:r>
      <w:r>
        <w:rPr>
          <w:spacing w:val="-2"/>
        </w:rPr>
        <w:t> </w:t>
      </w:r>
      <w:r>
        <w:rPr/>
        <w:t>Guideline:</w:t>
        <w:tab/>
        <w:t>885.4240</w:t>
      </w:r>
    </w:p>
    <w:p>
      <w:pPr>
        <w:tabs>
          <w:tab w:pos="4460" w:val="left" w:leader="none"/>
        </w:tabs>
        <w:spacing w:before="0"/>
        <w:ind w:left="2300" w:right="0" w:firstLine="0"/>
        <w:jc w:val="left"/>
        <w:rPr>
          <w:i/>
          <w:sz w:val="22"/>
        </w:rPr>
      </w:pPr>
      <w:r>
        <w:rPr>
          <w:sz w:val="22"/>
        </w:rPr>
        <w:t>PMRA</w:t>
      </w:r>
      <w:r>
        <w:rPr>
          <w:spacing w:val="-3"/>
          <w:sz w:val="22"/>
        </w:rPr>
        <w:t> </w:t>
      </w:r>
      <w:r>
        <w:rPr>
          <w:sz w:val="22"/>
        </w:rPr>
        <w:t>Data</w:t>
      </w:r>
      <w:r>
        <w:rPr>
          <w:spacing w:val="-3"/>
          <w:sz w:val="22"/>
        </w:rPr>
        <w:t> </w:t>
      </w:r>
      <w:r>
        <w:rPr>
          <w:sz w:val="22"/>
        </w:rPr>
        <w:t>Code:</w:t>
        <w:tab/>
        <w:t>M9.5.2–Aquatic arthropods </w:t>
      </w:r>
      <w:r>
        <w:rPr>
          <w:i/>
          <w:sz w:val="22"/>
        </w:rPr>
        <w:t>(pelagic and</w:t>
      </w:r>
      <w:r>
        <w:rPr>
          <w:i/>
          <w:spacing w:val="-22"/>
          <w:sz w:val="22"/>
        </w:rPr>
        <w:t> </w:t>
      </w:r>
      <w:r>
        <w:rPr>
          <w:i/>
          <w:sz w:val="22"/>
        </w:rPr>
        <w:t>benthic)</w:t>
      </w:r>
    </w:p>
    <w:p>
      <w:pPr>
        <w:pStyle w:val="Heading4"/>
        <w:tabs>
          <w:tab w:pos="4460" w:val="left" w:leader="none"/>
        </w:tabs>
        <w:ind w:left="2300"/>
      </w:pPr>
      <w:r>
        <w:rPr/>
        <w:t>OECD</w:t>
      </w:r>
      <w:r>
        <w:rPr>
          <w:spacing w:val="-3"/>
        </w:rPr>
        <w:t> </w:t>
      </w:r>
      <w:r>
        <w:rPr/>
        <w:t>Data</w:t>
      </w:r>
      <w:r>
        <w:rPr>
          <w:spacing w:val="-1"/>
        </w:rPr>
        <w:t> </w:t>
      </w:r>
      <w:r>
        <w:rPr/>
        <w:t>Code:</w:t>
        <w:tab/>
        <w:t>IIM 8.3, IIIM</w:t>
      </w:r>
      <w:r>
        <w:rPr>
          <w:spacing w:val="-4"/>
        </w:rPr>
        <w:t> </w:t>
      </w:r>
      <w:r>
        <w:rPr/>
        <w:t>10.2</w:t>
      </w:r>
    </w:p>
    <w:p>
      <w:pPr>
        <w:pStyle w:val="BodyText"/>
        <w:rPr>
          <w:i w:val="0"/>
          <w:sz w:val="22"/>
        </w:rPr>
      </w:pPr>
    </w:p>
    <w:p>
      <w:pPr>
        <w:tabs>
          <w:tab w:pos="3739" w:val="left" w:leader="none"/>
        </w:tabs>
        <w:spacing w:before="0"/>
        <w:ind w:left="140" w:right="0" w:firstLine="0"/>
        <w:jc w:val="left"/>
        <w:rPr>
          <w:i/>
          <w:sz w:val="22"/>
        </w:rPr>
      </w:pPr>
      <w:r>
        <w:rPr>
          <w:b/>
          <w:sz w:val="22"/>
          <w:u w:val="thick"/>
        </w:rPr>
        <w:t>TEST</w:t>
      </w:r>
      <w:r>
        <w:rPr>
          <w:b/>
          <w:spacing w:val="-2"/>
          <w:sz w:val="22"/>
          <w:u w:val="thick"/>
        </w:rPr>
        <w:t> </w:t>
      </w:r>
      <w:r>
        <w:rPr>
          <w:b/>
          <w:sz w:val="22"/>
          <w:u w:val="thick"/>
        </w:rPr>
        <w:t>MATERIAL</w:t>
      </w:r>
      <w:r>
        <w:rPr>
          <w:b/>
          <w:spacing w:val="-2"/>
          <w:sz w:val="22"/>
          <w:u w:val="thick"/>
        </w:rPr>
        <w:t> </w:t>
      </w:r>
      <w:r>
        <w:rPr>
          <w:b/>
          <w:sz w:val="22"/>
          <w:u w:val="thick"/>
        </w:rPr>
        <w:t>(PURITY)</w:t>
      </w:r>
      <w:r>
        <w:rPr>
          <w:b/>
          <w:sz w:val="22"/>
        </w:rPr>
        <w:t>:</w:t>
        <w:tab/>
      </w:r>
      <w:r>
        <w:rPr>
          <w:i/>
          <w:color w:val="FF0000"/>
          <w:sz w:val="22"/>
        </w:rPr>
        <w:t>[use name of material tested as referred to in the study and include</w:t>
      </w:r>
      <w:r>
        <w:rPr>
          <w:i/>
          <w:color w:val="FF0000"/>
          <w:spacing w:val="-34"/>
          <w:sz w:val="22"/>
        </w:rPr>
        <w:t> </w:t>
      </w:r>
      <w:r>
        <w:rPr>
          <w:i/>
          <w:color w:val="FF0000"/>
          <w:sz w:val="22"/>
        </w:rPr>
        <w:t>its</w:t>
      </w:r>
    </w:p>
    <w:p>
      <w:pPr>
        <w:pStyle w:val="Heading5"/>
        <w:ind w:left="3740" w:right="306"/>
      </w:pPr>
      <w:r>
        <w:rPr>
          <w:i/>
          <w:color w:val="FF0000"/>
        </w:rPr>
        <w:t>potency, lot no., biological activity or concentration per unit weight or </w:t>
      </w:r>
      <w:r>
        <w:rPr>
          <w:color w:val="FF0000"/>
        </w:rPr>
        <w:t>volume (% active ingredient name in parenthesis)] or [insert TGAI and EP names if a waiver request is made]</w:t>
      </w:r>
    </w:p>
    <w:p>
      <w:pPr>
        <w:pStyle w:val="BodyText"/>
        <w:spacing w:before="10"/>
        <w:rPr>
          <w:i/>
          <w:sz w:val="21"/>
        </w:rPr>
      </w:pPr>
    </w:p>
    <w:p>
      <w:pPr>
        <w:spacing w:before="0"/>
        <w:ind w:left="140" w:right="0" w:firstLine="0"/>
        <w:jc w:val="left"/>
        <w:rPr>
          <w:i/>
          <w:sz w:val="22"/>
        </w:rPr>
      </w:pPr>
      <w:r>
        <w:rPr>
          <w:b/>
          <w:sz w:val="22"/>
          <w:u w:val="thick"/>
        </w:rPr>
        <w:t>SYNONYMS</w:t>
      </w:r>
      <w:r>
        <w:rPr>
          <w:b/>
          <w:sz w:val="22"/>
        </w:rPr>
        <w:t>:  </w:t>
      </w:r>
      <w:r>
        <w:rPr>
          <w:i/>
          <w:color w:val="FF0000"/>
          <w:sz w:val="22"/>
        </w:rPr>
        <w:t>[other names, code names and acronyms]</w:t>
      </w:r>
    </w:p>
    <w:p>
      <w:pPr>
        <w:pStyle w:val="BodyText"/>
        <w:rPr>
          <w:i/>
          <w:sz w:val="14"/>
        </w:rPr>
      </w:pPr>
    </w:p>
    <w:p>
      <w:pPr>
        <w:tabs>
          <w:tab w:pos="1579" w:val="left" w:leader="none"/>
        </w:tabs>
        <w:spacing w:before="90"/>
        <w:ind w:left="1579" w:right="615" w:hanging="1440"/>
        <w:jc w:val="left"/>
        <w:rPr>
          <w:sz w:val="22"/>
        </w:rPr>
      </w:pPr>
      <w:r>
        <w:rPr>
          <w:b/>
          <w:sz w:val="22"/>
          <w:u w:val="thick"/>
        </w:rPr>
        <w:t>CITATION</w:t>
      </w:r>
      <w:r>
        <w:rPr>
          <w:b/>
          <w:sz w:val="22"/>
        </w:rPr>
        <w:t>:</w:t>
        <w:tab/>
      </w:r>
      <w:r>
        <w:rPr>
          <w:sz w:val="22"/>
        </w:rPr>
        <w:t>Author(s). </w:t>
      </w:r>
      <w:r>
        <w:rPr>
          <w:i/>
          <w:color w:val="FF0000"/>
          <w:sz w:val="22"/>
        </w:rPr>
        <w:t>[Year]</w:t>
      </w:r>
      <w:r>
        <w:rPr>
          <w:sz w:val="22"/>
        </w:rPr>
        <w:t>. Study Title. Laboratory name and address. Laboratory report</w:t>
      </w:r>
      <w:r>
        <w:rPr>
          <w:spacing w:val="-35"/>
          <w:sz w:val="22"/>
        </w:rPr>
        <w:t> </w:t>
      </w:r>
      <w:r>
        <w:rPr>
          <w:sz w:val="22"/>
        </w:rPr>
        <w:t>number,</w:t>
      </w:r>
      <w:r>
        <w:rPr>
          <w:spacing w:val="-4"/>
          <w:sz w:val="22"/>
        </w:rPr>
        <w:t> </w:t>
      </w:r>
      <w:r>
        <w:rPr>
          <w:sz w:val="22"/>
        </w:rPr>
        <w:t>full</w:t>
      </w:r>
      <w:r>
        <w:rPr>
          <w:w w:val="99"/>
          <w:sz w:val="22"/>
        </w:rPr>
        <w:t> </w:t>
      </w:r>
      <w:r>
        <w:rPr>
          <w:sz w:val="22"/>
        </w:rPr>
        <w:t>study date. Unpublished </w:t>
      </w:r>
      <w:r>
        <w:rPr>
          <w:i/>
          <w:color w:val="FF0000"/>
          <w:sz w:val="22"/>
        </w:rPr>
        <w:t>[OR if published, list Journal name, vol.: pages]</w:t>
      </w:r>
      <w:r>
        <w:rPr>
          <w:sz w:val="22"/>
        </w:rPr>
        <w:t>. MRID No. </w:t>
      </w:r>
      <w:r>
        <w:rPr>
          <w:i/>
          <w:color w:val="FF0000"/>
          <w:sz w:val="22"/>
        </w:rPr>
        <w:t>[no </w:t>
      </w:r>
      <w:r>
        <w:rPr>
          <w:i/>
          <w:color w:val="FF0000"/>
          <w:sz w:val="22"/>
        </w:rPr>
        <w:t>hyphen], </w:t>
      </w:r>
      <w:r>
        <w:rPr>
          <w:sz w:val="22"/>
        </w:rPr>
        <w:t>PMRA </w:t>
      </w:r>
      <w:r>
        <w:rPr>
          <w:i/>
          <w:color w:val="FF0000"/>
          <w:sz w:val="22"/>
        </w:rPr>
        <w:t>[number if</w:t>
      </w:r>
      <w:r>
        <w:rPr>
          <w:i/>
          <w:color w:val="FF0000"/>
          <w:spacing w:val="-18"/>
          <w:sz w:val="22"/>
        </w:rPr>
        <w:t> </w:t>
      </w:r>
      <w:r>
        <w:rPr>
          <w:i/>
          <w:color w:val="FF0000"/>
          <w:sz w:val="22"/>
        </w:rPr>
        <w:t>applicable]</w:t>
      </w:r>
      <w:r>
        <w:rPr>
          <w:sz w:val="22"/>
        </w:rPr>
        <w:t>.</w:t>
      </w:r>
    </w:p>
    <w:p>
      <w:pPr>
        <w:pStyle w:val="BodyText"/>
        <w:spacing w:before="11"/>
        <w:rPr>
          <w:i w:val="0"/>
          <w:sz w:val="21"/>
        </w:rPr>
      </w:pPr>
    </w:p>
    <w:p>
      <w:pPr>
        <w:pStyle w:val="Heading5"/>
        <w:tabs>
          <w:tab w:pos="1580" w:val="left" w:leader="none"/>
        </w:tabs>
        <w:ind w:left="140"/>
        <w:rPr>
          <w:i/>
        </w:rPr>
      </w:pPr>
      <w:r>
        <w:rPr>
          <w:b/>
          <w:i w:val="0"/>
          <w:u w:val="thick"/>
        </w:rPr>
        <w:t>SPONSOR</w:t>
      </w:r>
      <w:r>
        <w:rPr>
          <w:b/>
          <w:i w:val="0"/>
        </w:rPr>
        <w:t>:</w:t>
        <w:tab/>
      </w:r>
      <w:r>
        <w:rPr>
          <w:i/>
          <w:color w:val="FF0000"/>
        </w:rPr>
        <w:t>[Name</w:t>
      </w:r>
      <w:r>
        <w:rPr>
          <w:i/>
          <w:color w:val="FF0000"/>
          <w:spacing w:val="-4"/>
        </w:rPr>
        <w:t> </w:t>
      </w:r>
      <w:r>
        <w:rPr>
          <w:i/>
          <w:color w:val="FF0000"/>
        </w:rPr>
        <w:t>and</w:t>
      </w:r>
      <w:r>
        <w:rPr>
          <w:i/>
          <w:color w:val="FF0000"/>
          <w:spacing w:val="-3"/>
        </w:rPr>
        <w:t> </w:t>
      </w:r>
      <w:r>
        <w:rPr>
          <w:i/>
          <w:color w:val="FF0000"/>
        </w:rPr>
        <w:t>address</w:t>
      </w:r>
      <w:r>
        <w:rPr>
          <w:i/>
          <w:color w:val="FF0000"/>
          <w:spacing w:val="-4"/>
        </w:rPr>
        <w:t> </w:t>
      </w:r>
      <w:r>
        <w:rPr>
          <w:i/>
          <w:color w:val="FF0000"/>
        </w:rPr>
        <w:t>of</w:t>
      </w:r>
      <w:r>
        <w:rPr>
          <w:i/>
          <w:color w:val="FF0000"/>
          <w:spacing w:val="-3"/>
        </w:rPr>
        <w:t> </w:t>
      </w:r>
      <w:r>
        <w:rPr>
          <w:i/>
          <w:color w:val="FF0000"/>
        </w:rPr>
        <w:t>Study</w:t>
      </w:r>
      <w:r>
        <w:rPr>
          <w:i/>
          <w:color w:val="FF0000"/>
          <w:spacing w:val="-4"/>
        </w:rPr>
        <w:t> </w:t>
      </w:r>
      <w:r>
        <w:rPr>
          <w:i/>
          <w:color w:val="FF0000"/>
        </w:rPr>
        <w:t>Sponsor</w:t>
      </w:r>
      <w:r>
        <w:rPr>
          <w:i/>
          <w:color w:val="FF0000"/>
          <w:spacing w:val="-4"/>
        </w:rPr>
        <w:t> </w:t>
      </w:r>
      <w:r>
        <w:rPr>
          <w:i/>
          <w:color w:val="FF0000"/>
        </w:rPr>
        <w:t>-</w:t>
      </w:r>
      <w:r>
        <w:rPr>
          <w:i/>
          <w:color w:val="FF0000"/>
          <w:spacing w:val="-5"/>
        </w:rPr>
        <w:t> </w:t>
      </w:r>
      <w:r>
        <w:rPr>
          <w:i/>
          <w:color w:val="FF0000"/>
        </w:rPr>
        <w:t>indicate</w:t>
      </w:r>
      <w:r>
        <w:rPr>
          <w:i/>
          <w:color w:val="FF0000"/>
          <w:spacing w:val="-4"/>
        </w:rPr>
        <w:t> </w:t>
      </w:r>
      <w:r>
        <w:rPr>
          <w:i/>
          <w:color w:val="FF0000"/>
        </w:rPr>
        <w:t>if</w:t>
      </w:r>
      <w:r>
        <w:rPr>
          <w:i/>
          <w:color w:val="FF0000"/>
          <w:spacing w:val="-3"/>
        </w:rPr>
        <w:t> </w:t>
      </w:r>
      <w:r>
        <w:rPr>
          <w:i/>
          <w:color w:val="FF0000"/>
        </w:rPr>
        <w:t>different</w:t>
      </w:r>
      <w:r>
        <w:rPr>
          <w:i/>
          <w:color w:val="FF0000"/>
          <w:spacing w:val="-3"/>
        </w:rPr>
        <w:t> </w:t>
      </w:r>
      <w:r>
        <w:rPr>
          <w:i/>
          <w:color w:val="FF0000"/>
        </w:rPr>
        <w:t>from</w:t>
      </w:r>
      <w:r>
        <w:rPr>
          <w:i/>
          <w:color w:val="FF0000"/>
          <w:spacing w:val="-4"/>
        </w:rPr>
        <w:t> </w:t>
      </w:r>
      <w:r>
        <w:rPr>
          <w:i/>
          <w:color w:val="FF0000"/>
        </w:rPr>
        <w:t>Applicant]</w:t>
      </w:r>
    </w:p>
    <w:p>
      <w:pPr>
        <w:pStyle w:val="BodyText"/>
        <w:rPr>
          <w:i/>
          <w:sz w:val="14"/>
        </w:rPr>
      </w:pPr>
    </w:p>
    <w:p>
      <w:pPr>
        <w:tabs>
          <w:tab w:pos="2299" w:val="left" w:leader="none"/>
        </w:tabs>
        <w:spacing w:before="91"/>
        <w:ind w:left="2300" w:right="214" w:hanging="2160"/>
        <w:jc w:val="left"/>
        <w:rPr>
          <w:sz w:val="22"/>
        </w:rPr>
      </w:pPr>
      <w:r>
        <w:rPr>
          <w:b/>
          <w:sz w:val="22"/>
          <w:u w:val="thick"/>
        </w:rPr>
        <w:t>COMPLIANCE</w:t>
      </w:r>
      <w:r>
        <w:rPr>
          <w:b/>
          <w:sz w:val="22"/>
        </w:rPr>
        <w:t>:</w:t>
        <w:tab/>
      </w:r>
      <w:r>
        <w:rPr>
          <w:sz w:val="22"/>
        </w:rPr>
        <w:t>Signed and dated GLP, Quality Assurance, and Data Confidentiality</w:t>
      </w:r>
      <w:r>
        <w:rPr>
          <w:spacing w:val="-37"/>
          <w:sz w:val="22"/>
        </w:rPr>
        <w:t> </w:t>
      </w:r>
      <w:r>
        <w:rPr>
          <w:sz w:val="22"/>
        </w:rPr>
        <w:t>statements</w:t>
      </w:r>
      <w:r>
        <w:rPr>
          <w:spacing w:val="-4"/>
          <w:sz w:val="22"/>
        </w:rPr>
        <w:t> </w:t>
      </w:r>
      <w:r>
        <w:rPr>
          <w:sz w:val="22"/>
        </w:rPr>
        <w:t>were</w:t>
      </w:r>
      <w:r>
        <w:rPr>
          <w:w w:val="99"/>
          <w:sz w:val="22"/>
        </w:rPr>
        <w:t> </w:t>
      </w:r>
      <w:r>
        <w:rPr>
          <w:i/>
          <w:color w:val="FF0000"/>
          <w:sz w:val="22"/>
        </w:rPr>
        <w:t>[not]</w:t>
      </w:r>
      <w:r>
        <w:rPr>
          <w:i/>
          <w:color w:val="FF0000"/>
          <w:spacing w:val="-1"/>
          <w:sz w:val="22"/>
        </w:rPr>
        <w:t> </w:t>
      </w:r>
      <w:r>
        <w:rPr>
          <w:sz w:val="22"/>
        </w:rPr>
        <w:t>provided.</w:t>
      </w:r>
      <w:r>
        <w:rPr>
          <w:spacing w:val="-4"/>
          <w:sz w:val="22"/>
        </w:rPr>
        <w:t> </w:t>
      </w:r>
      <w:r>
        <w:rPr>
          <w:sz w:val="22"/>
        </w:rPr>
        <w:t>The</w:t>
      </w:r>
      <w:r>
        <w:rPr>
          <w:spacing w:val="-5"/>
          <w:sz w:val="22"/>
        </w:rPr>
        <w:t> </w:t>
      </w:r>
      <w:r>
        <w:rPr>
          <w:sz w:val="22"/>
        </w:rPr>
        <w:t>study</w:t>
      </w:r>
      <w:r>
        <w:rPr>
          <w:spacing w:val="-5"/>
          <w:sz w:val="22"/>
        </w:rPr>
        <w:t> </w:t>
      </w:r>
      <w:r>
        <w:rPr>
          <w:sz w:val="22"/>
        </w:rPr>
        <w:t>was</w:t>
      </w:r>
      <w:r>
        <w:rPr>
          <w:spacing w:val="-4"/>
          <w:sz w:val="22"/>
        </w:rPr>
        <w:t> </w:t>
      </w:r>
      <w:r>
        <w:rPr>
          <w:i/>
          <w:color w:val="FF0000"/>
          <w:sz w:val="22"/>
        </w:rPr>
        <w:t>[not] </w:t>
      </w:r>
      <w:r>
        <w:rPr>
          <w:sz w:val="22"/>
        </w:rPr>
        <w:t>conducted</w:t>
      </w:r>
      <w:r>
        <w:rPr>
          <w:spacing w:val="-4"/>
          <w:sz w:val="22"/>
        </w:rPr>
        <w:t> </w:t>
      </w:r>
      <w:r>
        <w:rPr>
          <w:sz w:val="22"/>
        </w:rPr>
        <w:t>in</w:t>
      </w:r>
      <w:r>
        <w:rPr>
          <w:spacing w:val="-4"/>
          <w:sz w:val="22"/>
        </w:rPr>
        <w:t> </w:t>
      </w:r>
      <w:r>
        <w:rPr>
          <w:sz w:val="22"/>
        </w:rPr>
        <w:t>compliance</w:t>
      </w:r>
      <w:r>
        <w:rPr>
          <w:spacing w:val="-5"/>
          <w:sz w:val="22"/>
        </w:rPr>
        <w:t> </w:t>
      </w:r>
      <w:r>
        <w:rPr>
          <w:sz w:val="22"/>
        </w:rPr>
        <w:t>with</w:t>
      </w:r>
      <w:r>
        <w:rPr>
          <w:spacing w:val="-4"/>
          <w:sz w:val="22"/>
        </w:rPr>
        <w:t> </w:t>
      </w:r>
      <w:r>
        <w:rPr>
          <w:sz w:val="22"/>
        </w:rPr>
        <w:t>GLP</w:t>
      </w:r>
      <w:r>
        <w:rPr>
          <w:spacing w:val="-4"/>
          <w:sz w:val="22"/>
        </w:rPr>
        <w:t> </w:t>
      </w:r>
      <w:r>
        <w:rPr>
          <w:sz w:val="22"/>
        </w:rPr>
        <w:t>[40</w:t>
      </w:r>
      <w:r>
        <w:rPr>
          <w:spacing w:val="-4"/>
          <w:sz w:val="22"/>
        </w:rPr>
        <w:t> </w:t>
      </w:r>
      <w:r>
        <w:rPr>
          <w:sz w:val="22"/>
        </w:rPr>
        <w:t>CFR</w:t>
      </w:r>
      <w:r>
        <w:rPr>
          <w:spacing w:val="-4"/>
          <w:sz w:val="22"/>
        </w:rPr>
        <w:t> </w:t>
      </w:r>
      <w:r>
        <w:rPr>
          <w:sz w:val="22"/>
        </w:rPr>
        <w:t>§</w:t>
      </w:r>
      <w:r>
        <w:rPr>
          <w:spacing w:val="-4"/>
          <w:sz w:val="22"/>
        </w:rPr>
        <w:t> </w:t>
      </w:r>
      <w:r>
        <w:rPr>
          <w:sz w:val="22"/>
        </w:rPr>
        <w:t>160]. </w:t>
      </w:r>
      <w:r>
        <w:rPr>
          <w:i/>
          <w:color w:val="FF0000"/>
          <w:sz w:val="22"/>
        </w:rPr>
        <w:t>[Discuss deviations from regulatory requirements] </w:t>
      </w:r>
      <w:r>
        <w:rPr>
          <w:sz w:val="22"/>
        </w:rPr>
        <w:t>This DER does </w:t>
      </w:r>
      <w:r>
        <w:rPr>
          <w:i/>
          <w:color w:val="FF0000"/>
          <w:sz w:val="22"/>
        </w:rPr>
        <w:t>[not] </w:t>
      </w:r>
      <w:r>
        <w:rPr>
          <w:sz w:val="22"/>
        </w:rPr>
        <w:t>contain FIFRA CBI.</w:t>
      </w:r>
    </w:p>
    <w:p>
      <w:pPr>
        <w:pStyle w:val="BodyText"/>
        <w:spacing w:before="1"/>
        <w:rPr>
          <w:i w:val="0"/>
          <w:sz w:val="22"/>
        </w:rPr>
      </w:pPr>
    </w:p>
    <w:p>
      <w:pPr>
        <w:tabs>
          <w:tab w:pos="3019" w:val="left" w:leader="none"/>
        </w:tabs>
        <w:spacing w:before="0"/>
        <w:ind w:left="140" w:right="0" w:firstLine="0"/>
        <w:jc w:val="left"/>
        <w:rPr>
          <w:i/>
          <w:sz w:val="22"/>
        </w:rPr>
      </w:pPr>
      <w:r>
        <w:rPr>
          <w:b/>
          <w:sz w:val="22"/>
          <w:u w:val="thick"/>
        </w:rPr>
        <w:t>EXECUTIVE</w:t>
      </w:r>
      <w:r>
        <w:rPr>
          <w:b/>
          <w:spacing w:val="-3"/>
          <w:sz w:val="22"/>
          <w:u w:val="thick"/>
        </w:rPr>
        <w:t> </w:t>
      </w:r>
      <w:r>
        <w:rPr>
          <w:b/>
          <w:sz w:val="22"/>
          <w:u w:val="thick"/>
        </w:rPr>
        <w:t>SUMMARY</w:t>
      </w:r>
      <w:r>
        <w:rPr>
          <w:b/>
          <w:sz w:val="22"/>
        </w:rPr>
        <w:t>:</w:t>
        <w:tab/>
      </w:r>
      <w:r>
        <w:rPr>
          <w:i/>
          <w:color w:val="FF0000"/>
          <w:sz w:val="22"/>
        </w:rPr>
        <w:t>[Describe the study and its</w:t>
      </w:r>
      <w:r>
        <w:rPr>
          <w:i/>
          <w:color w:val="FF0000"/>
          <w:spacing w:val="-20"/>
          <w:sz w:val="22"/>
        </w:rPr>
        <w:t> </w:t>
      </w:r>
      <w:r>
        <w:rPr>
          <w:i/>
          <w:color w:val="FF0000"/>
          <w:sz w:val="22"/>
        </w:rPr>
        <w:t>findings.]</w:t>
      </w:r>
    </w:p>
    <w:p>
      <w:pPr>
        <w:pStyle w:val="BodyText"/>
        <w:rPr>
          <w:i/>
          <w:sz w:val="20"/>
        </w:rPr>
      </w:pPr>
    </w:p>
    <w:p>
      <w:pPr>
        <w:pStyle w:val="BodyText"/>
        <w:spacing w:before="10"/>
        <w:rPr>
          <w:i/>
          <w:sz w:val="15"/>
        </w:rPr>
      </w:pPr>
    </w:p>
    <w:p>
      <w:pPr>
        <w:spacing w:before="91"/>
        <w:ind w:left="140" w:right="0" w:firstLine="0"/>
        <w:jc w:val="left"/>
        <w:rPr>
          <w:i/>
          <w:sz w:val="22"/>
        </w:rPr>
      </w:pPr>
      <w:r>
        <w:rPr>
          <w:sz w:val="22"/>
        </w:rPr>
        <w:t>In a </w:t>
      </w:r>
      <w:r>
        <w:rPr>
          <w:i/>
          <w:color w:val="FF0000"/>
          <w:sz w:val="22"/>
        </w:rPr>
        <w:t>[#]</w:t>
      </w:r>
      <w:r>
        <w:rPr>
          <w:sz w:val="22"/>
        </w:rPr>
        <w:t>-day toxicity and pathogenicity study, </w:t>
      </w:r>
      <w:r>
        <w:rPr>
          <w:i/>
          <w:color w:val="FF0000"/>
          <w:sz w:val="22"/>
        </w:rPr>
        <w:t>[common name (scientific name)] </w:t>
      </w:r>
      <w:r>
        <w:rPr>
          <w:sz w:val="22"/>
        </w:rPr>
        <w:t>were exposed to a </w:t>
      </w:r>
      <w:r>
        <w:rPr>
          <w:i/>
          <w:color w:val="FF0000"/>
          <w:sz w:val="22"/>
        </w:rPr>
        <w:t>[single OR #]</w:t>
      </w:r>
    </w:p>
    <w:p>
      <w:pPr>
        <w:pStyle w:val="Heading5"/>
        <w:ind w:left="140"/>
        <w:rPr>
          <w:i/>
        </w:rPr>
      </w:pPr>
      <w:r>
        <w:rPr>
          <w:i w:val="0"/>
        </w:rPr>
        <w:t>dose </w:t>
      </w:r>
      <w:r>
        <w:rPr>
          <w:i/>
          <w:color w:val="FF0000"/>
        </w:rPr>
        <w:t>[dose amount] </w:t>
      </w:r>
      <w:r>
        <w:rPr>
          <w:i w:val="0"/>
        </w:rPr>
        <w:t>of </w:t>
      </w:r>
      <w:r>
        <w:rPr>
          <w:i/>
          <w:color w:val="FF0000"/>
        </w:rPr>
        <w:t>[formulation, note its potency, biological activity or concentration per unit weight or</w:t>
      </w:r>
    </w:p>
    <w:p>
      <w:pPr>
        <w:spacing w:after="0"/>
        <w:sectPr>
          <w:headerReference w:type="default" r:id="rId5"/>
          <w:footerReference w:type="default" r:id="rId6"/>
          <w:type w:val="continuous"/>
          <w:pgSz w:w="12240" w:h="15840"/>
          <w:pgMar w:header="729" w:footer="1381" w:top="1940" w:bottom="1580" w:left="940" w:right="940"/>
        </w:sectPr>
      </w:pPr>
    </w:p>
    <w:p>
      <w:pPr>
        <w:spacing w:before="181"/>
        <w:ind w:left="140" w:right="0" w:firstLine="0"/>
        <w:jc w:val="left"/>
        <w:rPr>
          <w:i/>
          <w:sz w:val="22"/>
        </w:rPr>
      </w:pPr>
      <w:r>
        <w:rPr>
          <w:i/>
          <w:color w:val="FF0000"/>
          <w:sz w:val="22"/>
        </w:rPr>
        <w:t>volume; indicate if conducted at maximum hazard dose] </w:t>
      </w:r>
      <w:r>
        <w:rPr>
          <w:sz w:val="22"/>
        </w:rPr>
        <w:t>(containing % </w:t>
      </w:r>
      <w:r>
        <w:rPr>
          <w:i/>
          <w:color w:val="FF0000"/>
          <w:sz w:val="22"/>
        </w:rPr>
        <w:t>a.i. name</w:t>
      </w:r>
      <w:r>
        <w:rPr>
          <w:sz w:val="22"/>
        </w:rPr>
        <w:t>) under </w:t>
      </w:r>
      <w:r>
        <w:rPr>
          <w:i/>
          <w:color w:val="FF0000"/>
          <w:sz w:val="22"/>
        </w:rPr>
        <w:t>[static/flow through]</w:t>
      </w:r>
    </w:p>
    <w:p>
      <w:pPr>
        <w:pStyle w:val="Heading5"/>
        <w:ind w:left="140"/>
        <w:rPr>
          <w:i/>
        </w:rPr>
      </w:pPr>
      <w:r>
        <w:rPr>
          <w:i w:val="0"/>
        </w:rPr>
        <w:t>conditions</w:t>
      </w:r>
      <w:r>
        <w:rPr>
          <w:i/>
          <w:color w:val="FF0000"/>
        </w:rPr>
        <w:t>. [Include other pertinent details such as the controls used.]</w:t>
      </w:r>
    </w:p>
    <w:p>
      <w:pPr>
        <w:pStyle w:val="BodyText"/>
        <w:rPr>
          <w:i/>
          <w:sz w:val="22"/>
        </w:rPr>
      </w:pPr>
    </w:p>
    <w:p>
      <w:pPr>
        <w:spacing w:before="0"/>
        <w:ind w:left="140" w:right="190" w:firstLine="0"/>
        <w:jc w:val="left"/>
        <w:rPr>
          <w:i/>
          <w:sz w:val="22"/>
        </w:rPr>
      </w:pPr>
      <w:r>
        <w:rPr>
          <w:i/>
          <w:color w:val="FF0000"/>
          <w:sz w:val="22"/>
        </w:rPr>
        <w:t>[Note if no mortality occurred. Describe findings briefly including mortality, behavioral abnormalities, and other </w:t>
      </w:r>
      <w:r>
        <w:rPr>
          <w:i/>
          <w:color w:val="FF0000"/>
          <w:sz w:val="22"/>
        </w:rPr>
        <w:t>signs of toxicity. If there was no toxicity, state that there was no test material-related toxic or pathogenic effect.]</w:t>
      </w:r>
    </w:p>
    <w:p>
      <w:pPr>
        <w:pStyle w:val="BodyText"/>
        <w:spacing w:before="1"/>
        <w:rPr>
          <w:i/>
          <w:sz w:val="22"/>
        </w:rPr>
      </w:pPr>
    </w:p>
    <w:p>
      <w:pPr>
        <w:spacing w:line="237" w:lineRule="auto" w:before="0"/>
        <w:ind w:left="139" w:right="362" w:firstLine="0"/>
        <w:jc w:val="left"/>
        <w:rPr>
          <w:sz w:val="22"/>
        </w:rPr>
      </w:pPr>
      <w:r>
        <w:rPr>
          <w:sz w:val="22"/>
        </w:rPr>
        <w:t>The </w:t>
      </w:r>
      <w:r>
        <w:rPr>
          <w:i/>
          <w:color w:val="FF0000"/>
          <w:sz w:val="22"/>
        </w:rPr>
        <w:t>[#]</w:t>
      </w:r>
      <w:r>
        <w:rPr>
          <w:sz w:val="22"/>
        </w:rPr>
        <w:t>-day LC</w:t>
      </w:r>
      <w:r>
        <w:rPr>
          <w:position w:val="-1"/>
          <w:sz w:val="14"/>
        </w:rPr>
        <w:t>50 </w:t>
      </w:r>
      <w:r>
        <w:rPr>
          <w:i/>
          <w:color w:val="FF0000"/>
          <w:sz w:val="22"/>
        </w:rPr>
        <w:t>[or ID</w:t>
      </w:r>
      <w:r>
        <w:rPr>
          <w:i/>
          <w:color w:val="FF0000"/>
          <w:position w:val="-1"/>
          <w:sz w:val="14"/>
        </w:rPr>
        <w:t>50</w:t>
      </w:r>
      <w:r>
        <w:rPr>
          <w:i/>
          <w:color w:val="FF0000"/>
          <w:sz w:val="22"/>
        </w:rPr>
        <w:t>] </w:t>
      </w:r>
      <w:r>
        <w:rPr>
          <w:sz w:val="22"/>
        </w:rPr>
        <w:t>was </w:t>
      </w:r>
      <w:r>
        <w:rPr>
          <w:i/>
          <w:color w:val="FF0000"/>
          <w:sz w:val="22"/>
        </w:rPr>
        <w:t>[</w:t>
      </w:r>
      <w:r>
        <w:rPr>
          <w:b/>
          <w:i/>
          <w:color w:val="FF0000"/>
          <w:sz w:val="22"/>
        </w:rPr>
        <w:t>=, &gt; or &lt;</w:t>
      </w:r>
      <w:r>
        <w:rPr>
          <w:i/>
          <w:color w:val="FF0000"/>
          <w:sz w:val="22"/>
        </w:rPr>
        <w:t>] [insert LC</w:t>
      </w:r>
      <w:r>
        <w:rPr>
          <w:i/>
          <w:color w:val="FF0000"/>
          <w:position w:val="-1"/>
          <w:sz w:val="14"/>
        </w:rPr>
        <w:t>50 </w:t>
      </w:r>
      <w:r>
        <w:rPr>
          <w:i/>
          <w:color w:val="FF0000"/>
          <w:sz w:val="22"/>
        </w:rPr>
        <w:t>or ID</w:t>
      </w:r>
      <w:r>
        <w:rPr>
          <w:i/>
          <w:color w:val="FF0000"/>
          <w:position w:val="-1"/>
          <w:sz w:val="14"/>
        </w:rPr>
        <w:t>50 </w:t>
      </w:r>
      <w:r>
        <w:rPr>
          <w:i/>
          <w:color w:val="FF0000"/>
          <w:sz w:val="22"/>
        </w:rPr>
        <w:t>in appropriate units] </w:t>
      </w:r>
      <w:r>
        <w:rPr>
          <w:b/>
          <w:sz w:val="22"/>
        </w:rPr>
        <w:t>(95% C.I. </w:t>
      </w:r>
      <w:r>
        <w:rPr>
          <w:b/>
          <w:color w:val="FF0000"/>
          <w:sz w:val="22"/>
        </w:rPr>
        <w:t>if available</w:t>
      </w:r>
      <w:r>
        <w:rPr>
          <w:b/>
          <w:sz w:val="22"/>
        </w:rPr>
        <w:t>)</w:t>
      </w:r>
      <w:r>
        <w:rPr>
          <w:sz w:val="22"/>
        </w:rPr>
        <w:t>. </w:t>
      </w:r>
      <w:r>
        <w:rPr>
          <w:i/>
          <w:color w:val="FF0000"/>
          <w:sz w:val="22"/>
        </w:rPr>
        <w:t>[NOTE: If the study included sublethal test endpoints and/or sublethal effects were observed and/or additional </w:t>
      </w:r>
      <w:r>
        <w:rPr>
          <w:i/>
          <w:color w:val="FF0000"/>
          <w:sz w:val="22"/>
        </w:rPr>
        <w:t>subchronic testing was triggered include the following text: </w:t>
      </w:r>
      <w:r>
        <w:rPr>
          <w:sz w:val="22"/>
        </w:rPr>
        <w:t>The EC</w:t>
      </w:r>
      <w:r>
        <w:rPr>
          <w:position w:val="-1"/>
          <w:sz w:val="14"/>
        </w:rPr>
        <w:t>50 </w:t>
      </w:r>
      <w:r>
        <w:rPr>
          <w:sz w:val="22"/>
        </w:rPr>
        <w:t>based on sublethal effects was </w:t>
      </w:r>
      <w:r>
        <w:rPr>
          <w:i/>
          <w:color w:val="FF0000"/>
          <w:sz w:val="22"/>
        </w:rPr>
        <w:t>[</w:t>
      </w:r>
      <w:r>
        <w:rPr>
          <w:b/>
          <w:i/>
          <w:color w:val="FF0000"/>
          <w:sz w:val="22"/>
        </w:rPr>
        <w:t>=, &gt; or &lt;</w:t>
      </w:r>
      <w:r>
        <w:rPr>
          <w:i/>
          <w:color w:val="FF0000"/>
          <w:sz w:val="22"/>
        </w:rPr>
        <w:t>] </w:t>
      </w:r>
      <w:r>
        <w:rPr>
          <w:i/>
          <w:color w:val="FF0000"/>
          <w:sz w:val="22"/>
        </w:rPr>
        <w:t>[insert EC</w:t>
      </w:r>
      <w:r>
        <w:rPr>
          <w:i/>
          <w:color w:val="FF0000"/>
          <w:position w:val="-1"/>
          <w:sz w:val="14"/>
        </w:rPr>
        <w:t>50 </w:t>
      </w:r>
      <w:r>
        <w:rPr>
          <w:i/>
          <w:color w:val="FF0000"/>
          <w:sz w:val="22"/>
        </w:rPr>
        <w:t>in appropriate units.] </w:t>
      </w:r>
      <w:r>
        <w:rPr>
          <w:sz w:val="22"/>
        </w:rPr>
        <w:t>The NOEC value, based on mortality </w:t>
      </w:r>
      <w:r>
        <w:rPr>
          <w:i/>
          <w:color w:val="FF0000"/>
          <w:sz w:val="22"/>
        </w:rPr>
        <w:t>[and sublethal effects]</w:t>
      </w:r>
      <w:r>
        <w:rPr>
          <w:sz w:val="22"/>
        </w:rPr>
        <w:t>, was </w:t>
      </w:r>
      <w:r>
        <w:rPr>
          <w:i/>
          <w:color w:val="FF0000"/>
          <w:sz w:val="22"/>
        </w:rPr>
        <w:t>[</w:t>
      </w:r>
      <w:r>
        <w:rPr>
          <w:b/>
          <w:i/>
          <w:color w:val="FF0000"/>
          <w:sz w:val="22"/>
        </w:rPr>
        <w:t>=, &gt; or &lt;</w:t>
      </w:r>
      <w:r>
        <w:rPr>
          <w:i/>
          <w:color w:val="FF0000"/>
          <w:sz w:val="22"/>
        </w:rPr>
        <w:t>] </w:t>
      </w:r>
      <w:r>
        <w:rPr>
          <w:i/>
          <w:color w:val="FF0000"/>
          <w:sz w:val="22"/>
        </w:rPr>
        <w:t>[insert NOEC in appropriate units]</w:t>
      </w:r>
      <w:r>
        <w:rPr>
          <w:sz w:val="22"/>
        </w:rPr>
        <w:t>.</w:t>
      </w:r>
    </w:p>
    <w:p>
      <w:pPr>
        <w:pStyle w:val="BodyText"/>
        <w:rPr>
          <w:i w:val="0"/>
          <w:sz w:val="22"/>
        </w:rPr>
      </w:pPr>
    </w:p>
    <w:p>
      <w:pPr>
        <w:spacing w:before="0"/>
        <w:ind w:left="139" w:right="321" w:firstLine="0"/>
        <w:jc w:val="left"/>
        <w:rPr>
          <w:i/>
          <w:sz w:val="22"/>
        </w:rPr>
      </w:pPr>
      <w:r>
        <w:rPr>
          <w:sz w:val="22"/>
        </w:rPr>
        <w:t>This study is classified as </w:t>
      </w:r>
      <w:r>
        <w:rPr>
          <w:i/>
          <w:color w:val="FF0000"/>
          <w:sz w:val="22"/>
        </w:rPr>
        <w:t>[acceptable, unacceptable, supplemental]. </w:t>
      </w:r>
      <w:r>
        <w:rPr>
          <w:sz w:val="22"/>
        </w:rPr>
        <w:t>This study was </w:t>
      </w:r>
      <w:r>
        <w:rPr>
          <w:i/>
          <w:color w:val="FF0000"/>
          <w:sz w:val="22"/>
        </w:rPr>
        <w:t>[not] </w:t>
      </w:r>
      <w:r>
        <w:rPr>
          <w:sz w:val="22"/>
        </w:rPr>
        <w:t>conducted in accordance with the guideline recommendations for a </w:t>
      </w:r>
      <w:r>
        <w:rPr>
          <w:i/>
          <w:color w:val="FF0000"/>
          <w:sz w:val="22"/>
        </w:rPr>
        <w:t>[contact, oral or dietary] </w:t>
      </w:r>
      <w:r>
        <w:rPr>
          <w:sz w:val="22"/>
        </w:rPr>
        <w:t>toxicity and pathogenicity study for freshwater aquatic invertebrates (OCSPP 885.4340; PMRA: M9.5.2 and OECD: IIM 8.8, IIIM 10.4) in the </w:t>
      </w:r>
      <w:r>
        <w:rPr>
          <w:i/>
          <w:color w:val="FF0000"/>
          <w:sz w:val="22"/>
        </w:rPr>
        <w:t>[species]</w:t>
      </w:r>
      <w:r>
        <w:rPr>
          <w:color w:val="FF0000"/>
          <w:sz w:val="22"/>
        </w:rPr>
        <w:t>. </w:t>
      </w:r>
      <w:r>
        <w:rPr>
          <w:i/>
          <w:color w:val="FF0000"/>
          <w:sz w:val="22"/>
        </w:rPr>
        <w:t>[If it does not satisfy the requirement, concisely list only major deficiencies or refer to deficiency </w:t>
      </w:r>
      <w:r>
        <w:rPr>
          <w:i/>
          <w:color w:val="FF0000"/>
          <w:sz w:val="22"/>
        </w:rPr>
        <w:t>section.]</w:t>
      </w:r>
    </w:p>
    <w:p>
      <w:pPr>
        <w:pStyle w:val="BodyText"/>
        <w:spacing w:before="11"/>
        <w:rPr>
          <w:i/>
          <w:sz w:val="21"/>
        </w:rPr>
      </w:pPr>
    </w:p>
    <w:p>
      <w:pPr>
        <w:pStyle w:val="Heading2"/>
        <w:ind w:left="140"/>
      </w:pPr>
      <w:r>
        <w:rPr>
          <w:u w:val="thick"/>
        </w:rPr>
        <w:t>CLASSIFICATION</w:t>
      </w:r>
      <w:r>
        <w:rPr/>
        <w:t>:   </w:t>
      </w:r>
      <w:r>
        <w:rPr>
          <w:color w:val="FF0000"/>
        </w:rPr>
        <w:t>[ACCEPTABLE / UNACCEPTABLE / SUPPLEMENTAL, but UPGRADEABLE]</w:t>
      </w:r>
    </w:p>
    <w:p>
      <w:pPr>
        <w:pStyle w:val="BodyText"/>
        <w:rPr>
          <w:b/>
          <w:i w:val="0"/>
          <w:sz w:val="20"/>
        </w:rPr>
      </w:pPr>
    </w:p>
    <w:p>
      <w:pPr>
        <w:pStyle w:val="BodyText"/>
        <w:rPr>
          <w:b/>
          <w:i w:val="0"/>
          <w:sz w:val="20"/>
        </w:rPr>
      </w:pPr>
    </w:p>
    <w:p>
      <w:pPr>
        <w:pStyle w:val="BodyText"/>
        <w:spacing w:before="5"/>
        <w:rPr>
          <w:b/>
          <w:i w:val="0"/>
        </w:rPr>
      </w:pPr>
    </w:p>
    <w:p>
      <w:pPr>
        <w:spacing w:before="87"/>
        <w:ind w:left="140" w:right="161" w:firstLine="0"/>
        <w:jc w:val="left"/>
        <w:rPr>
          <w:b/>
          <w:i/>
          <w:sz w:val="32"/>
        </w:rPr>
      </w:pPr>
      <w:r>
        <w:rPr>
          <w:b/>
          <w:i/>
          <w:color w:val="FF0000"/>
          <w:sz w:val="32"/>
        </w:rPr>
        <w:t>(Use the following template if a study report (i.e. toxicity test) was submitted. </w:t>
      </w:r>
      <w:r>
        <w:rPr>
          <w:b/>
          <w:i/>
          <w:color w:val="FF0000"/>
          <w:sz w:val="32"/>
        </w:rPr>
        <w:t>If a request for the use of alternative data is submitted in lieu of a new study, delete study template section and proceed to last section of DER template for alternative data</w:t>
      </w:r>
      <w:r>
        <w:rPr>
          <w:b/>
          <w:i/>
          <w:color w:val="FF0000"/>
          <w:spacing w:val="-19"/>
          <w:sz w:val="32"/>
        </w:rPr>
        <w:t> </w:t>
      </w:r>
      <w:r>
        <w:rPr>
          <w:b/>
          <w:i/>
          <w:color w:val="FF0000"/>
          <w:sz w:val="32"/>
        </w:rPr>
        <w:t>requests)</w:t>
      </w:r>
    </w:p>
    <w:p>
      <w:pPr>
        <w:pStyle w:val="BodyText"/>
        <w:rPr>
          <w:b/>
          <w:i/>
          <w:sz w:val="30"/>
        </w:rPr>
      </w:pPr>
    </w:p>
    <w:p>
      <w:pPr>
        <w:pStyle w:val="Heading1"/>
        <w:ind w:left="139" w:right="214"/>
        <w:rPr>
          <w:u w:val="none"/>
        </w:rPr>
      </w:pPr>
      <w:r>
        <w:rPr>
          <w:i/>
          <w:color w:val="0070C0"/>
          <w:u w:val="none"/>
        </w:rPr>
        <w:t>(</w:t>
      </w:r>
      <w:r>
        <w:rPr>
          <w:i/>
          <w:color w:val="0070C0"/>
          <w:u w:val="thick" w:color="0070C0"/>
        </w:rPr>
        <w:t>NOTE</w:t>
      </w:r>
      <w:r>
        <w:rPr>
          <w:i/>
          <w:color w:val="0070C0"/>
          <w:u w:val="none"/>
        </w:rPr>
        <w:t>: Guidance on populating the DER are reflected as </w:t>
      </w:r>
      <w:r>
        <w:rPr>
          <w:i/>
          <w:color w:val="FF0000"/>
          <w:u w:val="thick" w:color="FF0000"/>
        </w:rPr>
        <w:t>[red italics]</w:t>
      </w:r>
      <w:r>
        <w:rPr>
          <w:i/>
          <w:color w:val="0070C0"/>
          <w:u w:val="none"/>
        </w:rPr>
        <w:t>- please </w:t>
      </w:r>
      <w:r>
        <w:rPr>
          <w:color w:val="0070C0"/>
          <w:u w:val="none"/>
        </w:rPr>
        <w:t>replace this text with requested data. Excerpts of study recommendations/criteria are reflected as </w:t>
      </w:r>
      <w:r>
        <w:rPr>
          <w:color w:val="4F81BD"/>
          <w:u w:val="thick" w:color="4F81BD"/>
        </w:rPr>
        <w:t>blue italicized </w:t>
      </w:r>
      <w:r>
        <w:rPr>
          <w:color w:val="0070C0"/>
          <w:u w:val="none"/>
        </w:rPr>
        <w:t>text from the respective OSCPP Guideline and should be deleted upon completion of the DER template. For best preparation of data submission- refer to respective OSCPP Guideline and use both the DER template and guideline criteria. However, the overall structure of the templates should not be altered and data evaluation elements reflected in </w:t>
      </w:r>
      <w:r>
        <w:rPr>
          <w:i w:val="0"/>
          <w:u w:val="thick"/>
        </w:rPr>
        <w:t>black </w:t>
      </w:r>
      <w:r>
        <w:rPr>
          <w:i/>
          <w:color w:val="0070C0"/>
          <w:u w:val="none"/>
        </w:rPr>
        <w:t>text should </w:t>
      </w:r>
      <w:r>
        <w:rPr>
          <w:color w:val="0070C0"/>
          <w:u w:val="none"/>
        </w:rPr>
        <w:t>not be deleted (i.e. headings, test parameters, tables, results section). Also- note for data elements of the template that are not applicable- insert “not applicable.” For unavailable information- insert “not available” with a brief explanation for the omission of data.)</w:t>
      </w:r>
    </w:p>
    <w:p>
      <w:pPr>
        <w:pStyle w:val="BodyText"/>
        <w:spacing w:before="11"/>
        <w:rPr>
          <w:b/>
          <w:i/>
          <w:sz w:val="43"/>
        </w:rPr>
      </w:pPr>
    </w:p>
    <w:p>
      <w:pPr>
        <w:pStyle w:val="Heading2"/>
        <w:numPr>
          <w:ilvl w:val="0"/>
          <w:numId w:val="1"/>
        </w:numPr>
        <w:tabs>
          <w:tab w:pos="859" w:val="left" w:leader="none"/>
          <w:tab w:pos="860" w:val="left" w:leader="none"/>
        </w:tabs>
        <w:spacing w:line="240" w:lineRule="auto" w:before="0" w:after="0"/>
        <w:ind w:left="860" w:right="0" w:hanging="720"/>
        <w:jc w:val="left"/>
      </w:pPr>
      <w:r>
        <w:rPr/>
        <w:t>MATERIALS AND</w:t>
      </w:r>
      <w:r>
        <w:rPr>
          <w:spacing w:val="-14"/>
        </w:rPr>
        <w:t> </w:t>
      </w:r>
      <w:r>
        <w:rPr/>
        <w:t>METHODS:</w:t>
      </w:r>
    </w:p>
    <w:p>
      <w:pPr>
        <w:spacing w:after="0" w:line="240" w:lineRule="auto"/>
        <w:jc w:val="left"/>
        <w:sectPr>
          <w:footerReference w:type="default" r:id="rId7"/>
          <w:pgSz w:w="12240" w:h="15840"/>
          <w:pgMar w:footer="1084" w:header="729" w:top="1940" w:bottom="1280" w:left="940" w:right="940"/>
          <w:pgNumType w:start="2"/>
        </w:sectPr>
      </w:pPr>
    </w:p>
    <w:p>
      <w:pPr>
        <w:pStyle w:val="ListParagraph"/>
        <w:numPr>
          <w:ilvl w:val="0"/>
          <w:numId w:val="2"/>
        </w:numPr>
        <w:tabs>
          <w:tab w:pos="859" w:val="left" w:leader="none"/>
          <w:tab w:pos="861" w:val="left" w:leader="none"/>
        </w:tabs>
        <w:spacing w:line="240" w:lineRule="auto" w:before="182" w:after="0"/>
        <w:ind w:left="860" w:right="0" w:hanging="720"/>
        <w:jc w:val="left"/>
        <w:rPr>
          <w:i/>
          <w:sz w:val="22"/>
          <w:u w:val="none"/>
        </w:rPr>
      </w:pPr>
      <w:r>
        <w:rPr>
          <w:b/>
          <w:sz w:val="22"/>
          <w:u w:val="thick"/>
        </w:rPr>
        <w:t>GUIDELINE FOLLOWED</w:t>
      </w:r>
      <w:r>
        <w:rPr>
          <w:b/>
          <w:sz w:val="22"/>
          <w:u w:val="none"/>
        </w:rPr>
        <w:t>:   </w:t>
      </w:r>
      <w:r>
        <w:rPr>
          <w:i/>
          <w:color w:val="FF0000"/>
          <w:sz w:val="22"/>
          <w:u w:val="none"/>
        </w:rPr>
        <w:t>[Indicate which guideline was followed most closely in testing. Such</w:t>
      </w:r>
      <w:r>
        <w:rPr>
          <w:i/>
          <w:color w:val="FF0000"/>
          <w:spacing w:val="-9"/>
          <w:sz w:val="22"/>
          <w:u w:val="none"/>
        </w:rPr>
        <w:t> </w:t>
      </w:r>
      <w:r>
        <w:rPr>
          <w:i/>
          <w:color w:val="FF0000"/>
          <w:sz w:val="22"/>
          <w:u w:val="none"/>
        </w:rPr>
        <w:t>as:</w:t>
      </w:r>
    </w:p>
    <w:p>
      <w:pPr>
        <w:pStyle w:val="Heading5"/>
        <w:spacing w:line="235" w:lineRule="auto" w:before="4"/>
        <w:ind w:left="3739" w:right="300"/>
      </w:pPr>
      <w:r>
        <w:rPr>
          <w:i/>
          <w:color w:val="FF0000"/>
        </w:rPr>
        <w:t>U.S. EPA OCSPP 885.4240–Freshwater aquatic invertebrate testing, </w:t>
      </w:r>
      <w:r>
        <w:rPr>
          <w:color w:val="FF0000"/>
        </w:rPr>
        <w:t>tier I</w:t>
      </w:r>
      <w:r>
        <w:rPr>
          <w:color w:val="FF0000"/>
          <w:position w:val="9"/>
          <w:sz w:val="14"/>
        </w:rPr>
        <w:t>1 </w:t>
      </w:r>
      <w:r>
        <w:rPr>
          <w:color w:val="FF0000"/>
        </w:rPr>
        <w:t>(NOTE: This EPA template includes criteria for both benthic and pelagic aquatic arthropods; whereas, for PMRA templates- the criteria for pelagic and benthic arthropods are found in separate DER templates.)</w:t>
      </w:r>
    </w:p>
    <w:p>
      <w:pPr>
        <w:spacing w:line="247" w:lineRule="exact" w:before="0"/>
        <w:ind w:left="1561" w:right="1631" w:firstLine="0"/>
        <w:jc w:val="center"/>
        <w:rPr>
          <w:i/>
          <w:sz w:val="14"/>
        </w:rPr>
      </w:pPr>
      <w:r>
        <w:rPr>
          <w:i/>
          <w:color w:val="FF0000"/>
          <w:sz w:val="22"/>
        </w:rPr>
        <w:t>PMRA DIR 2001-02 Part 9.5.2</w:t>
      </w:r>
      <w:r>
        <w:rPr>
          <w:i/>
          <w:color w:val="FF0000"/>
          <w:position w:val="9"/>
          <w:sz w:val="14"/>
        </w:rPr>
        <w:t>1</w:t>
      </w:r>
    </w:p>
    <w:p>
      <w:pPr>
        <w:spacing w:line="252" w:lineRule="exact" w:before="11"/>
        <w:ind w:left="3740" w:right="0" w:firstLine="0"/>
        <w:jc w:val="left"/>
        <w:rPr>
          <w:i/>
          <w:sz w:val="14"/>
        </w:rPr>
      </w:pPr>
      <w:r>
        <w:rPr>
          <w:i/>
          <w:color w:val="FF0000"/>
          <w:sz w:val="22"/>
        </w:rPr>
        <w:t>Environment Canada EPS 1/RM/44 Sections 10.1.2</w:t>
      </w:r>
      <w:r>
        <w:rPr>
          <w:i/>
          <w:color w:val="FF0000"/>
          <w:position w:val="9"/>
          <w:sz w:val="14"/>
        </w:rPr>
        <w:t>1 </w:t>
      </w:r>
      <w:r>
        <w:rPr>
          <w:i/>
          <w:color w:val="FF0000"/>
          <w:sz w:val="22"/>
        </w:rPr>
        <w:t>and 10.2.2</w:t>
      </w:r>
      <w:r>
        <w:rPr>
          <w:i/>
          <w:color w:val="FF0000"/>
          <w:position w:val="9"/>
          <w:sz w:val="14"/>
        </w:rPr>
        <w:t>1 </w:t>
      </w:r>
      <w:r>
        <w:rPr>
          <w:i/>
          <w:color w:val="FF0000"/>
          <w:sz w:val="22"/>
        </w:rPr>
        <w:t>Environment Canada EPS 1/RM/44 Section 10.1.3</w:t>
      </w:r>
      <w:r>
        <w:rPr>
          <w:i/>
          <w:color w:val="FF0000"/>
          <w:position w:val="9"/>
          <w:sz w:val="14"/>
        </w:rPr>
        <w:t>1</w:t>
      </w:r>
    </w:p>
    <w:p>
      <w:pPr>
        <w:spacing w:line="254" w:lineRule="exact" w:before="0"/>
        <w:ind w:left="3740" w:right="2039" w:hanging="1"/>
        <w:jc w:val="left"/>
        <w:rPr>
          <w:i/>
          <w:sz w:val="22"/>
        </w:rPr>
      </w:pPr>
      <w:r>
        <w:rPr>
          <w:i/>
          <w:color w:val="FF0000"/>
          <w:sz w:val="22"/>
        </w:rPr>
        <w:t>OECD 202–Daphnia sp., acute immobilisation test</w:t>
      </w:r>
      <w:r>
        <w:rPr>
          <w:i/>
          <w:color w:val="FF0000"/>
          <w:position w:val="9"/>
          <w:sz w:val="14"/>
        </w:rPr>
        <w:t>2 </w:t>
      </w:r>
      <w:r>
        <w:rPr>
          <w:i/>
          <w:color w:val="FF0000"/>
          <w:sz w:val="22"/>
        </w:rPr>
        <w:t>OECD 211–Daphnia magna reproduction test</w:t>
      </w:r>
      <w:r>
        <w:rPr>
          <w:i/>
          <w:color w:val="FF0000"/>
          <w:position w:val="9"/>
          <w:sz w:val="14"/>
        </w:rPr>
        <w:t>2</w:t>
      </w:r>
      <w:r>
        <w:rPr>
          <w:i/>
          <w:color w:val="FF0000"/>
          <w:sz w:val="22"/>
        </w:rPr>
        <w:t>]</w:t>
      </w:r>
    </w:p>
    <w:p>
      <w:pPr>
        <w:spacing w:line="254" w:lineRule="exact" w:before="0"/>
        <w:ind w:left="3740" w:right="845" w:hanging="1"/>
        <w:jc w:val="left"/>
        <w:rPr>
          <w:i/>
          <w:sz w:val="14"/>
        </w:rPr>
      </w:pPr>
      <w:r>
        <w:rPr>
          <w:i/>
          <w:color w:val="FF0000"/>
          <w:sz w:val="22"/>
        </w:rPr>
        <w:t>OECD 218–Sediment-water chironomid toxicity test using spiked </w:t>
      </w:r>
      <w:r>
        <w:rPr>
          <w:i/>
          <w:color w:val="FF0000"/>
          <w:sz w:val="22"/>
        </w:rPr>
        <w:t>sediment</w:t>
      </w:r>
      <w:r>
        <w:rPr>
          <w:i/>
          <w:color w:val="FF0000"/>
          <w:position w:val="9"/>
          <w:sz w:val="14"/>
        </w:rPr>
        <w:t>2</w:t>
      </w:r>
    </w:p>
    <w:p>
      <w:pPr>
        <w:spacing w:line="252" w:lineRule="exact" w:before="0"/>
        <w:ind w:left="3740" w:right="845" w:hanging="1"/>
        <w:jc w:val="left"/>
        <w:rPr>
          <w:i/>
          <w:sz w:val="22"/>
        </w:rPr>
      </w:pPr>
      <w:r>
        <w:rPr>
          <w:i/>
          <w:color w:val="FF0000"/>
          <w:sz w:val="22"/>
        </w:rPr>
        <w:t>OECD 219–Sediment-water chironomid toxicity test using spiked </w:t>
      </w:r>
      <w:r>
        <w:rPr>
          <w:i/>
          <w:color w:val="FF0000"/>
          <w:sz w:val="22"/>
        </w:rPr>
        <w:t>sediment</w:t>
      </w:r>
      <w:r>
        <w:rPr>
          <w:i/>
          <w:color w:val="FF0000"/>
          <w:position w:val="9"/>
          <w:sz w:val="14"/>
        </w:rPr>
        <w:t>2</w:t>
      </w:r>
      <w:r>
        <w:rPr>
          <w:i/>
          <w:color w:val="FF0000"/>
          <w:sz w:val="22"/>
        </w:rPr>
        <w:t>]</w:t>
      </w:r>
    </w:p>
    <w:p>
      <w:pPr>
        <w:pStyle w:val="BodyText"/>
        <w:spacing w:before="1"/>
        <w:rPr>
          <w:i/>
          <w:sz w:val="21"/>
        </w:rPr>
      </w:pPr>
    </w:p>
    <w:p>
      <w:pPr>
        <w:spacing w:line="209" w:lineRule="exact" w:before="0"/>
        <w:ind w:left="860" w:right="0" w:firstLine="0"/>
        <w:jc w:val="left"/>
        <w:rPr>
          <w:i/>
          <w:sz w:val="18"/>
        </w:rPr>
      </w:pPr>
      <w:r>
        <w:rPr>
          <w:i/>
          <w:color w:val="FF0000"/>
          <w:position w:val="6"/>
          <w:sz w:val="12"/>
        </w:rPr>
        <w:t>1 </w:t>
      </w:r>
      <w:r>
        <w:rPr>
          <w:i/>
          <w:color w:val="FF0000"/>
          <w:sz w:val="18"/>
        </w:rPr>
        <w:t>Guideline designed to test acute oral infectivity and pathogenicity of microbial agents.</w:t>
      </w:r>
    </w:p>
    <w:p>
      <w:pPr>
        <w:spacing w:line="209" w:lineRule="exact" w:before="0"/>
        <w:ind w:left="860" w:right="0" w:firstLine="0"/>
        <w:jc w:val="left"/>
        <w:rPr>
          <w:i/>
          <w:sz w:val="18"/>
        </w:rPr>
      </w:pPr>
      <w:r>
        <w:rPr>
          <w:i/>
          <w:color w:val="FF0000"/>
          <w:position w:val="6"/>
          <w:sz w:val="12"/>
        </w:rPr>
        <w:t>2 </w:t>
      </w:r>
      <w:r>
        <w:rPr>
          <w:i/>
          <w:color w:val="FF0000"/>
          <w:sz w:val="18"/>
        </w:rPr>
        <w:t>Guideline designed to test acute oral toxicity of chemical agents</w:t>
      </w:r>
      <w:r>
        <w:rPr>
          <w:i/>
          <w:sz w:val="18"/>
        </w:rPr>
        <w:t>.</w:t>
      </w:r>
    </w:p>
    <w:p>
      <w:pPr>
        <w:pStyle w:val="BodyText"/>
        <w:rPr>
          <w:i/>
          <w:sz w:val="20"/>
        </w:rPr>
      </w:pPr>
    </w:p>
    <w:p>
      <w:pPr>
        <w:pStyle w:val="BodyText"/>
        <w:spacing w:before="4"/>
        <w:rPr>
          <w:i/>
          <w:sz w:val="24"/>
        </w:rPr>
      </w:pPr>
    </w:p>
    <w:p>
      <w:pPr>
        <w:spacing w:before="0"/>
        <w:ind w:left="860" w:right="155" w:firstLine="0"/>
        <w:jc w:val="left"/>
        <w:rPr>
          <w:i/>
          <w:sz w:val="22"/>
        </w:rPr>
      </w:pPr>
      <w:r>
        <w:rPr>
          <w:b/>
          <w:sz w:val="22"/>
        </w:rPr>
        <w:t>Deviations from guideline: </w:t>
      </w:r>
      <w:r>
        <w:rPr>
          <w:i/>
          <w:color w:val="FF0000"/>
          <w:sz w:val="22"/>
        </w:rPr>
        <w:t>[Indicate if there were any deviations from the test procedures and reporting </w:t>
      </w:r>
      <w:r>
        <w:rPr>
          <w:i/>
          <w:color w:val="FF0000"/>
          <w:sz w:val="22"/>
        </w:rPr>
        <w:t>requirements stated in guideline(s).This information is usually stated in the Good Laboratory Practices (GLP) and Quality Assurance (QA) statements in the introductory section of the study report. State the reasons for such deviations and its overall effect on the validity of the study.]</w:t>
      </w:r>
    </w:p>
    <w:p>
      <w:pPr>
        <w:pStyle w:val="BodyText"/>
        <w:spacing w:before="11"/>
        <w:rPr>
          <w:i/>
          <w:sz w:val="21"/>
        </w:rPr>
      </w:pPr>
    </w:p>
    <w:p>
      <w:pPr>
        <w:pStyle w:val="ListParagraph"/>
        <w:numPr>
          <w:ilvl w:val="0"/>
          <w:numId w:val="2"/>
        </w:numPr>
        <w:tabs>
          <w:tab w:pos="859" w:val="left" w:leader="none"/>
          <w:tab w:pos="861" w:val="left" w:leader="none"/>
        </w:tabs>
        <w:spacing w:line="240" w:lineRule="auto" w:before="0" w:after="0"/>
        <w:ind w:left="860" w:right="338" w:hanging="720"/>
        <w:jc w:val="left"/>
        <w:rPr>
          <w:i/>
          <w:sz w:val="22"/>
          <w:u w:val="none"/>
        </w:rPr>
      </w:pPr>
      <w:r>
        <w:rPr>
          <w:b/>
          <w:sz w:val="22"/>
          <w:u w:val="thick"/>
        </w:rPr>
        <w:t>MATERIALS</w:t>
      </w:r>
      <w:r>
        <w:rPr>
          <w:b/>
          <w:sz w:val="22"/>
          <w:u w:val="none"/>
        </w:rPr>
        <w:t>:</w:t>
      </w:r>
      <w:r>
        <w:rPr>
          <w:b/>
          <w:spacing w:val="-24"/>
          <w:sz w:val="22"/>
          <w:u w:val="none"/>
        </w:rPr>
        <w:t> </w:t>
      </w:r>
      <w:r>
        <w:rPr>
          <w:i/>
          <w:color w:val="FF0000"/>
          <w:sz w:val="22"/>
          <w:u w:val="none"/>
        </w:rPr>
        <w:t>[Complete</w:t>
      </w:r>
      <w:r>
        <w:rPr>
          <w:i/>
          <w:color w:val="FF0000"/>
          <w:spacing w:val="-5"/>
          <w:sz w:val="22"/>
          <w:u w:val="none"/>
        </w:rPr>
        <w:t> </w:t>
      </w:r>
      <w:r>
        <w:rPr>
          <w:i/>
          <w:color w:val="FF0000"/>
          <w:sz w:val="22"/>
          <w:u w:val="none"/>
        </w:rPr>
        <w:t>this</w:t>
      </w:r>
      <w:r>
        <w:rPr>
          <w:i/>
          <w:color w:val="FF0000"/>
          <w:spacing w:val="-5"/>
          <w:sz w:val="22"/>
          <w:u w:val="none"/>
        </w:rPr>
        <w:t> </w:t>
      </w:r>
      <w:r>
        <w:rPr>
          <w:i/>
          <w:color w:val="FF0000"/>
          <w:sz w:val="22"/>
          <w:u w:val="none"/>
        </w:rPr>
        <w:t>subsection</w:t>
      </w:r>
      <w:r>
        <w:rPr>
          <w:i/>
          <w:color w:val="FF0000"/>
          <w:spacing w:val="-4"/>
          <w:sz w:val="22"/>
          <w:u w:val="none"/>
        </w:rPr>
        <w:t> </w:t>
      </w:r>
      <w:r>
        <w:rPr>
          <w:i/>
          <w:color w:val="FF0000"/>
          <w:sz w:val="22"/>
          <w:u w:val="none"/>
        </w:rPr>
        <w:t>using</w:t>
      </w:r>
      <w:r>
        <w:rPr>
          <w:i/>
          <w:color w:val="FF0000"/>
          <w:spacing w:val="-4"/>
          <w:sz w:val="22"/>
          <w:u w:val="none"/>
        </w:rPr>
        <w:t> </w:t>
      </w:r>
      <w:r>
        <w:rPr>
          <w:i/>
          <w:color w:val="FF0000"/>
          <w:sz w:val="22"/>
          <w:u w:val="none"/>
        </w:rPr>
        <w:t>the</w:t>
      </w:r>
      <w:r>
        <w:rPr>
          <w:i/>
          <w:color w:val="FF0000"/>
          <w:spacing w:val="-5"/>
          <w:sz w:val="22"/>
          <w:u w:val="none"/>
        </w:rPr>
        <w:t> </w:t>
      </w:r>
      <w:r>
        <w:rPr>
          <w:i/>
          <w:color w:val="FF0000"/>
          <w:sz w:val="22"/>
          <w:u w:val="none"/>
        </w:rPr>
        <w:t>information</w:t>
      </w:r>
      <w:r>
        <w:rPr>
          <w:i/>
          <w:color w:val="FF0000"/>
          <w:spacing w:val="-4"/>
          <w:sz w:val="22"/>
          <w:u w:val="none"/>
        </w:rPr>
        <w:t> </w:t>
      </w:r>
      <w:r>
        <w:rPr>
          <w:i/>
          <w:color w:val="FF0000"/>
          <w:sz w:val="22"/>
          <w:u w:val="none"/>
        </w:rPr>
        <w:t>provided</w:t>
      </w:r>
      <w:r>
        <w:rPr>
          <w:i/>
          <w:color w:val="FF0000"/>
          <w:spacing w:val="-4"/>
          <w:sz w:val="22"/>
          <w:u w:val="none"/>
        </w:rPr>
        <w:t> </w:t>
      </w:r>
      <w:r>
        <w:rPr>
          <w:i/>
          <w:color w:val="FF0000"/>
          <w:sz w:val="22"/>
          <w:u w:val="none"/>
        </w:rPr>
        <w:t>in</w:t>
      </w:r>
      <w:r>
        <w:rPr>
          <w:i/>
          <w:color w:val="FF0000"/>
          <w:spacing w:val="-4"/>
          <w:sz w:val="22"/>
          <w:u w:val="none"/>
        </w:rPr>
        <w:t> </w:t>
      </w:r>
      <w:r>
        <w:rPr>
          <w:i/>
          <w:color w:val="FF0000"/>
          <w:sz w:val="22"/>
          <w:u w:val="none"/>
        </w:rPr>
        <w:t>the</w:t>
      </w:r>
      <w:r>
        <w:rPr>
          <w:i/>
          <w:color w:val="FF0000"/>
          <w:spacing w:val="-5"/>
          <w:sz w:val="22"/>
          <w:u w:val="none"/>
        </w:rPr>
        <w:t> </w:t>
      </w:r>
      <w:r>
        <w:rPr>
          <w:i/>
          <w:color w:val="FF0000"/>
          <w:sz w:val="22"/>
          <w:u w:val="none"/>
        </w:rPr>
        <w:t>methodology</w:t>
      </w:r>
      <w:r>
        <w:rPr>
          <w:i/>
          <w:color w:val="FF0000"/>
          <w:spacing w:val="-5"/>
          <w:sz w:val="22"/>
          <w:u w:val="none"/>
        </w:rPr>
        <w:t> </w:t>
      </w:r>
      <w:r>
        <w:rPr>
          <w:i/>
          <w:color w:val="FF0000"/>
          <w:sz w:val="22"/>
          <w:u w:val="none"/>
        </w:rPr>
        <w:t>section</w:t>
      </w:r>
      <w:r>
        <w:rPr>
          <w:i/>
          <w:color w:val="FF0000"/>
          <w:spacing w:val="-4"/>
          <w:sz w:val="22"/>
          <w:u w:val="none"/>
        </w:rPr>
        <w:t> </w:t>
      </w:r>
      <w:r>
        <w:rPr>
          <w:i/>
          <w:color w:val="FF0000"/>
          <w:sz w:val="22"/>
          <w:u w:val="none"/>
        </w:rPr>
        <w:t>of </w:t>
      </w:r>
      <w:r>
        <w:rPr>
          <w:i/>
          <w:color w:val="FF0000"/>
          <w:sz w:val="22"/>
          <w:u w:val="none"/>
        </w:rPr>
        <w:t>the study</w:t>
      </w:r>
      <w:r>
        <w:rPr>
          <w:i/>
          <w:color w:val="FF0000"/>
          <w:spacing w:val="-12"/>
          <w:sz w:val="22"/>
          <w:u w:val="none"/>
        </w:rPr>
        <w:t> </w:t>
      </w:r>
      <w:r>
        <w:rPr>
          <w:i/>
          <w:color w:val="FF0000"/>
          <w:sz w:val="22"/>
          <w:u w:val="none"/>
        </w:rPr>
        <w:t>report.]</w:t>
      </w:r>
    </w:p>
    <w:p>
      <w:pPr>
        <w:pStyle w:val="BodyText"/>
        <w:rPr>
          <w:i/>
          <w:sz w:val="22"/>
        </w:rPr>
      </w:pPr>
    </w:p>
    <w:p>
      <w:pPr>
        <w:pStyle w:val="ListParagraph"/>
        <w:numPr>
          <w:ilvl w:val="1"/>
          <w:numId w:val="2"/>
        </w:numPr>
        <w:tabs>
          <w:tab w:pos="859" w:val="left" w:leader="none"/>
          <w:tab w:pos="861" w:val="left" w:leader="none"/>
        </w:tabs>
        <w:spacing w:line="240" w:lineRule="auto" w:before="0" w:after="0"/>
        <w:ind w:left="860" w:right="0" w:hanging="720"/>
        <w:jc w:val="left"/>
        <w:rPr>
          <w:i/>
          <w:sz w:val="22"/>
          <w:u w:val="none"/>
        </w:rPr>
      </w:pPr>
      <w:r>
        <w:rPr>
          <w:b/>
          <w:sz w:val="22"/>
          <w:u w:val="thick"/>
        </w:rPr>
        <w:t>Test Material</w:t>
      </w:r>
      <w:r>
        <w:rPr>
          <w:b/>
          <w:sz w:val="22"/>
          <w:u w:val="none"/>
        </w:rPr>
        <w:t>: </w:t>
      </w:r>
      <w:r>
        <w:rPr>
          <w:i/>
          <w:color w:val="FF0000"/>
          <w:sz w:val="22"/>
          <w:u w:val="none"/>
        </w:rPr>
        <w:t>[Name of test material as cited in the study</w:t>
      </w:r>
      <w:r>
        <w:rPr>
          <w:i/>
          <w:color w:val="FF0000"/>
          <w:spacing w:val="-2"/>
          <w:sz w:val="22"/>
          <w:u w:val="none"/>
        </w:rPr>
        <w:t> </w:t>
      </w:r>
      <w:r>
        <w:rPr>
          <w:i/>
          <w:color w:val="FF0000"/>
          <w:sz w:val="22"/>
          <w:u w:val="none"/>
        </w:rPr>
        <w:t>report.]</w:t>
      </w:r>
    </w:p>
    <w:p>
      <w:pPr>
        <w:pStyle w:val="BodyText"/>
        <w:spacing w:before="2"/>
        <w:rPr>
          <w:i/>
          <w:sz w:val="14"/>
        </w:rPr>
      </w:pPr>
    </w:p>
    <w:p>
      <w:pPr>
        <w:pStyle w:val="Heading5"/>
        <w:tabs>
          <w:tab w:pos="2300" w:val="left" w:leader="none"/>
        </w:tabs>
        <w:spacing w:before="90"/>
        <w:rPr>
          <w:i/>
        </w:rPr>
      </w:pPr>
      <w:r>
        <w:rPr>
          <w:b/>
          <w:i w:val="0"/>
        </w:rPr>
        <w:t>Description:</w:t>
        <w:tab/>
      </w:r>
      <w:r>
        <w:rPr>
          <w:i/>
          <w:color w:val="FF0000"/>
        </w:rPr>
        <w:t>[e.g. Physical-chemical state of the test</w:t>
      </w:r>
      <w:r>
        <w:rPr>
          <w:i/>
          <w:color w:val="FF0000"/>
          <w:spacing w:val="-27"/>
        </w:rPr>
        <w:t> </w:t>
      </w:r>
      <w:r>
        <w:rPr>
          <w:i/>
          <w:color w:val="FF0000"/>
        </w:rPr>
        <w:t>material.]</w:t>
      </w:r>
    </w:p>
    <w:p>
      <w:pPr>
        <w:pStyle w:val="BodyText"/>
        <w:spacing w:before="10"/>
        <w:rPr>
          <w:i/>
          <w:sz w:val="21"/>
        </w:rPr>
      </w:pPr>
    </w:p>
    <w:p>
      <w:pPr>
        <w:tabs>
          <w:tab w:pos="2300" w:val="left" w:leader="none"/>
        </w:tabs>
        <w:spacing w:before="0"/>
        <w:ind w:left="860" w:right="0" w:firstLine="0"/>
        <w:jc w:val="left"/>
        <w:rPr>
          <w:i/>
          <w:sz w:val="22"/>
        </w:rPr>
      </w:pPr>
      <w:r>
        <w:rPr>
          <w:b/>
          <w:sz w:val="22"/>
        </w:rPr>
        <w:t>Lot/Batch</w:t>
      </w:r>
      <w:r>
        <w:rPr>
          <w:b/>
          <w:spacing w:val="-1"/>
          <w:sz w:val="22"/>
        </w:rPr>
        <w:t> </w:t>
      </w:r>
      <w:r>
        <w:rPr>
          <w:b/>
          <w:sz w:val="22"/>
        </w:rPr>
        <w:t>#:</w:t>
        <w:tab/>
      </w:r>
      <w:r>
        <w:rPr>
          <w:i/>
          <w:color w:val="FF0000"/>
          <w:sz w:val="22"/>
        </w:rPr>
        <w:t>[Insert the test material’s lot or batch</w:t>
      </w:r>
      <w:r>
        <w:rPr>
          <w:i/>
          <w:color w:val="FF0000"/>
          <w:spacing w:val="-27"/>
          <w:sz w:val="22"/>
        </w:rPr>
        <w:t> </w:t>
      </w:r>
      <w:r>
        <w:rPr>
          <w:i/>
          <w:color w:val="FF0000"/>
          <w:sz w:val="22"/>
        </w:rPr>
        <w:t>number.]</w:t>
      </w:r>
    </w:p>
    <w:p>
      <w:pPr>
        <w:pStyle w:val="BodyText"/>
        <w:spacing w:before="11"/>
        <w:rPr>
          <w:i/>
          <w:sz w:val="21"/>
        </w:rPr>
      </w:pPr>
    </w:p>
    <w:p>
      <w:pPr>
        <w:pStyle w:val="Heading5"/>
        <w:ind w:right="174"/>
      </w:pPr>
      <w:r>
        <w:rPr>
          <w:i/>
          <w:color w:val="FF0000"/>
        </w:rPr>
        <w:t>[NOTE: Verify that test material is derived from same source (i.e. lot/batch # or certificate of analysis) of </w:t>
      </w:r>
      <w:r>
        <w:rPr>
          <w:color w:val="FF0000"/>
        </w:rPr>
        <w:t>MPCA (TGAI, MP or EP) that was previously characterized and data were acceptable]</w:t>
      </w:r>
    </w:p>
    <w:p>
      <w:pPr>
        <w:pStyle w:val="BodyText"/>
        <w:spacing w:before="10"/>
        <w:rPr>
          <w:i/>
          <w:sz w:val="21"/>
        </w:rPr>
      </w:pPr>
    </w:p>
    <w:p>
      <w:pPr>
        <w:spacing w:before="0"/>
        <w:ind w:left="860" w:right="306" w:firstLine="0"/>
        <w:jc w:val="left"/>
        <w:rPr>
          <w:i/>
          <w:sz w:val="22"/>
        </w:rPr>
      </w:pPr>
      <w:r>
        <w:rPr>
          <w:b/>
          <w:sz w:val="22"/>
        </w:rPr>
        <w:t>Purity: </w:t>
      </w:r>
      <w:r>
        <w:rPr>
          <w:i/>
          <w:color w:val="FF0000"/>
          <w:sz w:val="22"/>
        </w:rPr>
        <w:t>[Insert the test material’s potency, and/or concentration per unit weight or volume as indicated </w:t>
      </w:r>
      <w:r>
        <w:rPr>
          <w:i/>
          <w:color w:val="FF0000"/>
          <w:sz w:val="22"/>
        </w:rPr>
        <w:t>by the study sponsor.]</w:t>
      </w:r>
    </w:p>
    <w:p>
      <w:pPr>
        <w:pStyle w:val="BodyText"/>
        <w:rPr>
          <w:i/>
          <w:sz w:val="22"/>
        </w:rPr>
      </w:pPr>
    </w:p>
    <w:p>
      <w:pPr>
        <w:tabs>
          <w:tab w:pos="3020" w:val="left" w:leader="none"/>
        </w:tabs>
        <w:spacing w:before="0"/>
        <w:ind w:left="860" w:right="916" w:firstLine="0"/>
        <w:jc w:val="left"/>
        <w:rPr>
          <w:i/>
          <w:sz w:val="22"/>
        </w:rPr>
      </w:pPr>
      <w:r>
        <w:rPr>
          <w:b/>
          <w:sz w:val="22"/>
        </w:rPr>
        <w:t>Storage</w:t>
      </w:r>
      <w:r>
        <w:rPr>
          <w:b/>
          <w:spacing w:val="-3"/>
          <w:sz w:val="22"/>
        </w:rPr>
        <w:t> </w:t>
      </w:r>
      <w:r>
        <w:rPr>
          <w:b/>
          <w:sz w:val="22"/>
        </w:rPr>
        <w:t>conditions:</w:t>
        <w:tab/>
      </w:r>
      <w:r>
        <w:rPr>
          <w:i/>
          <w:color w:val="FF0000"/>
          <w:sz w:val="22"/>
        </w:rPr>
        <w:t>[Indicate how the test material was maintained, i.e.,</w:t>
      </w:r>
      <w:r>
        <w:rPr>
          <w:i/>
          <w:color w:val="FF0000"/>
          <w:spacing w:val="-33"/>
          <w:sz w:val="22"/>
        </w:rPr>
        <w:t> </w:t>
      </w:r>
      <w:r>
        <w:rPr>
          <w:i/>
          <w:color w:val="FF0000"/>
          <w:sz w:val="22"/>
        </w:rPr>
        <w:t>frozen,</w:t>
      </w:r>
      <w:r>
        <w:rPr>
          <w:i/>
          <w:color w:val="FF0000"/>
          <w:spacing w:val="-4"/>
          <w:sz w:val="22"/>
        </w:rPr>
        <w:t> </w:t>
      </w:r>
      <w:r>
        <w:rPr>
          <w:i/>
          <w:color w:val="FF0000"/>
          <w:sz w:val="22"/>
        </w:rPr>
        <w:t>refrigerated,</w:t>
      </w:r>
      <w:r>
        <w:rPr>
          <w:i/>
          <w:color w:val="FF0000"/>
          <w:w w:val="99"/>
          <w:sz w:val="22"/>
        </w:rPr>
        <w:t> </w:t>
      </w:r>
      <w:r>
        <w:rPr>
          <w:i/>
          <w:color w:val="FF0000"/>
          <w:sz w:val="22"/>
        </w:rPr>
        <w:t>maintained</w:t>
      </w:r>
      <w:r>
        <w:rPr>
          <w:i/>
          <w:color w:val="FF0000"/>
          <w:spacing w:val="-3"/>
          <w:sz w:val="22"/>
        </w:rPr>
        <w:t> </w:t>
      </w:r>
      <w:r>
        <w:rPr>
          <w:i/>
          <w:color w:val="FF0000"/>
          <w:sz w:val="22"/>
        </w:rPr>
        <w:t>in</w:t>
      </w:r>
      <w:r>
        <w:rPr>
          <w:i/>
          <w:color w:val="FF0000"/>
          <w:spacing w:val="-4"/>
          <w:sz w:val="22"/>
        </w:rPr>
        <w:t> </w:t>
      </w:r>
      <w:r>
        <w:rPr>
          <w:i/>
          <w:color w:val="FF0000"/>
          <w:sz w:val="22"/>
        </w:rPr>
        <w:t>the</w:t>
      </w:r>
      <w:r>
        <w:rPr>
          <w:i/>
          <w:color w:val="FF0000"/>
          <w:spacing w:val="-4"/>
          <w:sz w:val="22"/>
        </w:rPr>
        <w:t> </w:t>
      </w:r>
      <w:r>
        <w:rPr>
          <w:i/>
          <w:color w:val="FF0000"/>
          <w:sz w:val="22"/>
        </w:rPr>
        <w:t>dark,</w:t>
      </w:r>
      <w:r>
        <w:rPr>
          <w:i/>
          <w:color w:val="FF0000"/>
          <w:spacing w:val="-3"/>
          <w:sz w:val="22"/>
        </w:rPr>
        <w:t> </w:t>
      </w:r>
      <w:r>
        <w:rPr>
          <w:i/>
          <w:color w:val="FF0000"/>
          <w:sz w:val="22"/>
        </w:rPr>
        <w:t>etc.,</w:t>
      </w:r>
      <w:r>
        <w:rPr>
          <w:i/>
          <w:color w:val="FF0000"/>
          <w:spacing w:val="-3"/>
          <w:sz w:val="22"/>
        </w:rPr>
        <w:t> </w:t>
      </w:r>
      <w:r>
        <w:rPr>
          <w:i/>
          <w:color w:val="FF0000"/>
          <w:sz w:val="22"/>
        </w:rPr>
        <w:t>and</w:t>
      </w:r>
      <w:r>
        <w:rPr>
          <w:i/>
          <w:color w:val="FF0000"/>
          <w:spacing w:val="-4"/>
          <w:sz w:val="22"/>
        </w:rPr>
        <w:t> </w:t>
      </w:r>
      <w:r>
        <w:rPr>
          <w:i/>
          <w:color w:val="FF0000"/>
          <w:sz w:val="22"/>
        </w:rPr>
        <w:t>indicate</w:t>
      </w:r>
      <w:r>
        <w:rPr>
          <w:i/>
          <w:color w:val="FF0000"/>
          <w:spacing w:val="-5"/>
          <w:sz w:val="22"/>
        </w:rPr>
        <w:t> </w:t>
      </w:r>
      <w:r>
        <w:rPr>
          <w:i/>
          <w:color w:val="FF0000"/>
          <w:sz w:val="22"/>
        </w:rPr>
        <w:t>whether</w:t>
      </w:r>
      <w:r>
        <w:rPr>
          <w:i/>
          <w:color w:val="FF0000"/>
          <w:spacing w:val="-4"/>
          <w:sz w:val="22"/>
        </w:rPr>
        <w:t> </w:t>
      </w:r>
      <w:r>
        <w:rPr>
          <w:i/>
          <w:color w:val="FF0000"/>
          <w:sz w:val="22"/>
        </w:rPr>
        <w:t>the</w:t>
      </w:r>
      <w:r>
        <w:rPr>
          <w:i/>
          <w:color w:val="FF0000"/>
          <w:spacing w:val="-4"/>
          <w:sz w:val="22"/>
        </w:rPr>
        <w:t> </w:t>
      </w:r>
      <w:r>
        <w:rPr>
          <w:i/>
          <w:color w:val="FF0000"/>
          <w:sz w:val="22"/>
        </w:rPr>
        <w:t>MPCA</w:t>
      </w:r>
      <w:r>
        <w:rPr>
          <w:i/>
          <w:color w:val="FF0000"/>
          <w:spacing w:val="-3"/>
          <w:sz w:val="22"/>
        </w:rPr>
        <w:t> </w:t>
      </w:r>
      <w:r>
        <w:rPr>
          <w:i/>
          <w:color w:val="FF0000"/>
          <w:sz w:val="22"/>
        </w:rPr>
        <w:t>is</w:t>
      </w:r>
      <w:r>
        <w:rPr>
          <w:i/>
          <w:color w:val="FF0000"/>
          <w:spacing w:val="-4"/>
          <w:sz w:val="22"/>
        </w:rPr>
        <w:t> </w:t>
      </w:r>
      <w:r>
        <w:rPr>
          <w:i/>
          <w:color w:val="FF0000"/>
          <w:sz w:val="22"/>
        </w:rPr>
        <w:t>stable</w:t>
      </w:r>
      <w:r>
        <w:rPr>
          <w:i/>
          <w:color w:val="FF0000"/>
          <w:spacing w:val="-4"/>
          <w:sz w:val="22"/>
        </w:rPr>
        <w:t> </w:t>
      </w:r>
      <w:r>
        <w:rPr>
          <w:i/>
          <w:color w:val="FF0000"/>
          <w:sz w:val="22"/>
        </w:rPr>
        <w:t>under</w:t>
      </w:r>
      <w:r>
        <w:rPr>
          <w:i/>
          <w:color w:val="FF0000"/>
          <w:spacing w:val="-4"/>
          <w:sz w:val="22"/>
        </w:rPr>
        <w:t> </w:t>
      </w:r>
      <w:r>
        <w:rPr>
          <w:i/>
          <w:color w:val="FF0000"/>
          <w:sz w:val="22"/>
        </w:rPr>
        <w:t>these</w:t>
      </w:r>
      <w:r>
        <w:rPr>
          <w:i/>
          <w:color w:val="FF0000"/>
          <w:spacing w:val="-4"/>
          <w:sz w:val="22"/>
        </w:rPr>
        <w:t> </w:t>
      </w:r>
      <w:r>
        <w:rPr>
          <w:i/>
          <w:color w:val="FF0000"/>
          <w:sz w:val="22"/>
        </w:rPr>
        <w:t>conditions.]</w:t>
      </w:r>
    </w:p>
    <w:p>
      <w:pPr>
        <w:pStyle w:val="BodyText"/>
        <w:spacing w:before="9"/>
        <w:rPr>
          <w:i/>
          <w:sz w:val="21"/>
        </w:rPr>
      </w:pPr>
    </w:p>
    <w:p>
      <w:pPr>
        <w:pStyle w:val="ListParagraph"/>
        <w:numPr>
          <w:ilvl w:val="1"/>
          <w:numId w:val="2"/>
        </w:numPr>
        <w:tabs>
          <w:tab w:pos="859" w:val="left" w:leader="none"/>
          <w:tab w:pos="861" w:val="left" w:leader="none"/>
        </w:tabs>
        <w:spacing w:line="240" w:lineRule="auto" w:before="0" w:after="0"/>
        <w:ind w:left="860" w:right="0" w:hanging="720"/>
        <w:jc w:val="left"/>
        <w:rPr>
          <w:sz w:val="22"/>
          <w:u w:val="none"/>
        </w:rPr>
      </w:pPr>
      <w:r>
        <w:rPr>
          <w:b/>
          <w:sz w:val="22"/>
          <w:u w:val="thick"/>
        </w:rPr>
        <w:t>Test</w:t>
      </w:r>
      <w:r>
        <w:rPr>
          <w:b/>
          <w:spacing w:val="-9"/>
          <w:sz w:val="22"/>
          <w:u w:val="thick"/>
        </w:rPr>
        <w:t> </w:t>
      </w:r>
      <w:r>
        <w:rPr>
          <w:b/>
          <w:sz w:val="22"/>
          <w:u w:val="thick"/>
        </w:rPr>
        <w:t>Organism</w:t>
      </w:r>
      <w:r>
        <w:rPr>
          <w:sz w:val="22"/>
          <w:u w:val="none"/>
        </w:rPr>
        <w:t>:</w:t>
      </w:r>
    </w:p>
    <w:p>
      <w:pPr>
        <w:pStyle w:val="BodyText"/>
        <w:spacing w:before="2"/>
        <w:rPr>
          <w:i w:val="0"/>
          <w:sz w:val="14"/>
        </w:rPr>
      </w:pPr>
    </w:p>
    <w:p>
      <w:pPr>
        <w:spacing w:before="91"/>
        <w:ind w:left="860" w:right="0" w:firstLine="0"/>
        <w:jc w:val="left"/>
        <w:rPr>
          <w:i/>
          <w:sz w:val="22"/>
        </w:rPr>
      </w:pPr>
      <w:r>
        <w:rPr>
          <w:b/>
          <w:sz w:val="22"/>
        </w:rPr>
        <w:t>Species (common and scientific names): </w:t>
      </w:r>
      <w:r>
        <w:rPr>
          <w:i/>
          <w:color w:val="FF0000"/>
          <w:sz w:val="22"/>
        </w:rPr>
        <w:t>[Insert test species name(s).]</w:t>
      </w:r>
    </w:p>
    <w:p>
      <w:pPr>
        <w:spacing w:after="0"/>
        <w:jc w:val="left"/>
        <w:rPr>
          <w:sz w:val="22"/>
        </w:rPr>
        <w:sectPr>
          <w:pgSz w:w="12240" w:h="15840"/>
          <w:pgMar w:header="729" w:footer="1084" w:top="1940" w:bottom="1280" w:left="940" w:right="940"/>
        </w:sectPr>
      </w:pPr>
    </w:p>
    <w:p>
      <w:pPr>
        <w:pStyle w:val="BodyText"/>
        <w:spacing w:before="6"/>
        <w:rPr>
          <w:i/>
          <w:sz w:val="15"/>
        </w:rPr>
      </w:pPr>
    </w:p>
    <w:p>
      <w:pPr>
        <w:pStyle w:val="BodyText"/>
        <w:spacing w:before="1"/>
        <w:ind w:left="859" w:right="166"/>
      </w:pPr>
      <w:r>
        <w:rPr>
          <w:b/>
          <w:i/>
          <w:color w:val="0070C0"/>
        </w:rPr>
        <w:t>U.S. EPA OCSPP 885.4240 </w:t>
      </w:r>
      <w:r>
        <w:rPr>
          <w:i/>
          <w:color w:val="0070C0"/>
        </w:rPr>
        <w:t>For MPCAs where direct aquatic exposure is expected, one species of benthic invertebrate should be tested. For </w:t>
      </w:r>
      <w:r>
        <w:rPr>
          <w:color w:val="0070C0"/>
        </w:rPr>
        <w:t>MPCAs where direct aquatic exposure is anticipated, testing shall be performed on two aquatic invertebrate species, one of which is planktonic and the other benthic. The test species should bear as close a taxonomic relationship to the target host as possible. Species likely to prey upon or scavenge the diseased target host organisms should be tested, when applicable. </w:t>
      </w:r>
      <w:r>
        <w:rPr>
          <w:b/>
          <w:i/>
          <w:color w:val="0070C0"/>
        </w:rPr>
        <w:t>From U.S. EPA OCSPP 885.4000 Background for Nontarget </w:t>
      </w:r>
      <w:r>
        <w:rPr>
          <w:b/>
          <w:color w:val="0070C0"/>
        </w:rPr>
        <w:t>Organism Testing of Microbial Pest Control Agents- </w:t>
      </w:r>
      <w:r>
        <w:rPr>
          <w:i/>
          <w:color w:val="0070C0"/>
        </w:rPr>
        <w:t>It would be appropriate to choose an aquatic insect (e.g. caddisfly) as the nontarget </w:t>
      </w:r>
      <w:r>
        <w:rPr>
          <w:color w:val="0070C0"/>
        </w:rPr>
        <w:t>aquatic invertebrate test species when evaluating a MPCA whose target host is an insect. Daphnia, a Cladoceran, has the advantage of having considerable background data for comparative purposes and a bioconcentration effect has been observed during toxicity testing with the entomopathogen Mattesia due to the filter feeding habits of Daphnia, thus assuring the test animal ingests the microorganism. Both Daphnia and certain other aquatic insects have the advantage of a short like cycle or aquatic phase, and both undergo periods of natural stress and potential susceptibility to the microorganism as a consequence of molting.</w:t>
      </w:r>
    </w:p>
    <w:p>
      <w:pPr>
        <w:pStyle w:val="BodyText"/>
        <w:ind w:left="859" w:right="366"/>
      </w:pPr>
      <w:r>
        <w:rPr>
          <w:b/>
          <w:i/>
          <w:color w:val="0070C0"/>
        </w:rPr>
        <w:t>PMRA DIR 2001-02 </w:t>
      </w:r>
      <w:r>
        <w:rPr>
          <w:i/>
          <w:color w:val="0070C0"/>
        </w:rPr>
        <w:t>Non-target arthropod species selected for testing should be representative of groups that will be exposed to the MPCA </w:t>
      </w:r>
      <w:r>
        <w:rPr>
          <w:color w:val="0070C0"/>
        </w:rPr>
        <w:t>under actual conditions of use, and that have some important relationship with the target pest species, and should be representative of species found in the ecozone(s) of intended use. See DIR 2001-02, Appendix XI for suggestions.</w:t>
      </w:r>
    </w:p>
    <w:p>
      <w:pPr>
        <w:pStyle w:val="BodyText"/>
        <w:spacing w:line="184" w:lineRule="exact"/>
        <w:ind w:left="1579"/>
        <w:rPr>
          <w:i/>
        </w:rPr>
      </w:pPr>
      <w:r>
        <w:rPr>
          <w:b/>
          <w:i/>
          <w:color w:val="0070C0"/>
        </w:rPr>
        <w:t>-</w:t>
      </w:r>
      <w:r>
        <w:rPr>
          <w:i/>
          <w:color w:val="0070C0"/>
          <w:u w:val="single" w:color="0070C0"/>
        </w:rPr>
        <w:t>Pelagic Aquatic Arthropods:</w:t>
      </w:r>
    </w:p>
    <w:p>
      <w:pPr>
        <w:spacing w:before="0"/>
        <w:ind w:left="859" w:right="196" w:firstLine="0"/>
        <w:jc w:val="left"/>
        <w:rPr>
          <w:i/>
          <w:sz w:val="16"/>
        </w:rPr>
      </w:pPr>
      <w:r>
        <w:rPr>
          <w:b/>
          <w:i/>
          <w:color w:val="0070C0"/>
          <w:sz w:val="16"/>
        </w:rPr>
        <w:t>Environment Canada EPS 1/RM/44 </w:t>
      </w:r>
      <w:r>
        <w:rPr>
          <w:i/>
          <w:color w:val="0070C0"/>
          <w:sz w:val="16"/>
        </w:rPr>
        <w:t>Daphnia magna is the test species for freshwater tests. Paleomonetes vulgaris is the test species for marine </w:t>
      </w:r>
      <w:r>
        <w:rPr>
          <w:i/>
          <w:color w:val="0070C0"/>
          <w:sz w:val="16"/>
        </w:rPr>
        <w:t>studies.</w:t>
      </w:r>
    </w:p>
    <w:p>
      <w:pPr>
        <w:pStyle w:val="BodyText"/>
        <w:spacing w:line="183" w:lineRule="exact"/>
        <w:ind w:left="859"/>
        <w:rPr>
          <w:i/>
        </w:rPr>
      </w:pPr>
      <w:r>
        <w:rPr>
          <w:b/>
          <w:i/>
          <w:color w:val="0070C0"/>
        </w:rPr>
        <w:t>OECD 202  </w:t>
      </w:r>
      <w:r>
        <w:rPr>
          <w:i/>
          <w:color w:val="0070C0"/>
        </w:rPr>
        <w:t>Daphnia magna Straus is the preferred test species although other suitable Daphnia species can be used (e.g., D. pulex).</w:t>
      </w:r>
    </w:p>
    <w:p>
      <w:pPr>
        <w:pStyle w:val="BodyText"/>
        <w:ind w:left="859"/>
      </w:pPr>
      <w:r>
        <w:rPr>
          <w:b/>
          <w:i/>
          <w:color w:val="0070C0"/>
        </w:rPr>
        <w:t>OECD 211 </w:t>
      </w:r>
      <w:r>
        <w:rPr>
          <w:i/>
          <w:color w:val="0070C0"/>
        </w:rPr>
        <w:t>Daphnia magna Straus is the test species. Clone A is preferred. Other species meeting the reproductive output criteria (mean ≥60 </w:t>
      </w:r>
      <w:r>
        <w:rPr>
          <w:color w:val="0070C0"/>
        </w:rPr>
        <w:t>offspring/surviving parent) are also acceptable.</w:t>
      </w:r>
    </w:p>
    <w:p>
      <w:pPr>
        <w:pStyle w:val="BodyText"/>
        <w:spacing w:line="183" w:lineRule="exact"/>
        <w:ind w:left="1579"/>
        <w:rPr>
          <w:i/>
        </w:rPr>
      </w:pPr>
      <w:r>
        <w:rPr>
          <w:b/>
          <w:i/>
          <w:color w:val="0070C0"/>
        </w:rPr>
        <w:t>-</w:t>
      </w:r>
      <w:r>
        <w:rPr>
          <w:i/>
          <w:color w:val="0070C0"/>
          <w:u w:val="single" w:color="0070C0"/>
        </w:rPr>
        <w:t>Benthic Aquatic Arthropods:</w:t>
      </w:r>
    </w:p>
    <w:p>
      <w:pPr>
        <w:pStyle w:val="BodyText"/>
        <w:ind w:left="860" w:right="214"/>
      </w:pPr>
      <w:r>
        <w:rPr>
          <w:b/>
          <w:i/>
          <w:color w:val="0070C0"/>
        </w:rPr>
        <w:t>Environment Canada EPS 1/RM/44 </w:t>
      </w:r>
      <w:r>
        <w:rPr>
          <w:i/>
          <w:color w:val="0070C0"/>
        </w:rPr>
        <w:t>The chironomids, Chironimus tentans or C. riparius, or the amphipod Hyalella azteca are the test species. </w:t>
      </w:r>
      <w:r>
        <w:rPr>
          <w:b/>
          <w:i/>
          <w:color w:val="0070C0"/>
        </w:rPr>
        <w:t>OECD 218 and 219 </w:t>
      </w:r>
      <w:r>
        <w:rPr>
          <w:i/>
          <w:color w:val="0070C0"/>
        </w:rPr>
        <w:t>Chironimus riparius is preferred. Chironimus tentans is also suitable but requires a longer test period.  C. yoshimatsui is </w:t>
      </w:r>
      <w:r>
        <w:rPr>
          <w:color w:val="0070C0"/>
        </w:rPr>
        <w:t>also acceptable.</w:t>
      </w:r>
    </w:p>
    <w:p>
      <w:pPr>
        <w:pStyle w:val="BodyText"/>
        <w:spacing w:before="2"/>
        <w:rPr>
          <w:i/>
          <w:sz w:val="22"/>
        </w:rPr>
      </w:pPr>
    </w:p>
    <w:p>
      <w:pPr>
        <w:spacing w:before="0"/>
        <w:ind w:left="860" w:right="0" w:firstLine="0"/>
        <w:jc w:val="left"/>
        <w:rPr>
          <w:i/>
          <w:sz w:val="22"/>
        </w:rPr>
      </w:pPr>
      <w:r>
        <w:rPr>
          <w:b/>
          <w:sz w:val="22"/>
        </w:rPr>
        <w:t>Age at test initiation</w:t>
      </w:r>
      <w:r>
        <w:rPr>
          <w:sz w:val="22"/>
        </w:rPr>
        <w:t>: </w:t>
      </w:r>
      <w:r>
        <w:rPr>
          <w:i/>
          <w:color w:val="FF0000"/>
          <w:sz w:val="22"/>
        </w:rPr>
        <w:t>[Insert age of test organisms (mean and range).]</w:t>
      </w:r>
    </w:p>
    <w:p>
      <w:pPr>
        <w:spacing w:before="181"/>
        <w:ind w:left="859" w:right="0" w:firstLine="0"/>
        <w:jc w:val="left"/>
        <w:rPr>
          <w:i/>
          <w:sz w:val="16"/>
        </w:rPr>
      </w:pPr>
      <w:r>
        <w:rPr>
          <w:b/>
          <w:i/>
          <w:color w:val="0070C0"/>
          <w:sz w:val="16"/>
        </w:rPr>
        <w:t>U.S. EPA OCSPP 885.4240  </w:t>
      </w:r>
      <w:r>
        <w:rPr>
          <w:i/>
          <w:color w:val="0070C0"/>
          <w:sz w:val="16"/>
        </w:rPr>
        <w:t>Larval stages of invertebrates should be used whenever possible.</w:t>
      </w:r>
    </w:p>
    <w:p>
      <w:pPr>
        <w:pStyle w:val="BodyText"/>
        <w:spacing w:line="184" w:lineRule="exact"/>
        <w:ind w:left="859"/>
        <w:rPr>
          <w:i/>
        </w:rPr>
      </w:pPr>
      <w:r>
        <w:rPr>
          <w:b/>
          <w:i/>
          <w:color w:val="0070C0"/>
        </w:rPr>
        <w:t>PMRA DIR 2001-02  </w:t>
      </w:r>
      <w:r>
        <w:rPr>
          <w:i/>
          <w:color w:val="0070C0"/>
        </w:rPr>
        <w:t>The life-stage most likely to be exposed or to be susceptible to the MPCA should be tested.</w:t>
      </w:r>
    </w:p>
    <w:p>
      <w:pPr>
        <w:pStyle w:val="BodyText"/>
        <w:spacing w:line="184" w:lineRule="exact"/>
        <w:ind w:left="1579"/>
        <w:rPr>
          <w:i/>
        </w:rPr>
      </w:pPr>
      <w:r>
        <w:rPr>
          <w:b/>
          <w:i/>
          <w:color w:val="0070C0"/>
        </w:rPr>
        <w:t>-</w:t>
      </w:r>
      <w:r>
        <w:rPr>
          <w:i/>
          <w:color w:val="0070C0"/>
          <w:u w:val="single" w:color="0070C0"/>
        </w:rPr>
        <w:t>Pelagic Aquatic Arthropods:</w:t>
      </w:r>
    </w:p>
    <w:p>
      <w:pPr>
        <w:spacing w:before="0"/>
        <w:ind w:left="859" w:right="0" w:firstLine="0"/>
        <w:jc w:val="left"/>
        <w:rPr>
          <w:i/>
          <w:sz w:val="16"/>
        </w:rPr>
      </w:pPr>
      <w:r>
        <w:rPr>
          <w:b/>
          <w:i/>
          <w:color w:val="0070C0"/>
          <w:sz w:val="16"/>
        </w:rPr>
        <w:t>Environment Canada EPS 1/RM/44 </w:t>
      </w:r>
      <w:r>
        <w:rPr>
          <w:i/>
          <w:color w:val="0070C0"/>
          <w:sz w:val="16"/>
        </w:rPr>
        <w:t>Daphnids should be less than 24 hours old at the start of the test. Adult shrimp should be used in marine </w:t>
      </w:r>
      <w:r>
        <w:rPr>
          <w:i/>
          <w:color w:val="0070C0"/>
          <w:sz w:val="16"/>
        </w:rPr>
        <w:t>studies.</w:t>
      </w:r>
    </w:p>
    <w:p>
      <w:pPr>
        <w:spacing w:line="183" w:lineRule="exact" w:before="0"/>
        <w:ind w:left="859" w:right="0" w:firstLine="0"/>
        <w:jc w:val="left"/>
        <w:rPr>
          <w:i/>
          <w:sz w:val="16"/>
        </w:rPr>
      </w:pPr>
      <w:r>
        <w:rPr>
          <w:b/>
          <w:i/>
          <w:color w:val="0070C0"/>
          <w:sz w:val="16"/>
        </w:rPr>
        <w:t>OECD 202 and 211  </w:t>
      </w:r>
      <w:r>
        <w:rPr>
          <w:i/>
          <w:color w:val="0070C0"/>
          <w:sz w:val="16"/>
        </w:rPr>
        <w:t>Daphnids aged less than 24-h, not first-brood progeny.</w:t>
      </w:r>
    </w:p>
    <w:p>
      <w:pPr>
        <w:pStyle w:val="BodyText"/>
        <w:spacing w:line="184" w:lineRule="exact"/>
        <w:ind w:left="1580"/>
        <w:rPr>
          <w:i/>
        </w:rPr>
      </w:pPr>
      <w:r>
        <w:rPr>
          <w:b/>
          <w:i/>
          <w:color w:val="0070C0"/>
        </w:rPr>
        <w:t>-</w:t>
      </w:r>
      <w:r>
        <w:rPr>
          <w:i/>
          <w:color w:val="0070C0"/>
          <w:u w:val="single" w:color="0070C0"/>
        </w:rPr>
        <w:t>Benthic Aquatic Arthropods:</w:t>
      </w:r>
    </w:p>
    <w:p>
      <w:pPr>
        <w:spacing w:before="0"/>
        <w:ind w:left="859" w:right="0" w:firstLine="0"/>
        <w:jc w:val="left"/>
        <w:rPr>
          <w:i/>
          <w:sz w:val="16"/>
        </w:rPr>
      </w:pPr>
      <w:r>
        <w:rPr>
          <w:b/>
          <w:i/>
          <w:color w:val="0070C0"/>
          <w:sz w:val="16"/>
        </w:rPr>
        <w:t>Environment Canada EPS 1/RM/44  </w:t>
      </w:r>
      <w:r>
        <w:rPr>
          <w:i/>
          <w:color w:val="0070C0"/>
          <w:sz w:val="16"/>
        </w:rPr>
        <w:t>Third instar C. tentans or first instar C. riparius (≤48 hour post-hatch); 2–9-day-old amphipods.</w:t>
      </w:r>
    </w:p>
    <w:p>
      <w:pPr>
        <w:spacing w:before="1"/>
        <w:ind w:left="859" w:right="0" w:firstLine="0"/>
        <w:jc w:val="left"/>
        <w:rPr>
          <w:i/>
          <w:sz w:val="16"/>
        </w:rPr>
      </w:pPr>
      <w:r>
        <w:rPr>
          <w:b/>
          <w:i/>
          <w:color w:val="0070C0"/>
          <w:sz w:val="16"/>
        </w:rPr>
        <w:t>OECD 218 and 219   </w:t>
      </w:r>
      <w:r>
        <w:rPr>
          <w:i/>
          <w:color w:val="0070C0"/>
          <w:sz w:val="16"/>
        </w:rPr>
        <w:t>First instar larvae should be used.</w:t>
      </w:r>
    </w:p>
    <w:p>
      <w:pPr>
        <w:pStyle w:val="BodyText"/>
        <w:spacing w:before="2"/>
        <w:rPr>
          <w:i/>
          <w:sz w:val="22"/>
        </w:rPr>
      </w:pPr>
    </w:p>
    <w:p>
      <w:pPr>
        <w:pStyle w:val="Heading2"/>
      </w:pPr>
      <w:r>
        <w:rPr/>
        <w:t>Number of animals/sex:</w:t>
      </w:r>
    </w:p>
    <w:p>
      <w:pPr>
        <w:pStyle w:val="BodyText"/>
        <w:spacing w:before="9"/>
        <w:rPr>
          <w:b/>
          <w:i w:val="0"/>
          <w:sz w:val="21"/>
        </w:rPr>
      </w:pPr>
    </w:p>
    <w:p>
      <w:pPr>
        <w:spacing w:line="184" w:lineRule="exact" w:before="0"/>
        <w:ind w:left="859" w:right="0" w:firstLine="0"/>
        <w:jc w:val="left"/>
        <w:rPr>
          <w:i/>
          <w:sz w:val="16"/>
        </w:rPr>
      </w:pPr>
      <w:r>
        <w:rPr>
          <w:b/>
          <w:i/>
          <w:color w:val="0070C0"/>
          <w:sz w:val="16"/>
        </w:rPr>
        <w:t>U.S. EPA OCSPP 885.4240 </w:t>
      </w:r>
      <w:r>
        <w:rPr>
          <w:i/>
          <w:color w:val="0070C0"/>
          <w:sz w:val="16"/>
        </w:rPr>
        <w:t>No specific recommendations.</w:t>
      </w: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spacing w:line="184" w:lineRule="exact" w:before="0"/>
        <w:ind w:left="859" w:right="0" w:firstLine="0"/>
        <w:jc w:val="left"/>
        <w:rPr>
          <w:i/>
          <w:sz w:val="16"/>
        </w:rPr>
      </w:pPr>
      <w:r>
        <w:rPr>
          <w:b/>
          <w:i/>
          <w:color w:val="0070C0"/>
          <w:sz w:val="16"/>
        </w:rPr>
        <w:t>Environment Canada EPS 1/RM/44   </w:t>
      </w:r>
      <w:r>
        <w:rPr>
          <w:i/>
          <w:color w:val="0070C0"/>
          <w:sz w:val="16"/>
        </w:rPr>
        <w:t>No specific recommendations.</w:t>
      </w:r>
    </w:p>
    <w:p>
      <w:pPr>
        <w:spacing w:before="1"/>
        <w:ind w:left="859" w:right="6734" w:firstLine="719"/>
        <w:jc w:val="left"/>
        <w:rPr>
          <w:i/>
          <w:sz w:val="16"/>
        </w:rPr>
      </w:pPr>
      <w:r>
        <w:rPr>
          <w:b/>
          <w:i/>
          <w:color w:val="0070C0"/>
          <w:sz w:val="16"/>
        </w:rPr>
        <w:t>-</w:t>
      </w:r>
      <w:r>
        <w:rPr>
          <w:i/>
          <w:color w:val="0070C0"/>
          <w:sz w:val="16"/>
          <w:u w:val="single" w:color="0070C0"/>
        </w:rPr>
        <w:t>Pelagic Aquatic Arthropods: </w:t>
      </w:r>
      <w:r>
        <w:rPr>
          <w:b/>
          <w:i/>
          <w:color w:val="0070C0"/>
          <w:sz w:val="16"/>
        </w:rPr>
        <w:t>OECD 202 </w:t>
      </w:r>
      <w:r>
        <w:rPr>
          <w:i/>
          <w:color w:val="0070C0"/>
          <w:sz w:val="16"/>
        </w:rPr>
        <w:t>No specific recommendations. </w:t>
      </w:r>
      <w:r>
        <w:rPr>
          <w:b/>
          <w:i/>
          <w:color w:val="0070C0"/>
          <w:sz w:val="16"/>
        </w:rPr>
        <w:t>OECD 211   </w:t>
      </w:r>
      <w:r>
        <w:rPr>
          <w:i/>
          <w:color w:val="0070C0"/>
          <w:sz w:val="16"/>
        </w:rPr>
        <w:t>Female daphnids.</w:t>
      </w:r>
    </w:p>
    <w:p>
      <w:pPr>
        <w:pStyle w:val="BodyText"/>
        <w:spacing w:line="184" w:lineRule="exact"/>
        <w:ind w:left="1579"/>
        <w:rPr>
          <w:i/>
        </w:rPr>
      </w:pPr>
      <w:r>
        <w:rPr>
          <w:b/>
          <w:i/>
          <w:color w:val="0070C0"/>
        </w:rPr>
        <w:t>-</w:t>
      </w:r>
      <w:r>
        <w:rPr>
          <w:i/>
          <w:color w:val="0070C0"/>
          <w:u w:val="single" w:color="0070C0"/>
        </w:rPr>
        <w:t>Benthic Aquatic Arthropods:</w:t>
      </w:r>
    </w:p>
    <w:p>
      <w:pPr>
        <w:spacing w:before="0"/>
        <w:ind w:left="859" w:right="0" w:firstLine="0"/>
        <w:jc w:val="left"/>
        <w:rPr>
          <w:i/>
          <w:sz w:val="16"/>
        </w:rPr>
      </w:pPr>
      <w:r>
        <w:rPr>
          <w:b/>
          <w:i/>
          <w:color w:val="0070C0"/>
          <w:sz w:val="16"/>
        </w:rPr>
        <w:t>OECD 218 and 219   </w:t>
      </w:r>
      <w:r>
        <w:rPr>
          <w:i/>
          <w:color w:val="0070C0"/>
          <w:sz w:val="16"/>
        </w:rPr>
        <w:t>The sex of fully emerged midges must be recorded.</w:t>
      </w:r>
    </w:p>
    <w:p>
      <w:pPr>
        <w:pStyle w:val="BodyText"/>
        <w:rPr>
          <w:i/>
          <w:sz w:val="18"/>
        </w:rPr>
      </w:pPr>
    </w:p>
    <w:p>
      <w:pPr>
        <w:pStyle w:val="BodyText"/>
        <w:spacing w:before="1"/>
        <w:rPr>
          <w:i/>
          <w:sz w:val="26"/>
        </w:rPr>
      </w:pPr>
    </w:p>
    <w:p>
      <w:pPr>
        <w:pStyle w:val="Heading5"/>
        <w:spacing w:before="1"/>
        <w:rPr>
          <w:i/>
        </w:rPr>
      </w:pPr>
      <w:r>
        <w:rPr>
          <w:b/>
          <w:i w:val="0"/>
        </w:rPr>
        <w:t>Source: </w:t>
      </w:r>
      <w:r>
        <w:rPr>
          <w:i/>
          <w:color w:val="FF0000"/>
        </w:rPr>
        <w:t>[Insert source and/or supplier of test organisms.]</w:t>
      </w:r>
    </w:p>
    <w:p>
      <w:pPr>
        <w:pStyle w:val="BodyText"/>
        <w:spacing w:before="8"/>
        <w:rPr>
          <w:i/>
          <w:sz w:val="31"/>
        </w:rPr>
      </w:pPr>
    </w:p>
    <w:p>
      <w:pPr>
        <w:spacing w:before="0"/>
        <w:ind w:left="859" w:right="0" w:firstLine="0"/>
        <w:jc w:val="left"/>
        <w:rPr>
          <w:i/>
          <w:sz w:val="16"/>
        </w:rPr>
      </w:pPr>
      <w:r>
        <w:rPr>
          <w:b/>
          <w:i/>
          <w:color w:val="0070C0"/>
          <w:sz w:val="16"/>
        </w:rPr>
        <w:t>U.S. EPA OCSPP 885.4240   </w:t>
      </w:r>
      <w:r>
        <w:rPr>
          <w:i/>
          <w:color w:val="0070C0"/>
          <w:sz w:val="16"/>
        </w:rPr>
        <w:t>No specific recommendations.</w:t>
      </w: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spacing w:line="184" w:lineRule="exact" w:before="0"/>
        <w:ind w:left="859" w:right="0" w:firstLine="0"/>
        <w:jc w:val="left"/>
        <w:rPr>
          <w:i/>
          <w:sz w:val="16"/>
        </w:rPr>
      </w:pPr>
      <w:r>
        <w:rPr>
          <w:b/>
          <w:i/>
          <w:color w:val="0070C0"/>
          <w:sz w:val="16"/>
        </w:rPr>
        <w:t>Environment Canada EPS 1/RM/44  </w:t>
      </w:r>
      <w:r>
        <w:rPr>
          <w:i/>
          <w:color w:val="0070C0"/>
          <w:sz w:val="16"/>
        </w:rPr>
        <w:t>Test organisms should be obtained from a single healthy culture.</w:t>
      </w:r>
    </w:p>
    <w:p>
      <w:pPr>
        <w:pStyle w:val="BodyText"/>
        <w:spacing w:line="184" w:lineRule="exact"/>
        <w:ind w:left="1579"/>
        <w:rPr>
          <w:i/>
        </w:rPr>
      </w:pPr>
      <w:r>
        <w:rPr>
          <w:b/>
          <w:i/>
          <w:color w:val="0070C0"/>
        </w:rPr>
        <w:t>-</w:t>
      </w:r>
      <w:r>
        <w:rPr>
          <w:i/>
          <w:color w:val="0070C0"/>
          <w:u w:val="single" w:color="0070C0"/>
        </w:rPr>
        <w:t>Pelagic Aquatic Arthropods:</w:t>
      </w:r>
    </w:p>
    <w:p>
      <w:pPr>
        <w:pStyle w:val="BodyText"/>
        <w:ind w:left="859"/>
      </w:pPr>
      <w:r>
        <w:rPr>
          <w:b/>
          <w:i/>
          <w:color w:val="0070C0"/>
        </w:rPr>
        <w:t>OECD 202 and 211 </w:t>
      </w:r>
      <w:r>
        <w:rPr>
          <w:i/>
          <w:color w:val="0070C0"/>
        </w:rPr>
        <w:t>Daphnids should be derived from a single healthy stock (i.e., showing no signs of stress such as high mortality, presence of </w:t>
      </w:r>
      <w:r>
        <w:rPr>
          <w:color w:val="0070C0"/>
        </w:rPr>
        <w:t>males and ephippia, delay in the production of the first brood, discolored animals, etc.).</w:t>
      </w:r>
    </w:p>
    <w:p>
      <w:pPr>
        <w:pStyle w:val="BodyText"/>
        <w:spacing w:line="183" w:lineRule="exact"/>
        <w:ind w:left="1579"/>
        <w:rPr>
          <w:i/>
        </w:rPr>
      </w:pPr>
      <w:r>
        <w:rPr>
          <w:b/>
          <w:i/>
          <w:color w:val="0070C0"/>
        </w:rPr>
        <w:t>-</w:t>
      </w:r>
      <w:r>
        <w:rPr>
          <w:i/>
          <w:color w:val="0070C0"/>
          <w:u w:val="single" w:color="0070C0"/>
        </w:rPr>
        <w:t>Benthic Aquatic Arthropods:</w:t>
      </w:r>
    </w:p>
    <w:p>
      <w:pPr>
        <w:pStyle w:val="BodyText"/>
        <w:ind w:left="859" w:right="306"/>
      </w:pPr>
      <w:r>
        <w:rPr>
          <w:b/>
          <w:i/>
          <w:color w:val="0070C0"/>
        </w:rPr>
        <w:t>OECD 218 and 219 </w:t>
      </w:r>
      <w:r>
        <w:rPr>
          <w:i/>
          <w:color w:val="0070C0"/>
        </w:rPr>
        <w:t>Chironomids can be cultured at the test facility. If chironominds are obtained elsewhere, the species must be confirmed </w:t>
      </w:r>
      <w:r>
        <w:rPr>
          <w:color w:val="0070C0"/>
        </w:rPr>
        <w:t>prior to testing.</w:t>
      </w:r>
    </w:p>
    <w:p>
      <w:pPr>
        <w:spacing w:after="0"/>
        <w:sectPr>
          <w:pgSz w:w="12240" w:h="15840"/>
          <w:pgMar w:header="729" w:footer="1084" w:top="1940" w:bottom="1280" w:left="940" w:right="940"/>
        </w:sectPr>
      </w:pPr>
    </w:p>
    <w:p>
      <w:pPr>
        <w:pStyle w:val="Heading5"/>
        <w:tabs>
          <w:tab w:pos="2300" w:val="left" w:leader="none"/>
        </w:tabs>
        <w:spacing w:before="182"/>
        <w:rPr>
          <w:i/>
        </w:rPr>
      </w:pPr>
      <w:r>
        <w:rPr>
          <w:b/>
          <w:i w:val="0"/>
        </w:rPr>
        <w:t>Rationale:</w:t>
        <w:tab/>
      </w:r>
      <w:r>
        <w:rPr>
          <w:i/>
          <w:color w:val="FF0000"/>
        </w:rPr>
        <w:t>[Insert rationale for using this test organism, if</w:t>
      </w:r>
      <w:r>
        <w:rPr>
          <w:i/>
          <w:color w:val="FF0000"/>
          <w:spacing w:val="-32"/>
        </w:rPr>
        <w:t> </w:t>
      </w:r>
      <w:r>
        <w:rPr>
          <w:i/>
          <w:color w:val="FF0000"/>
        </w:rPr>
        <w:t>applicable.]</w:t>
      </w:r>
    </w:p>
    <w:p>
      <w:pPr>
        <w:pStyle w:val="BodyText"/>
        <w:rPr>
          <w:i/>
          <w:sz w:val="22"/>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STUDY DESIGN AND</w:t>
      </w:r>
      <w:r>
        <w:rPr>
          <w:b/>
          <w:spacing w:val="-15"/>
          <w:sz w:val="22"/>
          <w:u w:val="thick"/>
        </w:rPr>
        <w:t> </w:t>
      </w:r>
      <w:r>
        <w:rPr>
          <w:b/>
          <w:sz w:val="22"/>
          <w:u w:val="thick"/>
        </w:rPr>
        <w:t>METHODS</w:t>
      </w:r>
      <w:r>
        <w:rPr>
          <w:b/>
          <w:sz w:val="22"/>
          <w:u w:val="none"/>
        </w:rPr>
        <w:t>:</w:t>
      </w:r>
    </w:p>
    <w:p>
      <w:pPr>
        <w:pStyle w:val="BodyText"/>
        <w:rPr>
          <w:b/>
          <w:i w:val="0"/>
          <w:sz w:val="14"/>
        </w:rPr>
      </w:pPr>
    </w:p>
    <w:p>
      <w:pPr>
        <w:spacing w:before="91"/>
        <w:ind w:left="860" w:right="0" w:firstLine="0"/>
        <w:jc w:val="left"/>
        <w:rPr>
          <w:i/>
          <w:sz w:val="22"/>
        </w:rPr>
      </w:pPr>
      <w:r>
        <w:rPr>
          <w:i/>
          <w:color w:val="FF0000"/>
          <w:sz w:val="22"/>
        </w:rPr>
        <w:t>[Briefly describe the experimental design.]</w:t>
      </w:r>
    </w:p>
    <w:p>
      <w:pPr>
        <w:pStyle w:val="BodyText"/>
        <w:rPr>
          <w:i/>
          <w:sz w:val="24"/>
        </w:rPr>
      </w:pPr>
    </w:p>
    <w:p>
      <w:pPr>
        <w:pStyle w:val="BodyText"/>
        <w:spacing w:before="158"/>
        <w:ind w:left="859" w:right="190"/>
      </w:pPr>
      <w:r>
        <w:rPr>
          <w:b/>
          <w:i/>
          <w:color w:val="0070C0"/>
        </w:rPr>
        <w:t>U.S. EPA OCSPP 885.4240 </w:t>
      </w:r>
      <w:r>
        <w:rPr>
          <w:i/>
          <w:color w:val="0070C0"/>
        </w:rPr>
        <w:t>Arthropods are exposed to the MPCA as a suspension in water for at least 21 days. A single group may be tested at </w:t>
      </w:r>
      <w:r>
        <w:rPr>
          <w:color w:val="0070C0"/>
        </w:rPr>
        <w:t>the MHC. If adverse effects are observed, sequentially lower doses should be tested.</w:t>
      </w:r>
    </w:p>
    <w:p>
      <w:pPr>
        <w:pStyle w:val="BodyText"/>
        <w:ind w:left="859" w:right="306"/>
      </w:pPr>
      <w:r>
        <w:rPr>
          <w:b/>
          <w:i/>
          <w:color w:val="0070C0"/>
        </w:rPr>
        <w:t>PMRA DIR 2001-01 </w:t>
      </w:r>
      <w:r>
        <w:rPr>
          <w:i/>
          <w:color w:val="0070C0"/>
        </w:rPr>
        <w:t>The MPCA is administered as a suspension in the water (i.e., aquatic exposure), in the diet, or as a combination of these </w:t>
      </w:r>
      <w:r>
        <w:rPr>
          <w:color w:val="0070C0"/>
        </w:rPr>
        <w:t>two routes of exposure at the maximum hazard concentration (MHC) for at least 21 days.</w:t>
      </w:r>
    </w:p>
    <w:p>
      <w:pPr>
        <w:pStyle w:val="BodyText"/>
        <w:spacing w:line="184" w:lineRule="exact"/>
        <w:ind w:left="1579"/>
        <w:rPr>
          <w:i/>
        </w:rPr>
      </w:pPr>
      <w:r>
        <w:rPr>
          <w:b/>
          <w:i/>
          <w:color w:val="0070C0"/>
        </w:rPr>
        <w:t>-</w:t>
      </w:r>
      <w:r>
        <w:rPr>
          <w:i/>
          <w:color w:val="0070C0"/>
          <w:u w:val="single" w:color="0070C0"/>
        </w:rPr>
        <w:t>Pelagic Aquatic Arthropods:</w:t>
      </w:r>
    </w:p>
    <w:p>
      <w:pPr>
        <w:pStyle w:val="BodyText"/>
        <w:spacing w:before="1"/>
        <w:ind w:left="859" w:right="190"/>
      </w:pPr>
      <w:r>
        <w:rPr>
          <w:b/>
          <w:i/>
          <w:color w:val="0070C0"/>
        </w:rPr>
        <w:t>Environment Canada EPS 1/RM/44 </w:t>
      </w:r>
      <w:r>
        <w:rPr>
          <w:i/>
          <w:color w:val="0070C0"/>
        </w:rPr>
        <w:t>Daphnids or shrimps are exposed to the MHC, or a range of concentrations, including the MHC, for 21 or </w:t>
      </w:r>
      <w:r>
        <w:rPr>
          <w:color w:val="0070C0"/>
        </w:rPr>
        <w:t>30 days, respectively.</w:t>
      </w:r>
    </w:p>
    <w:p>
      <w:pPr>
        <w:pStyle w:val="BodyText"/>
        <w:ind w:left="859" w:right="214"/>
      </w:pPr>
      <w:r>
        <w:rPr>
          <w:b/>
          <w:i/>
          <w:color w:val="0070C0"/>
        </w:rPr>
        <w:t>OECD 202 </w:t>
      </w:r>
      <w:r>
        <w:rPr>
          <w:i/>
          <w:color w:val="0070C0"/>
        </w:rPr>
        <w:t>In an acute toxicity study designed for chemical toxicity testing, daphnids are exposed to the test substance for 48 hours. Immobility </w:t>
      </w:r>
      <w:r>
        <w:rPr>
          <w:color w:val="0070C0"/>
        </w:rPr>
        <w:t>is the endpoint of interest.</w:t>
      </w:r>
    </w:p>
    <w:p>
      <w:pPr>
        <w:pStyle w:val="BodyText"/>
        <w:ind w:left="859" w:right="214"/>
      </w:pPr>
      <w:r>
        <w:rPr>
          <w:b/>
          <w:i/>
          <w:color w:val="0070C0"/>
        </w:rPr>
        <w:t>OECD 211 </w:t>
      </w:r>
      <w:r>
        <w:rPr>
          <w:i/>
          <w:color w:val="0070C0"/>
        </w:rPr>
        <w:t>In a chronic toxicity study designed for chemical toxicity testing, daphnids are exposed to the test substance for 21 days. Immobility </w:t>
      </w:r>
      <w:r>
        <w:rPr>
          <w:color w:val="0070C0"/>
        </w:rPr>
        <w:t>of parental daphnids and fecundity are the endpoints of interest.</w:t>
      </w:r>
    </w:p>
    <w:p>
      <w:pPr>
        <w:pStyle w:val="BodyText"/>
        <w:spacing w:line="184" w:lineRule="exact"/>
        <w:ind w:left="1580"/>
        <w:rPr>
          <w:i/>
        </w:rPr>
      </w:pPr>
      <w:r>
        <w:rPr>
          <w:b/>
          <w:i/>
          <w:color w:val="0070C0"/>
        </w:rPr>
        <w:t>-</w:t>
      </w:r>
      <w:r>
        <w:rPr>
          <w:i/>
          <w:color w:val="0070C0"/>
          <w:u w:val="single" w:color="0070C0"/>
        </w:rPr>
        <w:t>Benthic Aquatic Arthropods:</w:t>
      </w:r>
    </w:p>
    <w:p>
      <w:pPr>
        <w:pStyle w:val="BodyText"/>
        <w:ind w:left="859" w:right="306"/>
      </w:pPr>
      <w:r>
        <w:rPr>
          <w:b/>
          <w:i/>
          <w:color w:val="0070C0"/>
        </w:rPr>
        <w:t>Environment Canada EPS 1/RM 44 </w:t>
      </w:r>
      <w:r>
        <w:rPr>
          <w:i/>
          <w:color w:val="0070C0"/>
        </w:rPr>
        <w:t>Single concentration test: the MPCA is mixed in both the water and sediment at the MHC. Multi- </w:t>
      </w:r>
      <w:r>
        <w:rPr>
          <w:color w:val="0070C0"/>
        </w:rPr>
        <w:t>concentration test: a minimum of 5 test concentrations, including the MHC, either mixed into the sediment or suspended in the water.</w:t>
      </w:r>
    </w:p>
    <w:p>
      <w:pPr>
        <w:pStyle w:val="BodyText"/>
        <w:spacing w:before="2"/>
        <w:ind w:left="859" w:right="527"/>
      </w:pPr>
      <w:r>
        <w:rPr>
          <w:b/>
          <w:i/>
          <w:color w:val="0070C0"/>
        </w:rPr>
        <w:t>OECD 218 </w:t>
      </w:r>
      <w:r>
        <w:rPr>
          <w:i/>
          <w:color w:val="0070C0"/>
        </w:rPr>
        <w:t>First instar chironomid larvae are exposed to a concentration range of the test chemical in sediment-water systems. The test </w:t>
      </w:r>
      <w:r>
        <w:rPr>
          <w:color w:val="0070C0"/>
        </w:rPr>
        <w:t>substance is spiked into the sediment and larvae are introduced into test beakers in which the sediment and water concentrations have been stabilized.  Chironomid emergence and development rate is measured at the end of the test.</w:t>
      </w:r>
    </w:p>
    <w:p>
      <w:pPr>
        <w:pStyle w:val="BodyText"/>
        <w:spacing w:before="1"/>
        <w:ind w:left="859" w:right="214"/>
      </w:pPr>
      <w:r>
        <w:rPr>
          <w:b/>
          <w:i/>
          <w:color w:val="0070C0"/>
        </w:rPr>
        <w:t>OECD 219 </w:t>
      </w:r>
      <w:r>
        <w:rPr>
          <w:i/>
          <w:color w:val="0070C0"/>
        </w:rPr>
        <w:t>First instar chironomid larvae are exposed to a concentration range of the test chemical in sediment-water systems.  The test starts </w:t>
      </w:r>
      <w:r>
        <w:rPr>
          <w:color w:val="0070C0"/>
        </w:rPr>
        <w:t>by placing first instar larvae into the test beakers containing the sediment-water system, and subsequently spiking the test substance into the water.  Chironomid emergence and development rate is measured at the end of the test.</w:t>
      </w:r>
    </w:p>
    <w:p>
      <w:pPr>
        <w:pStyle w:val="BodyText"/>
        <w:rPr>
          <w:i/>
          <w:sz w:val="18"/>
        </w:rPr>
      </w:pPr>
    </w:p>
    <w:p>
      <w:pPr>
        <w:pStyle w:val="BodyText"/>
        <w:spacing w:before="3"/>
        <w:rPr>
          <w:i/>
          <w:sz w:val="26"/>
        </w:rPr>
      </w:pPr>
    </w:p>
    <w:p>
      <w:pPr>
        <w:pStyle w:val="Heading2"/>
        <w:numPr>
          <w:ilvl w:val="1"/>
          <w:numId w:val="2"/>
        </w:numPr>
        <w:tabs>
          <w:tab w:pos="859" w:val="left" w:leader="none"/>
          <w:tab w:pos="861" w:val="left" w:leader="none"/>
        </w:tabs>
        <w:spacing w:line="240" w:lineRule="auto" w:before="0" w:after="0"/>
        <w:ind w:left="860" w:right="0" w:hanging="720"/>
        <w:jc w:val="left"/>
      </w:pPr>
      <w:r>
        <w:rPr>
          <w:u w:val="thick"/>
        </w:rPr>
        <w:t>Experimental Methods and</w:t>
      </w:r>
      <w:r>
        <w:rPr>
          <w:spacing w:val="-14"/>
          <w:u w:val="thick"/>
        </w:rPr>
        <w:t> </w:t>
      </w:r>
      <w:r>
        <w:rPr>
          <w:u w:val="thick"/>
        </w:rPr>
        <w:t>Conditions</w:t>
      </w:r>
      <w:r>
        <w:rPr/>
        <w:t>:</w:t>
      </w:r>
    </w:p>
    <w:p>
      <w:pPr>
        <w:pStyle w:val="BodyText"/>
        <w:spacing w:before="1"/>
        <w:rPr>
          <w:b/>
          <w:i w:val="0"/>
          <w:sz w:val="14"/>
        </w:rPr>
      </w:pPr>
    </w:p>
    <w:p>
      <w:pPr>
        <w:spacing w:before="91"/>
        <w:ind w:left="860" w:right="0" w:firstLine="0"/>
        <w:jc w:val="left"/>
        <w:rPr>
          <w:b/>
          <w:sz w:val="22"/>
        </w:rPr>
      </w:pPr>
      <w:r>
        <w:rPr>
          <w:b/>
          <w:sz w:val="22"/>
        </w:rPr>
        <w:t>Acclimation:</w:t>
      </w:r>
    </w:p>
    <w:p>
      <w:pPr>
        <w:pStyle w:val="BodyText"/>
        <w:spacing w:before="9"/>
        <w:rPr>
          <w:b/>
          <w:i w:val="0"/>
          <w:sz w:val="21"/>
        </w:rPr>
      </w:pPr>
    </w:p>
    <w:p>
      <w:pPr>
        <w:pStyle w:val="Heading4"/>
        <w:ind w:right="8453"/>
      </w:pPr>
      <w:r>
        <w:rPr/>
        <w:t>Period: Conditions: Feeding:</w:t>
      </w:r>
    </w:p>
    <w:p>
      <w:pPr>
        <w:spacing w:before="0"/>
        <w:ind w:left="860" w:right="0" w:firstLine="0"/>
        <w:jc w:val="left"/>
        <w:rPr>
          <w:i/>
          <w:sz w:val="22"/>
        </w:rPr>
      </w:pPr>
      <w:r>
        <w:rPr>
          <w:sz w:val="22"/>
        </w:rPr>
        <w:t>Health: </w:t>
      </w:r>
      <w:r>
        <w:rPr>
          <w:i/>
          <w:color w:val="FF0000"/>
          <w:sz w:val="22"/>
        </w:rPr>
        <w:t>(any mortality observed?)</w:t>
      </w:r>
    </w:p>
    <w:p>
      <w:pPr>
        <w:pStyle w:val="BodyText"/>
        <w:rPr>
          <w:i/>
          <w:sz w:val="22"/>
        </w:rPr>
      </w:pPr>
    </w:p>
    <w:p>
      <w:pPr>
        <w:pStyle w:val="Heading5"/>
        <w:rPr>
          <w:i/>
        </w:rPr>
      </w:pPr>
      <w:r>
        <w:rPr>
          <w:i/>
          <w:color w:val="FF0000"/>
        </w:rPr>
        <w:t>[Were they the same as those reported during the study?]</w:t>
      </w:r>
    </w:p>
    <w:p>
      <w:pPr>
        <w:pStyle w:val="BodyText"/>
        <w:rPr>
          <w:i/>
          <w:sz w:val="24"/>
        </w:rPr>
      </w:pPr>
    </w:p>
    <w:p>
      <w:pPr>
        <w:pStyle w:val="BodyText"/>
        <w:spacing w:before="174"/>
        <w:ind w:left="859" w:right="306"/>
      </w:pPr>
      <w:r>
        <w:rPr>
          <w:b/>
          <w:i/>
          <w:color w:val="0070C0"/>
        </w:rPr>
        <w:t>U.S. EPA OCSPP 885.4240 </w:t>
      </w:r>
      <w:r>
        <w:rPr>
          <w:i/>
          <w:color w:val="0070C0"/>
        </w:rPr>
        <w:t>No specific recommendations, but acclimation parameters (i.e. lighting, acclimation, and test temperatures </w:t>
      </w:r>
      <w:r>
        <w:rPr>
          <w:color w:val="0070C0"/>
        </w:rPr>
        <w:t>(averages and range) must be reported.</w:t>
      </w:r>
    </w:p>
    <w:p>
      <w:pPr>
        <w:spacing w:before="37"/>
        <w:ind w:left="859" w:right="0" w:firstLine="0"/>
        <w:jc w:val="left"/>
        <w:rPr>
          <w:i/>
          <w:sz w:val="16"/>
        </w:rPr>
      </w:pPr>
      <w:r>
        <w:rPr>
          <w:b/>
          <w:i/>
          <w:color w:val="0070C0"/>
          <w:sz w:val="16"/>
        </w:rPr>
        <w:t>PMRA DIR 2001-02   </w:t>
      </w:r>
      <w:r>
        <w:rPr>
          <w:i/>
          <w:color w:val="0070C0"/>
          <w:sz w:val="16"/>
        </w:rPr>
        <w:t>No specific recommendations.</w:t>
      </w:r>
    </w:p>
    <w:p>
      <w:pPr>
        <w:pStyle w:val="BodyText"/>
        <w:ind w:left="1561" w:right="6856"/>
        <w:jc w:val="center"/>
        <w:rPr>
          <w:i/>
        </w:rPr>
      </w:pPr>
      <w:r>
        <w:rPr>
          <w:b/>
          <w:i/>
          <w:color w:val="0070C0"/>
        </w:rPr>
        <w:t>-</w:t>
      </w:r>
      <w:r>
        <w:rPr>
          <w:i/>
          <w:color w:val="0070C0"/>
          <w:u w:val="single" w:color="0070C0"/>
        </w:rPr>
        <w:t>Pelagic Aquatic Arthropods:</w:t>
      </w:r>
    </w:p>
    <w:p>
      <w:pPr>
        <w:pStyle w:val="BodyText"/>
        <w:ind w:left="860" w:right="165" w:hanging="1"/>
      </w:pPr>
      <w:r>
        <w:rPr>
          <w:b/>
          <w:i/>
          <w:color w:val="0070C0"/>
        </w:rPr>
        <w:t>Environment Canada EPS 1/RM/44 </w:t>
      </w:r>
      <w:r>
        <w:rPr>
          <w:i/>
          <w:color w:val="0070C0"/>
          <w:u w:val="single" w:color="0070C0"/>
        </w:rPr>
        <w:t>Daphnids </w:t>
      </w:r>
      <w:r>
        <w:rPr>
          <w:i/>
          <w:color w:val="0070C0"/>
        </w:rPr>
        <w:t>should be acclimated for at least two generations to the test conditions (i.e., temperature, </w:t>
      </w:r>
      <w:r>
        <w:rPr>
          <w:color w:val="0070C0"/>
        </w:rPr>
        <w:t>photoperiod, food, dilution water). </w:t>
      </w:r>
      <w:r>
        <w:rPr>
          <w:color w:val="0070C0"/>
          <w:u w:val="single" w:color="0070C0"/>
        </w:rPr>
        <w:t>Shrimp </w:t>
      </w:r>
      <w:r>
        <w:rPr>
          <w:color w:val="0070C0"/>
        </w:rPr>
        <w:t>should be acclimated gradually to the test conditions (salinity, temperature, and lighting) and held for at least 14 days before testing. Mortality should not exceed 10% during the final 2 days preceding testing.</w:t>
      </w:r>
    </w:p>
    <w:p>
      <w:pPr>
        <w:pStyle w:val="BodyText"/>
        <w:ind w:left="859" w:right="306"/>
      </w:pPr>
      <w:r>
        <w:rPr>
          <w:b/>
          <w:i/>
          <w:color w:val="0070C0"/>
        </w:rPr>
        <w:t>OECD 202 </w:t>
      </w:r>
      <w:r>
        <w:rPr>
          <w:i/>
          <w:color w:val="0070C0"/>
        </w:rPr>
        <w:t>Stock animals must be maintained in culture conditions (light, temperature, medium) similar to those to be used in the test. </w:t>
      </w:r>
      <w:r>
        <w:rPr>
          <w:color w:val="0070C0"/>
        </w:rPr>
        <w:t>Otherwise, a 48-hour acclimation period is recommended.</w:t>
      </w:r>
    </w:p>
    <w:p>
      <w:pPr>
        <w:pStyle w:val="BodyText"/>
        <w:ind w:left="859" w:right="300"/>
      </w:pPr>
      <w:r>
        <w:rPr>
          <w:b/>
          <w:i/>
          <w:color w:val="0070C0"/>
        </w:rPr>
        <w:t>OECD 211 </w:t>
      </w:r>
      <w:r>
        <w:rPr>
          <w:i/>
          <w:color w:val="0070C0"/>
        </w:rPr>
        <w:t>Stock animals must be maintained in culture conditions (light, temperature, medium) similar to those to be used in the test. If the </w:t>
      </w:r>
      <w:r>
        <w:rPr>
          <w:color w:val="0070C0"/>
        </w:rPr>
        <w:t>medium is different, a pre-test acclimation period of approximately 3 weeks (i.e., one generation) is recommended to avoid stressing the parent animals.</w:t>
      </w:r>
    </w:p>
    <w:p>
      <w:pPr>
        <w:pStyle w:val="BodyText"/>
        <w:spacing w:line="184" w:lineRule="exact"/>
        <w:ind w:left="1579"/>
        <w:rPr>
          <w:i/>
        </w:rPr>
      </w:pPr>
      <w:r>
        <w:rPr>
          <w:b/>
          <w:i/>
          <w:color w:val="0070C0"/>
        </w:rPr>
        <w:t>-</w:t>
      </w:r>
      <w:r>
        <w:rPr>
          <w:i/>
          <w:color w:val="0070C0"/>
          <w:u w:val="single" w:color="0070C0"/>
        </w:rPr>
        <w:t>Benthic Aquatic Arthropods:</w:t>
      </w:r>
    </w:p>
    <w:p>
      <w:pPr>
        <w:pStyle w:val="BodyText"/>
        <w:ind w:left="859" w:right="190"/>
      </w:pPr>
      <w:r>
        <w:rPr>
          <w:b/>
          <w:i/>
          <w:color w:val="0070C0"/>
        </w:rPr>
        <w:t>OECD 218 and 219 </w:t>
      </w:r>
      <w:r>
        <w:rPr>
          <w:i/>
          <w:color w:val="0070C0"/>
        </w:rPr>
        <w:t>4–5 days before adding the test organisms to the test vessels, egg masses should be taken from the cultures and placed in </w:t>
      </w:r>
      <w:r>
        <w:rPr>
          <w:color w:val="0070C0"/>
        </w:rPr>
        <w:t>small vessels in culture medium. Aged medium from the stock culture may be used, or freshly-prepared medium, with a small amount of food (e.g., green algae and/or droplets of filtrate from a finely ground suspension of flaked fish food) added to it. Only freshly laid egg masses should be used. Larvae begin to hatch a couple of days after the eggs are laid, and larval growth occurs in four instars, each of 4–8 days duration.</w:t>
      </w:r>
    </w:p>
    <w:p>
      <w:pPr>
        <w:pStyle w:val="BodyText"/>
        <w:spacing w:before="1"/>
        <w:ind w:left="860"/>
        <w:rPr>
          <w:i/>
        </w:rPr>
      </w:pPr>
      <w:r>
        <w:rPr>
          <w:i/>
          <w:color w:val="0070C0"/>
        </w:rPr>
        <w:t>First instar larvae are used in the test.</w:t>
      </w:r>
    </w:p>
    <w:p>
      <w:pPr>
        <w:spacing w:after="0"/>
        <w:sectPr>
          <w:pgSz w:w="12240" w:h="15840"/>
          <w:pgMar w:header="729" w:footer="1084" w:top="1940" w:bottom="1280" w:left="940" w:right="940"/>
        </w:sectPr>
      </w:pPr>
    </w:p>
    <w:p>
      <w:pPr>
        <w:pStyle w:val="BodyText"/>
        <w:rPr>
          <w:i/>
          <w:sz w:val="20"/>
        </w:rPr>
      </w:pPr>
    </w:p>
    <w:p>
      <w:pPr>
        <w:pStyle w:val="Heading2"/>
        <w:spacing w:before="205"/>
      </w:pPr>
      <w:r>
        <w:rPr/>
        <w:t>Test vessel:</w:t>
      </w:r>
    </w:p>
    <w:p>
      <w:pPr>
        <w:pStyle w:val="BodyText"/>
        <w:spacing w:before="10"/>
        <w:rPr>
          <w:b/>
          <w:i w:val="0"/>
          <w:sz w:val="21"/>
        </w:rPr>
      </w:pPr>
    </w:p>
    <w:p>
      <w:pPr>
        <w:pStyle w:val="Heading5"/>
        <w:spacing w:line="253" w:lineRule="exact"/>
        <w:rPr>
          <w:i/>
        </w:rPr>
      </w:pPr>
      <w:r>
        <w:rPr>
          <w:i/>
          <w:color w:val="FF0000"/>
        </w:rPr>
        <w:t>[Describe the test vessel.]</w:t>
      </w:r>
    </w:p>
    <w:p>
      <w:pPr>
        <w:spacing w:before="0"/>
        <w:ind w:left="860" w:right="8453" w:firstLine="0"/>
        <w:jc w:val="left"/>
        <w:rPr>
          <w:sz w:val="22"/>
        </w:rPr>
      </w:pPr>
      <w:r>
        <w:rPr>
          <w:w w:val="95"/>
          <w:sz w:val="22"/>
        </w:rPr>
        <w:t>Material: </w:t>
      </w:r>
      <w:r>
        <w:rPr>
          <w:sz w:val="22"/>
        </w:rPr>
        <w:t>Size:</w:t>
      </w:r>
    </w:p>
    <w:p>
      <w:pPr>
        <w:spacing w:before="1"/>
        <w:ind w:left="860" w:right="0" w:firstLine="0"/>
        <w:jc w:val="left"/>
        <w:rPr>
          <w:sz w:val="22"/>
        </w:rPr>
      </w:pPr>
      <w:r>
        <w:rPr>
          <w:sz w:val="22"/>
        </w:rPr>
        <w:t>Fill Volume:</w:t>
      </w:r>
    </w:p>
    <w:p>
      <w:pPr>
        <w:pStyle w:val="BodyText"/>
        <w:rPr>
          <w:i w:val="0"/>
          <w:sz w:val="24"/>
        </w:rPr>
      </w:pPr>
    </w:p>
    <w:p>
      <w:pPr>
        <w:spacing w:before="197"/>
        <w:ind w:left="860" w:right="0" w:firstLine="0"/>
        <w:jc w:val="left"/>
        <w:rPr>
          <w:i/>
          <w:sz w:val="16"/>
        </w:rPr>
      </w:pPr>
      <w:r>
        <w:rPr>
          <w:b/>
          <w:i/>
          <w:color w:val="0070C0"/>
          <w:sz w:val="16"/>
        </w:rPr>
        <w:t>U.S. EPA OCSPP 885.4240   </w:t>
      </w:r>
      <w:r>
        <w:rPr>
          <w:i/>
          <w:color w:val="0070C0"/>
          <w:sz w:val="16"/>
        </w:rPr>
        <w:t>No specific recommendations.</w:t>
      </w:r>
    </w:p>
    <w:p>
      <w:pPr>
        <w:spacing w:line="184" w:lineRule="exact" w:before="38"/>
        <w:ind w:left="860" w:right="0" w:firstLine="0"/>
        <w:jc w:val="left"/>
        <w:rPr>
          <w:i/>
          <w:sz w:val="16"/>
        </w:rPr>
      </w:pPr>
      <w:r>
        <w:rPr>
          <w:b/>
          <w:i/>
          <w:color w:val="0070C0"/>
          <w:sz w:val="16"/>
        </w:rPr>
        <w:t>PMRA DIR 2001-02   </w:t>
      </w:r>
      <w:r>
        <w:rPr>
          <w:i/>
          <w:color w:val="0070C0"/>
          <w:sz w:val="16"/>
        </w:rPr>
        <w:t>No specific recommendations.</w:t>
      </w:r>
    </w:p>
    <w:p>
      <w:pPr>
        <w:pStyle w:val="BodyText"/>
        <w:ind w:left="1561" w:right="6856"/>
        <w:jc w:val="center"/>
        <w:rPr>
          <w:i/>
        </w:rPr>
      </w:pPr>
      <w:r>
        <w:rPr>
          <w:b/>
          <w:i/>
          <w:color w:val="0070C0"/>
        </w:rPr>
        <w:t>-</w:t>
      </w:r>
      <w:r>
        <w:rPr>
          <w:i/>
          <w:color w:val="0070C0"/>
          <w:u w:val="single" w:color="0070C0"/>
        </w:rPr>
        <w:t>Pelagic Aquatic Arthropods:</w:t>
      </w:r>
    </w:p>
    <w:p>
      <w:pPr>
        <w:pStyle w:val="BodyText"/>
        <w:spacing w:before="1"/>
        <w:ind w:left="860" w:hanging="1"/>
      </w:pPr>
      <w:r>
        <w:rPr>
          <w:b/>
          <w:i/>
          <w:color w:val="0070C0"/>
        </w:rPr>
        <w:t>Environment Canada EPS 1/RM/44 </w:t>
      </w:r>
      <w:r>
        <w:rPr>
          <w:i/>
          <w:color w:val="0070C0"/>
        </w:rPr>
        <w:t>For daphnids, glass beakers (50–100 mL capacity) containing 50–100 mL test solution/suspension. </w:t>
      </w:r>
      <w:r>
        <w:rPr>
          <w:i/>
          <w:color w:val="0070C0"/>
          <w:u w:val="single" w:color="0070C0"/>
        </w:rPr>
        <w:t>For </w:t>
      </w:r>
      <w:r>
        <w:rPr>
          <w:color w:val="0070C0"/>
          <w:u w:val="single" w:color="0070C0"/>
        </w:rPr>
        <w:t>shrimp</w:t>
      </w:r>
      <w:r>
        <w:rPr>
          <w:color w:val="0070C0"/>
        </w:rPr>
        <w:t>, clear glass aquaria (≥20 L)containing 15 L test solution/suspension.</w:t>
      </w:r>
    </w:p>
    <w:p>
      <w:pPr>
        <w:pStyle w:val="BodyText"/>
        <w:ind w:left="859" w:right="280"/>
        <w:jc w:val="both"/>
      </w:pPr>
      <w:r>
        <w:rPr>
          <w:b/>
          <w:i/>
          <w:color w:val="0070C0"/>
        </w:rPr>
        <w:t>OECD 202 </w:t>
      </w:r>
      <w:r>
        <w:rPr>
          <w:i/>
          <w:color w:val="0070C0"/>
        </w:rPr>
        <w:t>Glass or other chemically inert material. Glass test tubes or beakers, loosely covered to reduce the evaporation of water and entry </w:t>
      </w:r>
      <w:r>
        <w:rPr>
          <w:color w:val="0070C0"/>
        </w:rPr>
        <w:t>of dust. The ratio of air/water volume in the vessel should be identical for test and control groups. ≥2 mL of test solution should be provided for each daphnid.</w:t>
      </w:r>
    </w:p>
    <w:p>
      <w:pPr>
        <w:pStyle w:val="BodyText"/>
        <w:spacing w:line="184" w:lineRule="exact" w:before="1"/>
        <w:ind w:left="859"/>
        <w:rPr>
          <w:i/>
        </w:rPr>
      </w:pPr>
      <w:r>
        <w:rPr>
          <w:b/>
          <w:i/>
          <w:color w:val="0070C0"/>
        </w:rPr>
        <w:t>OECD 211  </w:t>
      </w:r>
      <w:r>
        <w:rPr>
          <w:i/>
          <w:color w:val="0070C0"/>
        </w:rPr>
        <w:t>Glass or other chemically inert material is preferred. Glass beakers containing 50–100 mL of medium are recommended.</w:t>
      </w:r>
    </w:p>
    <w:p>
      <w:pPr>
        <w:pStyle w:val="BodyText"/>
        <w:spacing w:line="184" w:lineRule="exact" w:before="1"/>
        <w:ind w:left="1561" w:right="6856"/>
        <w:jc w:val="center"/>
        <w:rPr>
          <w:i/>
        </w:rPr>
      </w:pPr>
      <w:r>
        <w:rPr>
          <w:b/>
          <w:i/>
          <w:color w:val="0070C0"/>
        </w:rPr>
        <w:t>-</w:t>
      </w:r>
      <w:r>
        <w:rPr>
          <w:i/>
          <w:color w:val="0070C0"/>
          <w:u w:val="single" w:color="0070C0"/>
        </w:rPr>
        <w:t>Benthic Aquatic Arthropods:</w:t>
      </w:r>
    </w:p>
    <w:p>
      <w:pPr>
        <w:spacing w:line="184" w:lineRule="exact" w:before="0"/>
        <w:ind w:left="860" w:right="0" w:firstLine="0"/>
        <w:jc w:val="left"/>
        <w:rPr>
          <w:i/>
          <w:sz w:val="16"/>
        </w:rPr>
      </w:pPr>
      <w:r>
        <w:rPr>
          <w:b/>
          <w:i/>
          <w:color w:val="0070C0"/>
          <w:sz w:val="16"/>
        </w:rPr>
        <w:t>Environment Canada EPS 1/RM/44  </w:t>
      </w:r>
      <w:r>
        <w:rPr>
          <w:i/>
          <w:color w:val="0070C0"/>
          <w:sz w:val="16"/>
        </w:rPr>
        <w:t>300-mL high-form glass beaker, containing 100 mL wet sediment and 175 mL overlying water.</w:t>
      </w:r>
    </w:p>
    <w:p>
      <w:pPr>
        <w:pStyle w:val="BodyText"/>
        <w:spacing w:line="237" w:lineRule="auto" w:before="1"/>
        <w:ind w:left="859" w:right="155"/>
      </w:pPr>
      <w:r>
        <w:rPr>
          <w:b/>
          <w:i/>
          <w:color w:val="0070C0"/>
        </w:rPr>
        <w:t>OECD 218 and 219 </w:t>
      </w:r>
      <w:r>
        <w:rPr>
          <w:i/>
          <w:color w:val="0070C0"/>
        </w:rPr>
        <w:t>The study is conducted in glass 600-mL beakers measuring 8 cm in diameter. Other vessels are suitable, but they should </w:t>
      </w:r>
      <w:r>
        <w:rPr>
          <w:color w:val="0070C0"/>
        </w:rPr>
        <w:t>guarantee a suitable depth of overlying water and sediment. The sediment surface should be sufficient to provide 2–3 cm</w:t>
      </w:r>
      <w:r>
        <w:rPr>
          <w:color w:val="0070C0"/>
          <w:position w:val="6"/>
          <w:sz w:val="10"/>
        </w:rPr>
        <w:t>2</w:t>
      </w:r>
      <w:r>
        <w:rPr>
          <w:color w:val="0070C0"/>
        </w:rPr>
        <w:t>/ larva. The ratio of the depth of the sediment layer to the depth of the overlying water should be 1:4.  Test vessels and other apparatus that will come into contact with the test system should be made entirely of glass or other chemically inert material (e.g., Teflon).</w:t>
      </w:r>
    </w:p>
    <w:p>
      <w:pPr>
        <w:pStyle w:val="BodyText"/>
        <w:rPr>
          <w:i/>
          <w:sz w:val="18"/>
        </w:rPr>
      </w:pPr>
    </w:p>
    <w:p>
      <w:pPr>
        <w:pStyle w:val="BodyText"/>
        <w:spacing w:before="3"/>
        <w:rPr>
          <w:i/>
          <w:sz w:val="24"/>
        </w:rPr>
      </w:pPr>
    </w:p>
    <w:p>
      <w:pPr>
        <w:pStyle w:val="Heading2"/>
      </w:pPr>
      <w:r>
        <w:rPr/>
        <w:t>Test system:</w:t>
      </w:r>
    </w:p>
    <w:p>
      <w:pPr>
        <w:pStyle w:val="BodyText"/>
        <w:spacing w:before="10"/>
        <w:rPr>
          <w:b/>
          <w:i w:val="0"/>
          <w:sz w:val="21"/>
        </w:rPr>
      </w:pPr>
    </w:p>
    <w:p>
      <w:pPr>
        <w:pStyle w:val="Heading4"/>
        <w:spacing w:line="253" w:lineRule="exact"/>
      </w:pPr>
      <w:r>
        <w:rPr/>
        <w:t>Static/flow through</w:t>
      </w:r>
    </w:p>
    <w:p>
      <w:pPr>
        <w:spacing w:before="0"/>
        <w:ind w:left="860" w:right="4675" w:hanging="1"/>
        <w:jc w:val="left"/>
        <w:rPr>
          <w:sz w:val="22"/>
        </w:rPr>
      </w:pPr>
      <w:r>
        <w:rPr>
          <w:sz w:val="22"/>
        </w:rPr>
        <w:t>Type of dilution system- for flow through method Flow rate</w:t>
      </w:r>
    </w:p>
    <w:p>
      <w:pPr>
        <w:spacing w:before="1"/>
        <w:ind w:left="860" w:right="0" w:firstLine="0"/>
        <w:jc w:val="left"/>
        <w:rPr>
          <w:sz w:val="22"/>
        </w:rPr>
      </w:pPr>
      <w:r>
        <w:rPr>
          <w:sz w:val="22"/>
        </w:rPr>
        <w:t>Renewal rate for static renewal</w:t>
      </w:r>
    </w:p>
    <w:p>
      <w:pPr>
        <w:pStyle w:val="BodyText"/>
        <w:rPr>
          <w:i w:val="0"/>
          <w:sz w:val="24"/>
        </w:rPr>
      </w:pPr>
    </w:p>
    <w:p>
      <w:pPr>
        <w:spacing w:before="198"/>
        <w:ind w:left="860" w:right="0" w:firstLine="0"/>
        <w:jc w:val="left"/>
        <w:rPr>
          <w:i/>
          <w:sz w:val="16"/>
        </w:rPr>
      </w:pPr>
      <w:r>
        <w:rPr>
          <w:b/>
          <w:i/>
          <w:color w:val="0070C0"/>
          <w:sz w:val="16"/>
        </w:rPr>
        <w:t>U.S. EPA OCSPP 885.4240   </w:t>
      </w:r>
      <w:r>
        <w:rPr>
          <w:i/>
          <w:color w:val="0070C0"/>
          <w:sz w:val="16"/>
        </w:rPr>
        <w:t>No specific recommendations.</w:t>
      </w:r>
    </w:p>
    <w:p>
      <w:pPr>
        <w:pStyle w:val="BodyText"/>
        <w:spacing w:before="37"/>
        <w:ind w:left="860" w:right="256"/>
      </w:pPr>
      <w:r>
        <w:rPr>
          <w:b/>
          <w:i/>
          <w:color w:val="0070C0"/>
        </w:rPr>
        <w:t>PMRA DIR 2001-02  </w:t>
      </w:r>
      <w:r>
        <w:rPr>
          <w:i/>
          <w:color w:val="0070C0"/>
        </w:rPr>
        <w:t>High concentrations of the microbial test substance may have an adverse effect on water quality (e.g., oxygen depletion). </w:t>
      </w:r>
      <w:r>
        <w:rPr>
          <w:color w:val="0070C0"/>
        </w:rPr>
        <w:t>It is recommended that the test solution be renewed at a sufficient rate to maintain water quality and the concentration of the MPCA.</w:t>
      </w:r>
    </w:p>
    <w:p>
      <w:pPr>
        <w:pStyle w:val="BodyText"/>
        <w:spacing w:line="184" w:lineRule="exact"/>
        <w:ind w:left="1561" w:right="6856"/>
        <w:jc w:val="center"/>
        <w:rPr>
          <w:i/>
        </w:rPr>
      </w:pPr>
      <w:r>
        <w:rPr>
          <w:b/>
          <w:i/>
          <w:color w:val="0070C0"/>
        </w:rPr>
        <w:t>-</w:t>
      </w:r>
      <w:r>
        <w:rPr>
          <w:i/>
          <w:color w:val="0070C0"/>
          <w:u w:val="single" w:color="0070C0"/>
        </w:rPr>
        <w:t>Pelagic Aquatic Arthropods:</w:t>
      </w:r>
    </w:p>
    <w:p>
      <w:pPr>
        <w:pStyle w:val="BodyText"/>
        <w:spacing w:before="38"/>
        <w:ind w:left="860" w:hanging="1"/>
      </w:pPr>
      <w:r>
        <w:rPr>
          <w:b/>
          <w:i/>
          <w:color w:val="0070C0"/>
        </w:rPr>
        <w:t>Environment Canada EPS 1/RM/44 </w:t>
      </w:r>
      <w:r>
        <w:rPr>
          <w:i/>
          <w:color w:val="0070C0"/>
          <w:u w:val="single" w:color="0070C0"/>
        </w:rPr>
        <w:t>Daphnids</w:t>
      </w:r>
      <w:r>
        <w:rPr>
          <w:i/>
          <w:color w:val="0070C0"/>
        </w:rPr>
        <w:t>: static renewal; three times per week on non-consecutive days (e.g., Mon., Wed., Fri.). </w:t>
      </w:r>
      <w:r>
        <w:rPr>
          <w:i/>
          <w:color w:val="0070C0"/>
          <w:u w:val="single" w:color="0070C0"/>
        </w:rPr>
        <w:t>Shrimp: </w:t>
      </w:r>
      <w:r>
        <w:rPr>
          <w:color w:val="0070C0"/>
        </w:rPr>
        <w:t>static renewal; at least twice weekly.</w:t>
      </w:r>
    </w:p>
    <w:p>
      <w:pPr>
        <w:pStyle w:val="BodyText"/>
        <w:spacing w:line="184" w:lineRule="exact"/>
        <w:ind w:left="859"/>
        <w:rPr>
          <w:i/>
        </w:rPr>
      </w:pPr>
      <w:r>
        <w:rPr>
          <w:b/>
          <w:i/>
          <w:color w:val="0070C0"/>
        </w:rPr>
        <w:t>OECD 202  </w:t>
      </w:r>
      <w:r>
        <w:rPr>
          <w:i/>
          <w:color w:val="0070C0"/>
        </w:rPr>
        <w:t>Static test. Static renewal or flow-through systems may be used when the concentration of the test substance is not stable.</w:t>
      </w:r>
    </w:p>
    <w:p>
      <w:pPr>
        <w:pStyle w:val="BodyText"/>
        <w:spacing w:line="184" w:lineRule="exact" w:before="1"/>
        <w:ind w:left="859"/>
        <w:rPr>
          <w:i/>
        </w:rPr>
      </w:pPr>
      <w:r>
        <w:rPr>
          <w:b/>
          <w:i/>
          <w:color w:val="0070C0"/>
        </w:rPr>
        <w:t>OECD 211   </w:t>
      </w:r>
      <w:r>
        <w:rPr>
          <w:i/>
          <w:color w:val="0070C0"/>
        </w:rPr>
        <w:t>Static-renewal or flow-through tests are acceptable.</w:t>
      </w:r>
    </w:p>
    <w:p>
      <w:pPr>
        <w:pStyle w:val="BodyText"/>
        <w:spacing w:line="184" w:lineRule="exact"/>
        <w:ind w:left="1561" w:right="6856"/>
        <w:jc w:val="center"/>
        <w:rPr>
          <w:i/>
        </w:rPr>
      </w:pPr>
      <w:r>
        <w:rPr>
          <w:b/>
          <w:i/>
          <w:color w:val="0070C0"/>
        </w:rPr>
        <w:t>-</w:t>
      </w:r>
      <w:r>
        <w:rPr>
          <w:i/>
          <w:color w:val="0070C0"/>
          <w:u w:val="single" w:color="0070C0"/>
        </w:rPr>
        <w:t>Benthic Aquatic Arthropods:</w:t>
      </w:r>
    </w:p>
    <w:p>
      <w:pPr>
        <w:pStyle w:val="BodyText"/>
        <w:ind w:left="860" w:right="306"/>
      </w:pPr>
      <w:r>
        <w:rPr>
          <w:b/>
          <w:i/>
          <w:color w:val="0070C0"/>
        </w:rPr>
        <w:t>Environment Canada EPS 1/RM/44 </w:t>
      </w:r>
      <w:r>
        <w:rPr>
          <w:i/>
          <w:color w:val="0070C0"/>
        </w:rPr>
        <w:t>For chironomids: static renewal, four times per week on non-consecutive days (e.g., Mon., Wed., Fri.). </w:t>
      </w:r>
      <w:r>
        <w:rPr>
          <w:color w:val="0070C0"/>
        </w:rPr>
        <w:t>For amphipods: static renewal, three times per week on non-consecutive days.</w:t>
      </w:r>
    </w:p>
    <w:p>
      <w:pPr>
        <w:pStyle w:val="BodyText"/>
        <w:ind w:left="859" w:right="306"/>
      </w:pPr>
      <w:r>
        <w:rPr>
          <w:b/>
          <w:i/>
          <w:color w:val="0070C0"/>
        </w:rPr>
        <w:t>OECD 218 and 219 </w:t>
      </w:r>
      <w:r>
        <w:rPr>
          <w:i/>
          <w:color w:val="0070C0"/>
        </w:rPr>
        <w:t>Static systems are used. Semi-static or flow-through systems with intermittent or continuous renewal of overlying water </w:t>
      </w:r>
      <w:r>
        <w:rPr>
          <w:color w:val="0070C0"/>
        </w:rPr>
        <w:t>might be used in exceptional cases as for instance if the water quality specifications become inappropriate for the test organism or affect chemical equilibrium. However, other methods for ameliorating the quality of overlying water, such as aeration will normally suffice and be preferable.</w:t>
      </w:r>
    </w:p>
    <w:p>
      <w:pPr>
        <w:pStyle w:val="BodyText"/>
        <w:spacing w:before="3"/>
        <w:rPr>
          <w:i/>
          <w:sz w:val="22"/>
        </w:rPr>
      </w:pPr>
    </w:p>
    <w:p>
      <w:pPr>
        <w:spacing w:before="0"/>
        <w:ind w:left="860" w:right="0" w:firstLine="0"/>
        <w:jc w:val="left"/>
        <w:rPr>
          <w:i/>
          <w:sz w:val="22"/>
        </w:rPr>
      </w:pPr>
      <w:r>
        <w:rPr>
          <w:b/>
          <w:sz w:val="22"/>
        </w:rPr>
        <w:t>Sediment: </w:t>
      </w:r>
      <w:r>
        <w:rPr>
          <w:i/>
          <w:color w:val="FF0000"/>
          <w:sz w:val="22"/>
        </w:rPr>
        <w:t>[if used]</w:t>
      </w:r>
    </w:p>
    <w:p>
      <w:pPr>
        <w:pStyle w:val="BodyText"/>
        <w:rPr>
          <w:i/>
          <w:sz w:val="22"/>
        </w:rPr>
      </w:pPr>
    </w:p>
    <w:p>
      <w:pPr>
        <w:pStyle w:val="Heading5"/>
        <w:rPr>
          <w:i/>
        </w:rPr>
      </w:pPr>
      <w:r>
        <w:rPr>
          <w:i/>
          <w:color w:val="FF0000"/>
        </w:rPr>
        <w:t>[Indicate whether the test soil is natural or artificial (give soil constituents), and describe it.]</w:t>
      </w:r>
    </w:p>
    <w:p>
      <w:pPr>
        <w:pStyle w:val="BodyText"/>
        <w:spacing w:before="9"/>
        <w:rPr>
          <w:i/>
          <w:sz w:val="21"/>
        </w:rPr>
      </w:pPr>
    </w:p>
    <w:p>
      <w:pPr>
        <w:spacing w:before="0"/>
        <w:ind w:left="860" w:right="8286" w:hanging="1"/>
        <w:jc w:val="left"/>
        <w:rPr>
          <w:sz w:val="22"/>
        </w:rPr>
      </w:pPr>
      <w:r>
        <w:rPr>
          <w:sz w:val="22"/>
        </w:rPr>
        <w:t>pH:</w:t>
      </w:r>
    </w:p>
    <w:p>
      <w:pPr>
        <w:spacing w:before="0"/>
        <w:ind w:left="860" w:right="8286" w:firstLine="0"/>
        <w:jc w:val="left"/>
        <w:rPr>
          <w:sz w:val="22"/>
        </w:rPr>
      </w:pPr>
      <w:r>
        <w:rPr>
          <w:sz w:val="22"/>
        </w:rPr>
        <w:t>Conductivity:</w:t>
      </w:r>
    </w:p>
    <w:p>
      <w:pPr>
        <w:spacing w:after="0"/>
        <w:jc w:val="left"/>
        <w:rPr>
          <w:sz w:val="22"/>
        </w:rPr>
        <w:sectPr>
          <w:pgSz w:w="12240" w:h="15840"/>
          <w:pgMar w:header="729" w:footer="1084" w:top="1940" w:bottom="1280" w:left="940" w:right="940"/>
        </w:sectPr>
      </w:pPr>
    </w:p>
    <w:p>
      <w:pPr>
        <w:spacing w:before="181"/>
        <w:ind w:left="860" w:right="0" w:firstLine="0"/>
        <w:jc w:val="left"/>
        <w:rPr>
          <w:sz w:val="22"/>
        </w:rPr>
      </w:pPr>
      <w:r>
        <w:rPr>
          <w:sz w:val="22"/>
        </w:rPr>
        <w:t>Percent TOC:</w:t>
      </w:r>
    </w:p>
    <w:p>
      <w:pPr>
        <w:spacing w:before="0"/>
        <w:ind w:left="860" w:right="6734" w:firstLine="0"/>
        <w:jc w:val="left"/>
        <w:rPr>
          <w:sz w:val="22"/>
        </w:rPr>
      </w:pPr>
      <w:r>
        <w:rPr>
          <w:sz w:val="22"/>
        </w:rPr>
        <w:t>Percent organic matter: Particle sizes</w:t>
      </w:r>
      <w:r>
        <w:rPr>
          <w:spacing w:val="-13"/>
          <w:sz w:val="22"/>
        </w:rPr>
        <w:t> </w:t>
      </w:r>
      <w:r>
        <w:rPr>
          <w:sz w:val="22"/>
        </w:rPr>
        <w:t>(%sand/silt/clay):</w:t>
      </w:r>
    </w:p>
    <w:p>
      <w:pPr>
        <w:pStyle w:val="BodyText"/>
        <w:spacing w:before="8"/>
        <w:rPr>
          <w:i w:val="0"/>
          <w:sz w:val="21"/>
        </w:rPr>
      </w:pPr>
    </w:p>
    <w:p>
      <w:pPr>
        <w:spacing w:line="184" w:lineRule="exact" w:before="1"/>
        <w:ind w:left="859" w:right="0" w:firstLine="0"/>
        <w:jc w:val="left"/>
        <w:rPr>
          <w:i/>
          <w:sz w:val="16"/>
        </w:rPr>
      </w:pPr>
      <w:r>
        <w:rPr>
          <w:b/>
          <w:i/>
          <w:color w:val="0070C0"/>
          <w:sz w:val="16"/>
        </w:rPr>
        <w:t>U.S. EPA OPPTS 885.4240   </w:t>
      </w:r>
      <w:r>
        <w:rPr>
          <w:i/>
          <w:color w:val="0070C0"/>
          <w:sz w:val="16"/>
        </w:rPr>
        <w:t>No specific recommendations.</w:t>
      </w: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pStyle w:val="BodyText"/>
        <w:spacing w:line="184" w:lineRule="exact" w:before="1"/>
        <w:ind w:left="1561" w:right="6856"/>
        <w:jc w:val="center"/>
        <w:rPr>
          <w:i/>
        </w:rPr>
      </w:pPr>
      <w:r>
        <w:rPr>
          <w:b/>
          <w:i/>
          <w:color w:val="0070C0"/>
        </w:rPr>
        <w:t>-</w:t>
      </w:r>
      <w:r>
        <w:rPr>
          <w:i/>
          <w:color w:val="0070C0"/>
          <w:u w:val="single" w:color="0070C0"/>
        </w:rPr>
        <w:t>Benthic Aquatic Arthropods:</w:t>
      </w:r>
    </w:p>
    <w:p>
      <w:pPr>
        <w:pStyle w:val="BodyText"/>
        <w:ind w:left="859" w:right="184"/>
      </w:pPr>
      <w:r>
        <w:rPr>
          <w:b/>
          <w:i/>
          <w:color w:val="0070C0"/>
        </w:rPr>
        <w:t>Environment Canada EPS 1/RM/44 </w:t>
      </w:r>
      <w:r>
        <w:rPr>
          <w:i/>
          <w:color w:val="0070C0"/>
        </w:rPr>
        <w:t>Natural (uncontaminated) or artificial (laboratory formulated) sediment. The sediment must enable the </w:t>
      </w:r>
      <w:r>
        <w:rPr>
          <w:color w:val="0070C0"/>
        </w:rPr>
        <w:t>negative control groups included in the test to meet the validity criteria and must not cause any discernible adverse effects to test organisms. The testing facility should know the basic physicochemical characteristics of the sediment (e.g., for whole sediment — particle size distribution, percent water content, total organic carbon; for pore water — pH, ammonia, hardness, dissolved metals, pesticides). The use of sterile sediment is not recommended since most sterilization processes alter the physicochemical characteristics of the sediment.</w:t>
      </w:r>
    </w:p>
    <w:p>
      <w:pPr>
        <w:pStyle w:val="BodyText"/>
        <w:spacing w:line="237" w:lineRule="auto" w:before="2"/>
        <w:ind w:left="859" w:right="214"/>
      </w:pPr>
      <w:r>
        <w:rPr>
          <w:b/>
          <w:i/>
          <w:color w:val="0070C0"/>
        </w:rPr>
        <w:t>OECD 218 and 219 </w:t>
      </w:r>
      <w:r>
        <w:rPr>
          <w:i/>
          <w:color w:val="0070C0"/>
        </w:rPr>
        <w:t>The use of formulated sediment is recommended: 4–5% peat (powder, with particle size &lt;1 mm, pH 5.5–6.0); 20% kaolin </w:t>
      </w:r>
      <w:r>
        <w:rPr>
          <w:color w:val="0070C0"/>
        </w:rPr>
        <w:t>clay (kaolinite content &gt;30%); 75–76% quartz sand (fine, &gt;50% of particles 50–200 µm); deionoized water added to moisture content 30–50%; CaCO</w:t>
      </w:r>
      <w:r>
        <w:rPr>
          <w:color w:val="0070C0"/>
          <w:position w:val="-1"/>
          <w:sz w:val="10"/>
        </w:rPr>
        <w:t>3 </w:t>
      </w:r>
      <w:r>
        <w:rPr>
          <w:color w:val="0070C0"/>
        </w:rPr>
        <w:t>to adjust pH to 7.0 ± 0.5.  Organic carbon content of the final mixture 2% ± 0.5%, and adjusted by use of appropriate amounts of peat and sand.</w:t>
      </w:r>
    </w:p>
    <w:p>
      <w:pPr>
        <w:pStyle w:val="BodyText"/>
        <w:rPr>
          <w:i/>
          <w:sz w:val="18"/>
        </w:rPr>
      </w:pPr>
    </w:p>
    <w:p>
      <w:pPr>
        <w:pStyle w:val="BodyText"/>
        <w:spacing w:before="2"/>
        <w:rPr>
          <w:i/>
          <w:sz w:val="26"/>
        </w:rPr>
      </w:pPr>
    </w:p>
    <w:p>
      <w:pPr>
        <w:pStyle w:val="Heading2"/>
      </w:pPr>
      <w:r>
        <w:rPr/>
        <w:t>Source of dilution water:</w:t>
      </w:r>
    </w:p>
    <w:p>
      <w:pPr>
        <w:pStyle w:val="BodyText"/>
        <w:spacing w:before="9"/>
        <w:rPr>
          <w:b/>
          <w:i w:val="0"/>
          <w:sz w:val="21"/>
        </w:rPr>
      </w:pPr>
    </w:p>
    <w:p>
      <w:pPr>
        <w:pStyle w:val="Heading5"/>
        <w:spacing w:before="1"/>
        <w:rPr>
          <w:i/>
        </w:rPr>
      </w:pPr>
      <w:r>
        <w:rPr>
          <w:i/>
          <w:color w:val="FF0000"/>
        </w:rPr>
        <w:t>[Insert description of the source of dilution water.]</w:t>
      </w:r>
    </w:p>
    <w:p>
      <w:pPr>
        <w:pStyle w:val="BodyText"/>
        <w:rPr>
          <w:i/>
          <w:sz w:val="24"/>
        </w:rPr>
      </w:pPr>
    </w:p>
    <w:p>
      <w:pPr>
        <w:spacing w:before="198"/>
        <w:ind w:left="860" w:right="0" w:firstLine="0"/>
        <w:jc w:val="left"/>
        <w:rPr>
          <w:i/>
          <w:sz w:val="16"/>
        </w:rPr>
      </w:pPr>
      <w:r>
        <w:rPr>
          <w:b/>
          <w:i/>
          <w:color w:val="0070C0"/>
          <w:sz w:val="16"/>
        </w:rPr>
        <w:t>U.S. EPA OCSPP 885.4240  </w:t>
      </w:r>
      <w:r>
        <w:rPr>
          <w:i/>
          <w:color w:val="0070C0"/>
          <w:sz w:val="16"/>
        </w:rPr>
        <w:t>No specific recommendations, but the source of the dilution water must be reported.</w:t>
      </w:r>
    </w:p>
    <w:p>
      <w:pPr>
        <w:spacing w:before="38"/>
        <w:ind w:left="859" w:right="0" w:firstLine="0"/>
        <w:jc w:val="left"/>
        <w:rPr>
          <w:i/>
          <w:sz w:val="16"/>
        </w:rPr>
      </w:pPr>
      <w:r>
        <w:rPr>
          <w:b/>
          <w:i/>
          <w:color w:val="0070C0"/>
          <w:sz w:val="16"/>
        </w:rPr>
        <w:t>PMRA DIR 2001-02   </w:t>
      </w:r>
      <w:r>
        <w:rPr>
          <w:i/>
          <w:color w:val="0070C0"/>
          <w:sz w:val="16"/>
        </w:rPr>
        <w:t>No specific recommendations</w:t>
      </w:r>
    </w:p>
    <w:p>
      <w:pPr>
        <w:pStyle w:val="BodyText"/>
        <w:spacing w:line="184" w:lineRule="exact" w:before="1"/>
        <w:ind w:left="1561" w:right="6856"/>
        <w:jc w:val="center"/>
        <w:rPr>
          <w:i/>
        </w:rPr>
      </w:pPr>
      <w:r>
        <w:rPr>
          <w:b/>
          <w:i/>
          <w:color w:val="0070C0"/>
        </w:rPr>
        <w:t>-</w:t>
      </w:r>
      <w:r>
        <w:rPr>
          <w:i/>
          <w:color w:val="0070C0"/>
          <w:u w:val="single" w:color="0070C0"/>
        </w:rPr>
        <w:t>Pelagic Aquatic Arthropods:</w:t>
      </w:r>
    </w:p>
    <w:p>
      <w:pPr>
        <w:pStyle w:val="BodyText"/>
        <w:ind w:left="860" w:right="280" w:hanging="1"/>
      </w:pPr>
      <w:r>
        <w:rPr>
          <w:b/>
          <w:i/>
          <w:color w:val="0070C0"/>
        </w:rPr>
        <w:t>Environment Canada EPS 1/RM/44 </w:t>
      </w:r>
      <w:r>
        <w:rPr>
          <w:i/>
          <w:color w:val="0070C0"/>
          <w:u w:val="single" w:color="0070C0"/>
        </w:rPr>
        <w:t>Daphnids</w:t>
      </w:r>
      <w:r>
        <w:rPr>
          <w:i/>
          <w:color w:val="0070C0"/>
        </w:rPr>
        <w:t>: Elendt M4 or M5 media. Other media acceptable provided criteria for test validity are met. </w:t>
      </w:r>
      <w:r>
        <w:rPr>
          <w:color w:val="0070C0"/>
          <w:u w:val="single" w:color="0070C0"/>
        </w:rPr>
        <w:t>Shrimp</w:t>
      </w:r>
      <w:r>
        <w:rPr>
          <w:color w:val="0070C0"/>
        </w:rPr>
        <w:t>: natural (uncontaminated) or artificial seawater. The dilution water or medium must enable the negative control groups included in the test to meet the validity criteria and must not cause any discernible adverse effects to test organisms.</w:t>
      </w:r>
    </w:p>
    <w:p>
      <w:pPr>
        <w:pStyle w:val="BodyText"/>
        <w:ind w:left="859"/>
      </w:pPr>
      <w:r>
        <w:rPr>
          <w:b/>
          <w:i/>
          <w:color w:val="0070C0"/>
        </w:rPr>
        <w:t>OECD 202 </w:t>
      </w:r>
      <w:r>
        <w:rPr>
          <w:i/>
          <w:color w:val="0070C0"/>
        </w:rPr>
        <w:t>Surface or ground water, reconstituted water or dechlorinated tap water are acceptable if daphnids will survive for the duration of </w:t>
      </w:r>
      <w:r>
        <w:rPr>
          <w:color w:val="0070C0"/>
        </w:rPr>
        <w:t>culturing, acclimation and testing periods without showing signs of stress.</w:t>
      </w:r>
    </w:p>
    <w:p>
      <w:pPr>
        <w:pStyle w:val="BodyText"/>
        <w:spacing w:line="184" w:lineRule="exact" w:before="1"/>
        <w:ind w:left="859"/>
        <w:rPr>
          <w:i/>
        </w:rPr>
      </w:pPr>
      <w:r>
        <w:rPr>
          <w:b/>
          <w:i/>
          <w:color w:val="0070C0"/>
        </w:rPr>
        <w:t>OECD 211  </w:t>
      </w:r>
      <w:r>
        <w:rPr>
          <w:i/>
          <w:color w:val="0070C0"/>
        </w:rPr>
        <w:t>A fully defined medium is recommended, (e.g., Elendt M4 or M7). If undefined additives are used, these must be reported in detail.</w:t>
      </w:r>
    </w:p>
    <w:p>
      <w:pPr>
        <w:pStyle w:val="BodyText"/>
        <w:spacing w:line="184" w:lineRule="exact"/>
        <w:ind w:left="1561" w:right="6856"/>
        <w:jc w:val="center"/>
        <w:rPr>
          <w:i/>
        </w:rPr>
      </w:pPr>
      <w:r>
        <w:rPr>
          <w:b/>
          <w:i/>
          <w:color w:val="0070C0"/>
        </w:rPr>
        <w:t>-</w:t>
      </w:r>
      <w:r>
        <w:rPr>
          <w:i/>
          <w:color w:val="0070C0"/>
          <w:u w:val="single" w:color="0070C0"/>
        </w:rPr>
        <w:t>Benthic Aquatic Arthropods:</w:t>
      </w:r>
    </w:p>
    <w:p>
      <w:pPr>
        <w:pStyle w:val="BodyText"/>
        <w:ind w:left="859" w:right="306"/>
      </w:pPr>
      <w:r>
        <w:rPr>
          <w:b/>
          <w:i/>
          <w:color w:val="0070C0"/>
        </w:rPr>
        <w:t>Environment Canada EPS 1/RM/44 </w:t>
      </w:r>
      <w:r>
        <w:rPr>
          <w:i/>
          <w:color w:val="0070C0"/>
        </w:rPr>
        <w:t>Natural (uncontaminated) or artificial freshwater. The dilution water must enable the negative control </w:t>
      </w:r>
      <w:r>
        <w:rPr>
          <w:color w:val="0070C0"/>
        </w:rPr>
        <w:t>groups included in the test to meet the validity criteria and must not cause any discernible adverse effects to test organisms.</w:t>
      </w:r>
    </w:p>
    <w:p>
      <w:pPr>
        <w:pStyle w:val="BodyText"/>
        <w:ind w:left="859" w:right="306"/>
      </w:pPr>
      <w:r>
        <w:rPr>
          <w:b/>
          <w:i/>
          <w:color w:val="0070C0"/>
        </w:rPr>
        <w:t>OECD 218 and 219 </w:t>
      </w:r>
      <w:r>
        <w:rPr>
          <w:i/>
          <w:color w:val="0070C0"/>
        </w:rPr>
        <w:t>Any suitable water (conforming to water parameters, see below) is acceptable if chironomids will survive in it for the </w:t>
      </w:r>
      <w:r>
        <w:rPr>
          <w:color w:val="0070C0"/>
        </w:rPr>
        <w:t>duration of culturing and testing without showing signs of stress. The same type of water should be used throughout the study.</w:t>
      </w:r>
    </w:p>
    <w:p>
      <w:pPr>
        <w:pStyle w:val="BodyText"/>
        <w:spacing w:before="4"/>
        <w:rPr>
          <w:i/>
          <w:sz w:val="22"/>
        </w:rPr>
      </w:pPr>
    </w:p>
    <w:p>
      <w:pPr>
        <w:pStyle w:val="Heading2"/>
      </w:pPr>
      <w:r>
        <w:rPr/>
        <w:t>Water parameters:</w:t>
      </w:r>
    </w:p>
    <w:p>
      <w:pPr>
        <w:pStyle w:val="BodyText"/>
        <w:spacing w:before="9"/>
        <w:rPr>
          <w:b/>
          <w:i w:val="0"/>
          <w:sz w:val="21"/>
        </w:rPr>
      </w:pPr>
    </w:p>
    <w:p>
      <w:pPr>
        <w:pStyle w:val="Heading4"/>
        <w:ind w:right="7897"/>
      </w:pPr>
      <w:r>
        <w:rPr/>
        <w:t>Dissolved oxygen pH</w:t>
      </w:r>
    </w:p>
    <w:p>
      <w:pPr>
        <w:spacing w:before="0"/>
        <w:ind w:left="860" w:right="7922" w:hanging="1"/>
        <w:jc w:val="left"/>
        <w:rPr>
          <w:sz w:val="22"/>
        </w:rPr>
      </w:pPr>
      <w:r>
        <w:rPr>
          <w:sz w:val="22"/>
        </w:rPr>
        <w:t>Temperature Hardness Particulate matter</w:t>
      </w:r>
    </w:p>
    <w:p>
      <w:pPr>
        <w:spacing w:before="0"/>
        <w:ind w:left="860" w:right="3798" w:firstLine="0"/>
        <w:jc w:val="left"/>
        <w:rPr>
          <w:sz w:val="22"/>
        </w:rPr>
      </w:pPr>
      <w:r>
        <w:rPr>
          <w:sz w:val="22"/>
        </w:rPr>
        <w:t>Total organic carbon (TOC) or chemical oxygen demand (COD) Metals</w:t>
      </w:r>
    </w:p>
    <w:p>
      <w:pPr>
        <w:spacing w:before="0"/>
        <w:ind w:left="860" w:right="8453" w:firstLine="0"/>
        <w:jc w:val="left"/>
        <w:rPr>
          <w:sz w:val="22"/>
        </w:rPr>
      </w:pPr>
      <w:r>
        <w:rPr>
          <w:w w:val="95"/>
          <w:sz w:val="22"/>
        </w:rPr>
        <w:t>Pesticides </w:t>
      </w:r>
      <w:r>
        <w:rPr>
          <w:sz w:val="22"/>
        </w:rPr>
        <w:t>Chlorine</w:t>
      </w:r>
    </w:p>
    <w:p>
      <w:pPr>
        <w:pStyle w:val="BodyText"/>
        <w:rPr>
          <w:i w:val="0"/>
          <w:sz w:val="22"/>
        </w:rPr>
      </w:pPr>
    </w:p>
    <w:p>
      <w:pPr>
        <w:pStyle w:val="Heading5"/>
        <w:rPr>
          <w:i/>
        </w:rPr>
      </w:pPr>
      <w:r>
        <w:rPr>
          <w:i/>
          <w:color w:val="FF0000"/>
        </w:rPr>
        <w:t>[Intervals of water quality measurement]</w:t>
      </w:r>
    </w:p>
    <w:p>
      <w:pPr>
        <w:pStyle w:val="BodyText"/>
        <w:rPr>
          <w:i/>
          <w:sz w:val="24"/>
        </w:rPr>
      </w:pPr>
    </w:p>
    <w:p>
      <w:pPr>
        <w:spacing w:before="197"/>
        <w:ind w:left="860" w:right="0" w:firstLine="0"/>
        <w:jc w:val="left"/>
        <w:rPr>
          <w:i/>
          <w:sz w:val="16"/>
        </w:rPr>
      </w:pPr>
      <w:r>
        <w:rPr>
          <w:b/>
          <w:i/>
          <w:color w:val="0070C0"/>
          <w:sz w:val="16"/>
        </w:rPr>
        <w:t>U.S. EPA OCSPP 885.4240  </w:t>
      </w:r>
      <w:r>
        <w:rPr>
          <w:i/>
          <w:color w:val="0070C0"/>
          <w:sz w:val="16"/>
        </w:rPr>
        <w:t>No specific recommendations but chemical characteristics must be reported.</w:t>
      </w:r>
    </w:p>
    <w:p>
      <w:pPr>
        <w:spacing w:before="37"/>
        <w:ind w:left="859" w:right="0" w:firstLine="0"/>
        <w:jc w:val="left"/>
        <w:rPr>
          <w:i/>
          <w:sz w:val="16"/>
        </w:rPr>
      </w:pPr>
      <w:r>
        <w:rPr>
          <w:b/>
          <w:i/>
          <w:color w:val="0070C0"/>
          <w:sz w:val="16"/>
        </w:rPr>
        <w:t>PMRA DIR 2001-02   </w:t>
      </w:r>
      <w:r>
        <w:rPr>
          <w:i/>
          <w:color w:val="0070C0"/>
          <w:sz w:val="16"/>
        </w:rPr>
        <w:t>No specific recommendations.</w:t>
      </w:r>
    </w:p>
    <w:p>
      <w:pPr>
        <w:pStyle w:val="BodyText"/>
        <w:ind w:left="1561" w:right="6856"/>
        <w:jc w:val="center"/>
        <w:rPr>
          <w:i/>
        </w:rPr>
      </w:pPr>
      <w:r>
        <w:rPr>
          <w:b/>
          <w:i/>
          <w:color w:val="0070C0"/>
        </w:rPr>
        <w:t>-</w:t>
      </w:r>
      <w:r>
        <w:rPr>
          <w:i/>
          <w:color w:val="0070C0"/>
          <w:u w:val="single" w:color="0070C0"/>
        </w:rPr>
        <w:t>Pelagic Aquatic Arthropods:</w:t>
      </w:r>
    </w:p>
    <w:p>
      <w:pPr>
        <w:spacing w:after="0"/>
        <w:jc w:val="center"/>
        <w:sectPr>
          <w:pgSz w:w="12240" w:h="15840"/>
          <w:pgMar w:header="729" w:footer="1084" w:top="1940" w:bottom="1280" w:left="940" w:right="940"/>
        </w:sectPr>
      </w:pPr>
    </w:p>
    <w:p>
      <w:pPr>
        <w:pStyle w:val="BodyText"/>
        <w:spacing w:before="6"/>
        <w:rPr>
          <w:i/>
          <w:sz w:val="15"/>
        </w:rPr>
      </w:pPr>
    </w:p>
    <w:p>
      <w:pPr>
        <w:pStyle w:val="BodyText"/>
        <w:spacing w:before="1"/>
        <w:ind w:left="860" w:right="131" w:hanging="1"/>
      </w:pPr>
      <w:r>
        <w:rPr>
          <w:b/>
          <w:i/>
          <w:color w:val="0070C0"/>
        </w:rPr>
        <w:t>Environment Canada EPS 1/RM/44 </w:t>
      </w:r>
      <w:r>
        <w:rPr>
          <w:i/>
          <w:color w:val="0070C0"/>
          <w:u w:val="single" w:color="0070C0"/>
        </w:rPr>
        <w:t>Daphnids</w:t>
      </w:r>
      <w:r>
        <w:rPr>
          <w:i/>
          <w:color w:val="0070C0"/>
        </w:rPr>
        <w:t>: dissolved oxygen 90–100% saturation; pH 6.0–8.5; temperature 18–22°C; hardness not </w:t>
      </w:r>
      <w:r>
        <w:rPr>
          <w:color w:val="0070C0"/>
        </w:rPr>
        <w:t>specified, but must be recorded with other parameters 1×/week. </w:t>
      </w:r>
      <w:r>
        <w:rPr>
          <w:color w:val="0070C0"/>
          <w:u w:val="single" w:color="0070C0"/>
        </w:rPr>
        <w:t>Shrimp</w:t>
      </w:r>
      <w:r>
        <w:rPr>
          <w:color w:val="0070C0"/>
        </w:rPr>
        <w:t>: dissolved oxygen 90–100% saturation; salinity 10–35‰, 5–25°C held at</w:t>
      </w:r>
    </w:p>
    <w:p>
      <w:pPr>
        <w:pStyle w:val="BodyText"/>
        <w:spacing w:before="1"/>
        <w:ind w:left="860" w:right="466"/>
      </w:pPr>
      <w:r>
        <w:rPr>
          <w:i/>
          <w:color w:val="0070C0"/>
        </w:rPr>
        <w:t>±2°C from mean; pH 7.0–8.5. A history of the dilution water’s basic physicochemical properties (e.g., suspended solids, ammonia, dissolved </w:t>
      </w:r>
      <w:r>
        <w:rPr>
          <w:color w:val="0070C0"/>
        </w:rPr>
        <w:t>metals, pesticides) should be known to the testing facility.</w:t>
      </w:r>
    </w:p>
    <w:p>
      <w:pPr>
        <w:pStyle w:val="BodyText"/>
        <w:ind w:left="860" w:right="303" w:hanging="1"/>
      </w:pPr>
      <w:r>
        <w:rPr>
          <w:b/>
          <w:i/>
          <w:color w:val="0070C0"/>
        </w:rPr>
        <w:t>OECD 202 </w:t>
      </w:r>
      <w:r>
        <w:rPr>
          <w:i/>
          <w:color w:val="0070C0"/>
        </w:rPr>
        <w:t>Dissolved oxygen aerated to saturation, pH 6–9, temperature 18–22°C but it should be constant within ±1°C, hardness 140–250 </w:t>
      </w:r>
      <w:r>
        <w:rPr>
          <w:color w:val="0070C0"/>
        </w:rPr>
        <w:t>mg/L for D. magna (lower for other Daphnia species), particulates &lt; 20 mg/L, TOC &lt; 2 mg/L, un-ionized ammonia &lt;1 µg/L, residual chlorine</w:t>
      </w:r>
    </w:p>
    <w:p>
      <w:pPr>
        <w:pStyle w:val="BodyText"/>
        <w:spacing w:line="183" w:lineRule="exact"/>
        <w:ind w:left="860"/>
        <w:rPr>
          <w:i/>
        </w:rPr>
      </w:pPr>
      <w:r>
        <w:rPr>
          <w:i/>
          <w:color w:val="0070C0"/>
        </w:rPr>
        <w:t>&lt;10 µg/L, total OP pesticides ≤ 50 ng/L, total OC pesticides/PCBs ≤ 50ng/L (or organic chlorine ≤ 25 ng/L).</w:t>
      </w:r>
    </w:p>
    <w:p>
      <w:pPr>
        <w:pStyle w:val="BodyText"/>
        <w:ind w:left="860" w:right="306"/>
      </w:pPr>
      <w:r>
        <w:rPr>
          <w:b/>
          <w:i/>
          <w:color w:val="0070C0"/>
        </w:rPr>
        <w:t>OECD 211 </w:t>
      </w:r>
      <w:r>
        <w:rPr>
          <w:i/>
          <w:color w:val="0070C0"/>
        </w:rPr>
        <w:t>Dissolved oxygen &gt; 3 mg/L, pH 6–9, temperature 18–22°C but should not vary more than ± 2°C, hardness &lt;140 mg/L, TOC &lt;2 </w:t>
      </w:r>
      <w:r>
        <w:rPr>
          <w:color w:val="0070C0"/>
        </w:rPr>
        <w:t>mg/L, TOC or COD must be reported.</w:t>
      </w:r>
    </w:p>
    <w:p>
      <w:pPr>
        <w:pStyle w:val="BodyText"/>
        <w:spacing w:line="179" w:lineRule="exact" w:before="1"/>
        <w:ind w:left="1561" w:right="6856"/>
        <w:jc w:val="center"/>
        <w:rPr>
          <w:i/>
        </w:rPr>
      </w:pPr>
      <w:r>
        <w:rPr>
          <w:b/>
          <w:i/>
          <w:color w:val="0070C0"/>
        </w:rPr>
        <w:t>-</w:t>
      </w:r>
      <w:r>
        <w:rPr>
          <w:i/>
          <w:color w:val="0070C0"/>
          <w:u w:val="single" w:color="0070C0"/>
        </w:rPr>
        <w:t>Benthic Aquatic Arthropods:</w:t>
      </w:r>
    </w:p>
    <w:p>
      <w:pPr>
        <w:pStyle w:val="BodyText"/>
        <w:spacing w:line="237" w:lineRule="auto"/>
        <w:ind w:left="859" w:right="155"/>
      </w:pPr>
      <w:r>
        <w:rPr>
          <w:b/>
          <w:i/>
          <w:color w:val="0070C0"/>
        </w:rPr>
        <w:t>Environment Canada EPS 1/RM/44 </w:t>
      </w:r>
      <w:r>
        <w:rPr>
          <w:i/>
          <w:color w:val="0070C0"/>
        </w:rPr>
        <w:t>Dissolved oxygen 90–100% saturation when added to test chambers; 23±1</w:t>
      </w:r>
      <w:r>
        <w:rPr>
          <w:rFonts w:ascii="Tahoma" w:hAnsi="Tahoma"/>
          <w:color w:val="0070C0"/>
          <w:sz w:val="17"/>
        </w:rPr>
        <w:t>̊</w:t>
      </w:r>
      <w:r>
        <w:rPr>
          <w:i/>
          <w:color w:val="0070C0"/>
        </w:rPr>
        <w:t>C. A history of the dilution </w:t>
      </w:r>
      <w:r>
        <w:rPr>
          <w:color w:val="0070C0"/>
        </w:rPr>
        <w:t>water's basic physicochemical properties (e.g., suspended solids, ammonia, dissolved metals, pesticides) should be known to the testing facility. </w:t>
      </w:r>
      <w:r>
        <w:rPr>
          <w:b/>
          <w:i/>
          <w:color w:val="0070C0"/>
        </w:rPr>
        <w:t>OECD 218 and 219 </w:t>
      </w:r>
      <w:r>
        <w:rPr>
          <w:i/>
          <w:color w:val="0070C0"/>
        </w:rPr>
        <w:t>At the start of the test, pH 6–9, total hardness ≤400 mg/L as CaCO</w:t>
      </w:r>
      <w:r>
        <w:rPr>
          <w:i/>
          <w:color w:val="0070C0"/>
          <w:position w:val="-1"/>
          <w:sz w:val="10"/>
        </w:rPr>
        <w:t>3</w:t>
      </w:r>
      <w:r>
        <w:rPr>
          <w:i/>
          <w:color w:val="0070C0"/>
        </w:rPr>
        <w:t>. However, if there is an interaction suspected between </w:t>
      </w:r>
      <w:r>
        <w:rPr>
          <w:color w:val="0070C0"/>
        </w:rPr>
        <w:t>hardness ions and the test substance, lower hardness water should be used not Elendt medium. Particulate matter &lt;20 mg/L; TOC &lt;2 mg/L; un- ionized ammonia 1 µg/L; residual chlorine &lt;10 µg/L; total OPs &lt;50 ng/L; total OCs and PCBs &lt;50 ng/L; organic chlorine &lt;25 ng/L.</w:t>
      </w:r>
    </w:p>
    <w:p>
      <w:pPr>
        <w:pStyle w:val="BodyText"/>
        <w:rPr>
          <w:i/>
          <w:sz w:val="18"/>
        </w:rPr>
      </w:pPr>
    </w:p>
    <w:p>
      <w:pPr>
        <w:pStyle w:val="BodyText"/>
        <w:spacing w:before="7"/>
        <w:rPr>
          <w:i/>
          <w:sz w:val="26"/>
        </w:rPr>
      </w:pPr>
    </w:p>
    <w:p>
      <w:pPr>
        <w:pStyle w:val="Heading2"/>
        <w:ind w:left="859"/>
      </w:pPr>
      <w:r>
        <w:rPr/>
        <w:t>Aeration:</w:t>
      </w:r>
    </w:p>
    <w:p>
      <w:pPr>
        <w:pStyle w:val="BodyText"/>
        <w:rPr>
          <w:b/>
          <w:i w:val="0"/>
          <w:sz w:val="24"/>
        </w:rPr>
      </w:pPr>
    </w:p>
    <w:p>
      <w:pPr>
        <w:spacing w:before="197"/>
        <w:ind w:left="860" w:right="0" w:firstLine="0"/>
        <w:jc w:val="left"/>
        <w:rPr>
          <w:i/>
          <w:sz w:val="16"/>
        </w:rPr>
      </w:pPr>
      <w:r>
        <w:rPr>
          <w:b/>
          <w:i/>
          <w:color w:val="0070C0"/>
          <w:sz w:val="16"/>
        </w:rPr>
        <w:t>U.S. EPA OCSPP 885.4240   </w:t>
      </w:r>
      <w:r>
        <w:rPr>
          <w:i/>
          <w:color w:val="0070C0"/>
          <w:sz w:val="16"/>
        </w:rPr>
        <w:t>No specific recommendations.</w:t>
      </w:r>
    </w:p>
    <w:p>
      <w:pPr>
        <w:spacing w:before="37"/>
        <w:ind w:left="860" w:right="0" w:firstLine="0"/>
        <w:jc w:val="left"/>
        <w:rPr>
          <w:i/>
          <w:sz w:val="16"/>
        </w:rPr>
      </w:pPr>
      <w:r>
        <w:rPr>
          <w:b/>
          <w:i/>
          <w:color w:val="0070C0"/>
          <w:sz w:val="16"/>
        </w:rPr>
        <w:t>PMRA DIR 2001-02   </w:t>
      </w:r>
      <w:r>
        <w:rPr>
          <w:i/>
          <w:color w:val="0070C0"/>
          <w:sz w:val="16"/>
        </w:rPr>
        <w:t>No specific recommendations.</w:t>
      </w:r>
    </w:p>
    <w:p>
      <w:pPr>
        <w:pStyle w:val="BodyText"/>
        <w:spacing w:line="184" w:lineRule="exact"/>
        <w:ind w:left="1561" w:right="6856"/>
        <w:jc w:val="center"/>
        <w:rPr>
          <w:i/>
        </w:rPr>
      </w:pPr>
      <w:r>
        <w:rPr>
          <w:b/>
          <w:i/>
          <w:color w:val="0070C0"/>
        </w:rPr>
        <w:t>-</w:t>
      </w:r>
      <w:r>
        <w:rPr>
          <w:i/>
          <w:color w:val="0070C0"/>
          <w:u w:val="single" w:color="0070C0"/>
        </w:rPr>
        <w:t>Pelagic Aquatic Arthropods:</w:t>
      </w:r>
    </w:p>
    <w:p>
      <w:pPr>
        <w:pStyle w:val="BodyText"/>
        <w:ind w:left="860" w:hanging="1"/>
      </w:pPr>
      <w:r>
        <w:rPr>
          <w:b/>
          <w:i/>
          <w:color w:val="0070C0"/>
        </w:rPr>
        <w:t>Environment Canada EPS 1/RM/44 </w:t>
      </w:r>
      <w:r>
        <w:rPr>
          <w:i/>
          <w:color w:val="0070C0"/>
          <w:u w:val="single" w:color="0070C0"/>
        </w:rPr>
        <w:t>Daphnids</w:t>
      </w:r>
      <w:r>
        <w:rPr>
          <w:i/>
          <w:color w:val="0070C0"/>
        </w:rPr>
        <w:t>: test chambers must not be aerated during the test; ≥ 3 mg/L dissolved oxygen. </w:t>
      </w:r>
      <w:r>
        <w:rPr>
          <w:i/>
          <w:color w:val="0070C0"/>
          <w:u w:val="single" w:color="0070C0"/>
        </w:rPr>
        <w:t>Shrimp</w:t>
      </w:r>
      <w:r>
        <w:rPr>
          <w:i/>
          <w:color w:val="0070C0"/>
        </w:rPr>
        <w:t>: aerate </w:t>
      </w:r>
      <w:r>
        <w:rPr>
          <w:color w:val="0070C0"/>
        </w:rPr>
        <w:t>gently in all test chambers to maintain a dissolved oxygen concentration ≥60% saturation.</w:t>
      </w:r>
    </w:p>
    <w:p>
      <w:pPr>
        <w:pStyle w:val="BodyText"/>
        <w:spacing w:line="184" w:lineRule="exact" w:before="1"/>
        <w:ind w:left="859"/>
        <w:rPr>
          <w:i/>
        </w:rPr>
      </w:pPr>
      <w:r>
        <w:rPr>
          <w:b/>
          <w:i/>
          <w:color w:val="0070C0"/>
        </w:rPr>
        <w:t>OECD 202 and 211  </w:t>
      </w:r>
      <w:r>
        <w:rPr>
          <w:i/>
          <w:color w:val="0070C0"/>
        </w:rPr>
        <w:t>The dilution water may be aerated </w:t>
      </w:r>
      <w:r>
        <w:rPr>
          <w:i/>
          <w:color w:val="0070C0"/>
          <w:u w:val="single" w:color="0070C0"/>
        </w:rPr>
        <w:t>prior </w:t>
      </w:r>
      <w:r>
        <w:rPr>
          <w:i/>
          <w:color w:val="0070C0"/>
        </w:rPr>
        <w:t>to use in the test. Test vessels must not be aerated during the test.</w:t>
      </w:r>
    </w:p>
    <w:p>
      <w:pPr>
        <w:pStyle w:val="BodyText"/>
        <w:spacing w:line="184" w:lineRule="exact"/>
        <w:ind w:left="1561" w:right="6856"/>
        <w:jc w:val="center"/>
        <w:rPr>
          <w:i/>
        </w:rPr>
      </w:pPr>
      <w:r>
        <w:rPr>
          <w:b/>
          <w:i/>
          <w:color w:val="0070C0"/>
        </w:rPr>
        <w:t>-</w:t>
      </w:r>
      <w:r>
        <w:rPr>
          <w:i/>
          <w:color w:val="0070C0"/>
          <w:u w:val="single" w:color="0070C0"/>
        </w:rPr>
        <w:t>Benthic Aquatic Arthropods:</w:t>
      </w:r>
    </w:p>
    <w:p>
      <w:pPr>
        <w:spacing w:before="0"/>
        <w:ind w:left="859" w:right="0" w:firstLine="0"/>
        <w:jc w:val="left"/>
        <w:rPr>
          <w:i/>
          <w:sz w:val="16"/>
        </w:rPr>
      </w:pPr>
      <w:r>
        <w:rPr>
          <w:b/>
          <w:i/>
          <w:color w:val="0070C0"/>
          <w:sz w:val="16"/>
        </w:rPr>
        <w:t>Environment Canada EPS 1/RM/44  </w:t>
      </w:r>
      <w:r>
        <w:rPr>
          <w:i/>
          <w:color w:val="0070C0"/>
          <w:sz w:val="16"/>
        </w:rPr>
        <w:t>Aerate gently in all test chambers to maintain a dissolved oxygen ≥40% saturation.</w:t>
      </w:r>
    </w:p>
    <w:p>
      <w:pPr>
        <w:pStyle w:val="BodyText"/>
        <w:ind w:left="859" w:right="306"/>
      </w:pPr>
      <w:r>
        <w:rPr>
          <w:b/>
          <w:i/>
          <w:color w:val="0070C0"/>
        </w:rPr>
        <w:t>OECD 218 and 219 </w:t>
      </w:r>
      <w:r>
        <w:rPr>
          <w:i/>
          <w:color w:val="0070C0"/>
        </w:rPr>
        <w:t>Gentle aeration is provided through a glass Pasteur pipette fixed 2–3 cm above the sediment layer (one or a few </w:t>
      </w:r>
      <w:r>
        <w:rPr>
          <w:color w:val="0070C0"/>
        </w:rPr>
        <w:t>bubbles/sec) to maintain a dissolved oxygen concentration of ≥60% saturation. Aeration must be stopped while adding larvae to the test vessel and for the following 24 hours.</w:t>
      </w:r>
    </w:p>
    <w:p>
      <w:pPr>
        <w:pStyle w:val="BodyText"/>
        <w:spacing w:before="3"/>
        <w:rPr>
          <w:i/>
          <w:sz w:val="22"/>
        </w:rPr>
      </w:pPr>
    </w:p>
    <w:p>
      <w:pPr>
        <w:pStyle w:val="Heading2"/>
      </w:pPr>
      <w:r>
        <w:rPr/>
        <w:t>Route(s) of exposure:</w:t>
      </w:r>
    </w:p>
    <w:p>
      <w:pPr>
        <w:pStyle w:val="BodyText"/>
        <w:spacing w:before="10"/>
        <w:rPr>
          <w:b/>
          <w:i w:val="0"/>
          <w:sz w:val="21"/>
        </w:rPr>
      </w:pPr>
    </w:p>
    <w:p>
      <w:pPr>
        <w:pStyle w:val="Heading5"/>
        <w:rPr>
          <w:i/>
        </w:rPr>
      </w:pPr>
      <w:r>
        <w:rPr>
          <w:i/>
          <w:color w:val="FF0000"/>
        </w:rPr>
        <w:t>[Describe the route of exposure to the MPCA.]</w:t>
      </w:r>
    </w:p>
    <w:p>
      <w:pPr>
        <w:pStyle w:val="BodyText"/>
        <w:rPr>
          <w:i/>
          <w:sz w:val="24"/>
        </w:rPr>
      </w:pPr>
    </w:p>
    <w:p>
      <w:pPr>
        <w:spacing w:before="197"/>
        <w:ind w:left="859" w:right="0" w:firstLine="0"/>
        <w:jc w:val="left"/>
        <w:rPr>
          <w:i/>
          <w:sz w:val="16"/>
        </w:rPr>
      </w:pPr>
      <w:r>
        <w:rPr>
          <w:b/>
          <w:i/>
          <w:color w:val="0070C0"/>
          <w:sz w:val="16"/>
        </w:rPr>
        <w:t>U.S. EPA OCSPP 885.4240   </w:t>
      </w:r>
      <w:r>
        <w:rPr>
          <w:i/>
          <w:color w:val="0070C0"/>
          <w:sz w:val="16"/>
        </w:rPr>
        <w:t>Aquatic exposure.</w:t>
      </w:r>
    </w:p>
    <w:p>
      <w:pPr>
        <w:pStyle w:val="BodyText"/>
        <w:spacing w:before="37"/>
        <w:ind w:left="859" w:right="306"/>
      </w:pPr>
      <w:r>
        <w:rPr>
          <w:b/>
          <w:i/>
          <w:color w:val="0070C0"/>
        </w:rPr>
        <w:t>PMRA DIR 2001-02 </w:t>
      </w:r>
      <w:r>
        <w:rPr>
          <w:i/>
          <w:color w:val="0070C0"/>
        </w:rPr>
        <w:t>The MPCA should be administered as a suspension in the dilution water (aquatic exposure), in the diet, or as a </w:t>
      </w:r>
      <w:r>
        <w:rPr>
          <w:color w:val="0070C0"/>
        </w:rPr>
        <w:t>combination of these two routes of exposure.</w:t>
      </w:r>
    </w:p>
    <w:p>
      <w:pPr>
        <w:pStyle w:val="BodyText"/>
        <w:spacing w:line="183" w:lineRule="exact"/>
        <w:ind w:left="1561" w:right="6856"/>
        <w:jc w:val="center"/>
        <w:rPr>
          <w:i/>
        </w:rPr>
      </w:pPr>
      <w:r>
        <w:rPr>
          <w:b/>
          <w:i/>
          <w:color w:val="0070C0"/>
        </w:rPr>
        <w:t>-</w:t>
      </w:r>
      <w:r>
        <w:rPr>
          <w:i/>
          <w:color w:val="0070C0"/>
          <w:u w:val="single" w:color="0070C0"/>
        </w:rPr>
        <w:t>Pelagic Aquatic Arthropods:</w:t>
      </w:r>
    </w:p>
    <w:p>
      <w:pPr>
        <w:pStyle w:val="BodyText"/>
        <w:ind w:left="860" w:right="214" w:hanging="1"/>
      </w:pPr>
      <w:r>
        <w:rPr>
          <w:b/>
          <w:i/>
          <w:color w:val="0070C0"/>
        </w:rPr>
        <w:t>Environment Canada EPS 1/RM/44 </w:t>
      </w:r>
      <w:r>
        <w:rPr>
          <w:i/>
          <w:color w:val="0070C0"/>
          <w:u w:val="single" w:color="0070C0"/>
        </w:rPr>
        <w:t>For daphnids</w:t>
      </w:r>
      <w:r>
        <w:rPr>
          <w:i/>
          <w:color w:val="0070C0"/>
        </w:rPr>
        <w:t>: aquatic exposure. </w:t>
      </w:r>
      <w:r>
        <w:rPr>
          <w:i/>
          <w:color w:val="0070C0"/>
          <w:u w:val="single" w:color="0070C0"/>
        </w:rPr>
        <w:t>For shrimp</w:t>
      </w:r>
      <w:r>
        <w:rPr>
          <w:i/>
          <w:color w:val="0070C0"/>
        </w:rPr>
        <w:t>: the test material should be mixed in both seawater and food </w:t>
      </w:r>
      <w:r>
        <w:rPr>
          <w:color w:val="0070C0"/>
        </w:rPr>
        <w:t>for single-concentration test, and seawater or food in multi-concentration testing.</w:t>
      </w:r>
    </w:p>
    <w:p>
      <w:pPr>
        <w:spacing w:line="183" w:lineRule="exact" w:before="0"/>
        <w:ind w:left="859" w:right="0" w:firstLine="0"/>
        <w:jc w:val="left"/>
        <w:rPr>
          <w:i/>
          <w:sz w:val="16"/>
        </w:rPr>
      </w:pPr>
      <w:r>
        <w:rPr>
          <w:b/>
          <w:i/>
          <w:color w:val="0070C0"/>
          <w:sz w:val="16"/>
        </w:rPr>
        <w:t>OECD 202 and 211   </w:t>
      </w:r>
      <w:r>
        <w:rPr>
          <w:i/>
          <w:color w:val="0070C0"/>
          <w:sz w:val="16"/>
        </w:rPr>
        <w:t>Aquatic exposure.</w:t>
      </w:r>
    </w:p>
    <w:p>
      <w:pPr>
        <w:pStyle w:val="BodyText"/>
        <w:ind w:left="1561" w:right="6856"/>
        <w:jc w:val="center"/>
        <w:rPr>
          <w:i/>
        </w:rPr>
      </w:pPr>
      <w:r>
        <w:rPr>
          <w:b/>
          <w:i/>
          <w:color w:val="0070C0"/>
        </w:rPr>
        <w:t>-</w:t>
      </w:r>
      <w:r>
        <w:rPr>
          <w:i/>
          <w:color w:val="0070C0"/>
          <w:u w:val="single" w:color="0070C0"/>
        </w:rPr>
        <w:t>Benthic Aquatic Arthropods:</w:t>
      </w:r>
    </w:p>
    <w:p>
      <w:pPr>
        <w:pStyle w:val="BodyText"/>
        <w:spacing w:before="1"/>
        <w:ind w:left="859" w:right="214"/>
      </w:pPr>
      <w:r>
        <w:rPr>
          <w:b/>
          <w:i/>
          <w:color w:val="0070C0"/>
        </w:rPr>
        <w:t>Environment Canada EPS 1/RM/44 </w:t>
      </w:r>
      <w:r>
        <w:rPr>
          <w:i/>
          <w:color w:val="0070C0"/>
        </w:rPr>
        <w:t>In a single concentration study, the test material should be administered in both freshwater and sediment. </w:t>
      </w:r>
      <w:r>
        <w:rPr>
          <w:color w:val="0070C0"/>
        </w:rPr>
        <w:t>In a multi-concentration study, the test material should be mixed in freshwater or sediment.</w:t>
      </w:r>
    </w:p>
    <w:p>
      <w:pPr>
        <w:spacing w:line="184" w:lineRule="exact" w:before="0"/>
        <w:ind w:left="859" w:right="0" w:firstLine="0"/>
        <w:jc w:val="left"/>
        <w:rPr>
          <w:i/>
          <w:sz w:val="16"/>
        </w:rPr>
      </w:pPr>
      <w:r>
        <w:rPr>
          <w:b/>
          <w:i/>
          <w:color w:val="0070C0"/>
          <w:sz w:val="16"/>
        </w:rPr>
        <w:t>OECD 218   </w:t>
      </w:r>
      <w:r>
        <w:rPr>
          <w:i/>
          <w:color w:val="0070C0"/>
          <w:sz w:val="16"/>
        </w:rPr>
        <w:t>Sediment exposure.</w:t>
      </w:r>
    </w:p>
    <w:p>
      <w:pPr>
        <w:spacing w:before="0"/>
        <w:ind w:left="859" w:right="0" w:firstLine="0"/>
        <w:jc w:val="left"/>
        <w:rPr>
          <w:i/>
          <w:sz w:val="16"/>
        </w:rPr>
      </w:pPr>
      <w:r>
        <w:rPr>
          <w:b/>
          <w:i/>
          <w:color w:val="0070C0"/>
          <w:sz w:val="16"/>
        </w:rPr>
        <w:t>OECD 219   </w:t>
      </w:r>
      <w:r>
        <w:rPr>
          <w:i/>
          <w:color w:val="0070C0"/>
          <w:sz w:val="16"/>
        </w:rPr>
        <w:t>Aquatic exposure.</w:t>
      </w:r>
    </w:p>
    <w:p>
      <w:pPr>
        <w:pStyle w:val="BodyText"/>
        <w:rPr>
          <w:i/>
          <w:sz w:val="18"/>
        </w:rPr>
      </w:pPr>
    </w:p>
    <w:p>
      <w:pPr>
        <w:pStyle w:val="BodyText"/>
        <w:spacing w:before="2"/>
        <w:rPr>
          <w:i/>
          <w:sz w:val="26"/>
        </w:rPr>
      </w:pPr>
    </w:p>
    <w:p>
      <w:pPr>
        <w:pStyle w:val="Heading2"/>
        <w:ind w:left="859"/>
      </w:pPr>
      <w:r>
        <w:rPr/>
        <w:t>Test concentrations:</w:t>
      </w:r>
    </w:p>
    <w:p>
      <w:pPr>
        <w:pStyle w:val="BodyText"/>
        <w:spacing w:before="9"/>
        <w:rPr>
          <w:b/>
          <w:i w:val="0"/>
          <w:sz w:val="21"/>
        </w:rPr>
      </w:pPr>
    </w:p>
    <w:p>
      <w:pPr>
        <w:pStyle w:val="Heading4"/>
        <w:ind w:left="859"/>
      </w:pPr>
      <w:r>
        <w:rPr/>
        <w:t>Nominal:</w:t>
      </w:r>
    </w:p>
    <w:p>
      <w:pPr>
        <w:spacing w:before="0"/>
        <w:ind w:left="859" w:right="0" w:firstLine="0"/>
        <w:jc w:val="left"/>
        <w:rPr>
          <w:i/>
          <w:sz w:val="22"/>
        </w:rPr>
      </w:pPr>
      <w:r>
        <w:rPr>
          <w:sz w:val="22"/>
        </w:rPr>
        <w:t>Measured: </w:t>
      </w:r>
      <w:r>
        <w:rPr>
          <w:i/>
          <w:color w:val="FF0000"/>
          <w:sz w:val="22"/>
        </w:rPr>
        <w:t>(from confirmation of dose viability)</w:t>
      </w:r>
    </w:p>
    <w:p>
      <w:pPr>
        <w:pStyle w:val="BodyText"/>
        <w:spacing w:before="1"/>
        <w:rPr>
          <w:i/>
          <w:sz w:val="22"/>
        </w:rPr>
      </w:pPr>
    </w:p>
    <w:p>
      <w:pPr>
        <w:pStyle w:val="Heading5"/>
        <w:spacing w:before="1"/>
        <w:ind w:left="859"/>
        <w:rPr>
          <w:i/>
        </w:rPr>
      </w:pPr>
      <w:r>
        <w:rPr>
          <w:i/>
          <w:color w:val="FF0000"/>
        </w:rPr>
        <w:t>[List doses used, and insert calculation of maximum hazard dose, where applicable]</w:t>
      </w:r>
    </w:p>
    <w:p>
      <w:pPr>
        <w:spacing w:after="0"/>
        <w:sectPr>
          <w:pgSz w:w="12240" w:h="15840"/>
          <w:pgMar w:header="729" w:footer="1084" w:top="1940" w:bottom="1280" w:left="940" w:right="940"/>
        </w:sectPr>
      </w:pPr>
    </w:p>
    <w:p>
      <w:pPr>
        <w:pStyle w:val="BodyText"/>
        <w:spacing w:before="10"/>
        <w:rPr>
          <w:i/>
          <w:sz w:val="22"/>
        </w:rPr>
      </w:pPr>
    </w:p>
    <w:p>
      <w:pPr>
        <w:pStyle w:val="BodyText"/>
        <w:spacing w:line="235" w:lineRule="auto" w:before="99"/>
        <w:ind w:left="859" w:right="166"/>
        <w:jc w:val="both"/>
      </w:pPr>
      <w:r>
        <w:rPr>
          <w:b/>
          <w:i/>
          <w:color w:val="0070C0"/>
        </w:rPr>
        <w:t>U.S. EPA OCSPP 885.4240 </w:t>
      </w:r>
      <w:r>
        <w:rPr>
          <w:i/>
          <w:color w:val="0070C0"/>
        </w:rPr>
        <w:t>A single group tested at the MHC (10</w:t>
      </w:r>
      <w:r>
        <w:rPr>
          <w:i/>
          <w:color w:val="0070C0"/>
          <w:position w:val="6"/>
          <w:sz w:val="10"/>
        </w:rPr>
        <w:t>6 </w:t>
      </w:r>
      <w:r>
        <w:rPr>
          <w:i/>
          <w:color w:val="0070C0"/>
        </w:rPr>
        <w:t>units/mL or at least 1000× the maximum calculated concentration following </w:t>
      </w:r>
      <w:r>
        <w:rPr>
          <w:color w:val="0070C0"/>
        </w:rPr>
        <w:t>direct application to 6 inches of water, whichever is greater). If effects observed, then sequentially lower doses tested to establish LC</w:t>
      </w:r>
      <w:r>
        <w:rPr>
          <w:color w:val="0070C0"/>
          <w:position w:val="-1"/>
          <w:sz w:val="10"/>
        </w:rPr>
        <w:t>50 </w:t>
      </w:r>
      <w:r>
        <w:rPr>
          <w:color w:val="0070C0"/>
        </w:rPr>
        <w:t>/ID</w:t>
      </w:r>
      <w:r>
        <w:rPr>
          <w:color w:val="0070C0"/>
          <w:position w:val="-1"/>
          <w:sz w:val="10"/>
        </w:rPr>
        <w:t>50 </w:t>
      </w:r>
      <w:r>
        <w:rPr>
          <w:color w:val="0070C0"/>
        </w:rPr>
        <w:t>with 95% CI.</w:t>
      </w:r>
    </w:p>
    <w:p>
      <w:pPr>
        <w:pStyle w:val="BodyText"/>
        <w:spacing w:before="34"/>
        <w:ind w:left="859" w:right="306" w:hanging="1"/>
      </w:pPr>
      <w:r>
        <w:rPr>
          <w:b/>
          <w:i/>
          <w:color w:val="0070C0"/>
        </w:rPr>
        <w:t>PMRA DIR 2001-02 </w:t>
      </w:r>
      <w:r>
        <w:rPr>
          <w:i/>
          <w:color w:val="0070C0"/>
        </w:rPr>
        <w:t>Aquatic exposure: 10</w:t>
      </w:r>
      <w:r>
        <w:rPr>
          <w:i/>
          <w:color w:val="0070C0"/>
          <w:position w:val="6"/>
          <w:sz w:val="10"/>
        </w:rPr>
        <w:t>6 </w:t>
      </w:r>
      <w:r>
        <w:rPr>
          <w:i/>
          <w:color w:val="0070C0"/>
        </w:rPr>
        <w:t>active units of the MPCA/g of soil or water, or 1000× the expected environmental concentration </w:t>
      </w:r>
      <w:r>
        <w:rPr>
          <w:color w:val="0070C0"/>
        </w:rPr>
        <w:t>(EEC) following a direct application at the maximum label rate to a 15-cm layer of soil or water, whichever is greater or achievable. Dietary exposure: arthropods can be fed a diet treated with an application of the MPCA equivalent to 100× the maximum label rate. Alternatively, organisms may be fed the target organism that has been maximally infected with the MPCA.</w:t>
      </w:r>
    </w:p>
    <w:p>
      <w:pPr>
        <w:pStyle w:val="BodyText"/>
        <w:spacing w:line="183" w:lineRule="exact"/>
        <w:ind w:left="1561" w:right="6856"/>
        <w:jc w:val="center"/>
        <w:rPr>
          <w:i/>
        </w:rPr>
      </w:pPr>
      <w:r>
        <w:rPr>
          <w:b/>
          <w:i/>
          <w:color w:val="0070C0"/>
        </w:rPr>
        <w:t>-</w:t>
      </w:r>
      <w:r>
        <w:rPr>
          <w:i/>
          <w:color w:val="0070C0"/>
          <w:u w:val="single" w:color="0070C0"/>
        </w:rPr>
        <w:t>Pelagic Aquatic Arthropods:</w:t>
      </w:r>
    </w:p>
    <w:p>
      <w:pPr>
        <w:pStyle w:val="BodyText"/>
        <w:ind w:left="859" w:right="228" w:hanging="1"/>
      </w:pPr>
      <w:r>
        <w:rPr>
          <w:b/>
          <w:i/>
          <w:color w:val="0070C0"/>
        </w:rPr>
        <w:t>Environment Canada EPS 1/RM/44 </w:t>
      </w:r>
      <w:r>
        <w:rPr>
          <w:i/>
          <w:color w:val="0070C0"/>
          <w:u w:val="single" w:color="0070C0"/>
        </w:rPr>
        <w:t>Daphnids</w:t>
      </w:r>
      <w:r>
        <w:rPr>
          <w:i/>
          <w:color w:val="0070C0"/>
        </w:rPr>
        <w:t>: a single group tested at the maximum hazard concentration (MHC) or ≥ 5 test concentrations, </w:t>
      </w:r>
      <w:r>
        <w:rPr>
          <w:color w:val="0070C0"/>
        </w:rPr>
        <w:t>including the MHC. </w:t>
      </w:r>
      <w:r>
        <w:rPr>
          <w:color w:val="0070C0"/>
          <w:u w:val="single" w:color="0070C0"/>
        </w:rPr>
        <w:t>Shrimp</w:t>
      </w:r>
      <w:r>
        <w:rPr>
          <w:color w:val="0070C0"/>
        </w:rPr>
        <w:t>: a single group tested at the maximum hazard concentration or ≥ 5 test concentrations, including the maximum hazard concentration. The MHC for aquatic exposure is 10</w:t>
      </w:r>
      <w:r>
        <w:rPr>
          <w:color w:val="0070C0"/>
          <w:position w:val="6"/>
          <w:sz w:val="10"/>
        </w:rPr>
        <w:t>6 </w:t>
      </w:r>
      <w:r>
        <w:rPr>
          <w:color w:val="0070C0"/>
        </w:rPr>
        <w:t>active MPCA units/mL or 1000× the EEC of the MPCA, following application to a 15-cm layer of water (whichever greater and attainable) and the MHC for dietary exposure is 100× the EEC of the MPCA following application to a 15-cm layer of water.</w:t>
      </w:r>
    </w:p>
    <w:p>
      <w:pPr>
        <w:pStyle w:val="BodyText"/>
        <w:ind w:left="859" w:right="332"/>
      </w:pPr>
      <w:r>
        <w:rPr>
          <w:b/>
          <w:i/>
          <w:color w:val="0070C0"/>
        </w:rPr>
        <w:t>OECD 202 </w:t>
      </w:r>
      <w:r>
        <w:rPr>
          <w:i/>
          <w:color w:val="0070C0"/>
        </w:rPr>
        <w:t>A limit test at 100 mg/L may be conducted using 20 daphnids (4 groups of 5). If &gt;10% immobility is observed, a full study is </w:t>
      </w:r>
      <w:r>
        <w:rPr>
          <w:color w:val="0070C0"/>
        </w:rPr>
        <w:t>required, including a range-finding study, and definitive test using ≥5 concentrations, with ratio ≤2.2, highest concentration resulting in 100% immobility, and lowest in no observable effect.</w:t>
      </w:r>
    </w:p>
    <w:p>
      <w:pPr>
        <w:pStyle w:val="BodyText"/>
        <w:spacing w:line="184" w:lineRule="exact" w:before="2"/>
        <w:ind w:left="859" w:right="186"/>
      </w:pPr>
      <w:r>
        <w:rPr>
          <w:b/>
          <w:i/>
          <w:color w:val="0070C0"/>
        </w:rPr>
        <w:t>OECD 211 </w:t>
      </w:r>
      <w:r>
        <w:rPr>
          <w:i/>
          <w:color w:val="0070C0"/>
        </w:rPr>
        <w:t>≥5 test concentrations in geometric series, with ratio ≤3.2. For NOEC/LOEC, in the lowest test concentration, fecundity is not </w:t>
      </w:r>
      <w:r>
        <w:rPr>
          <w:color w:val="0070C0"/>
        </w:rPr>
        <w:t>significantly different from controls, but fecundity is significantly different from controls at highest test concentration. For EC</w:t>
      </w:r>
      <w:r>
        <w:rPr>
          <w:color w:val="0070C0"/>
          <w:position w:val="-1"/>
          <w:sz w:val="10"/>
        </w:rPr>
        <w:t>50</w:t>
      </w:r>
      <w:r>
        <w:rPr>
          <w:color w:val="0070C0"/>
        </w:rPr>
        <w:t>, the range of test concentrations must permit estimation of the EC</w:t>
      </w:r>
      <w:r>
        <w:rPr>
          <w:color w:val="0070C0"/>
          <w:position w:val="-1"/>
          <w:sz w:val="10"/>
        </w:rPr>
        <w:t>50 </w:t>
      </w:r>
      <w:r>
        <w:rPr>
          <w:color w:val="0070C0"/>
        </w:rPr>
        <w:t>with confidence intervals.</w:t>
      </w:r>
    </w:p>
    <w:p>
      <w:pPr>
        <w:pStyle w:val="BodyText"/>
        <w:spacing w:line="182" w:lineRule="exact"/>
        <w:ind w:left="1561" w:right="6856"/>
        <w:jc w:val="center"/>
        <w:rPr>
          <w:i/>
        </w:rPr>
      </w:pPr>
      <w:r>
        <w:rPr>
          <w:b/>
          <w:i/>
          <w:color w:val="0070C0"/>
        </w:rPr>
        <w:t>-</w:t>
      </w:r>
      <w:r>
        <w:rPr>
          <w:i/>
          <w:color w:val="0070C0"/>
          <w:u w:val="single" w:color="0070C0"/>
        </w:rPr>
        <w:t>Benthic Aquatic Arthropods:</w:t>
      </w:r>
    </w:p>
    <w:p>
      <w:pPr>
        <w:pStyle w:val="BodyText"/>
        <w:spacing w:line="237" w:lineRule="auto" w:before="2"/>
        <w:ind w:left="859" w:right="214"/>
      </w:pPr>
      <w:r>
        <w:rPr>
          <w:b/>
          <w:i/>
          <w:color w:val="0070C0"/>
        </w:rPr>
        <w:t>Environment Canada EPS 1/RM/44 </w:t>
      </w:r>
      <w:r>
        <w:rPr>
          <w:i/>
          <w:color w:val="0070C0"/>
        </w:rPr>
        <w:t>A single group tested at the MHC or ≥ 5 test concentrations, including the MHC.  The MHC for water is </w:t>
      </w:r>
      <w:r>
        <w:rPr>
          <w:color w:val="0070C0"/>
        </w:rPr>
        <w:t>10</w:t>
      </w:r>
      <w:r>
        <w:rPr>
          <w:color w:val="0070C0"/>
          <w:position w:val="6"/>
          <w:sz w:val="10"/>
        </w:rPr>
        <w:t>6 </w:t>
      </w:r>
      <w:r>
        <w:rPr>
          <w:color w:val="0070C0"/>
        </w:rPr>
        <w:t>microbial units/mL water or 1000× the EEC in the aquatic environment, whichever is greater and achievable. The MHC for sediment is 10</w:t>
      </w:r>
      <w:r>
        <w:rPr>
          <w:color w:val="0070C0"/>
          <w:position w:val="6"/>
          <w:sz w:val="10"/>
        </w:rPr>
        <w:t>6 </w:t>
      </w:r>
      <w:r>
        <w:rPr>
          <w:color w:val="0070C0"/>
        </w:rPr>
        <w:t>microbial units/g dry wt. of sediment or 1000× the EEC in the aquatic environment, whichever is greater and achievable.</w:t>
      </w:r>
    </w:p>
    <w:p>
      <w:pPr>
        <w:pStyle w:val="BodyText"/>
        <w:ind w:left="860" w:right="155"/>
      </w:pPr>
      <w:r>
        <w:rPr>
          <w:b/>
          <w:i/>
          <w:color w:val="0070C0"/>
        </w:rPr>
        <w:t>OECD 218   </w:t>
      </w:r>
      <w:r>
        <w:rPr>
          <w:i/>
          <w:color w:val="0070C0"/>
        </w:rPr>
        <w:t>At least 5 concentrations should be used.  The factor between test concentrations should be &lt;2.  A range-finding test may be helpful </w:t>
      </w:r>
      <w:r>
        <w:rPr>
          <w:color w:val="0070C0"/>
        </w:rPr>
        <w:t>to determine the range. A limit test may be performed at a concentration of 1000 mg/kg (dry weight sediment.</w:t>
      </w:r>
    </w:p>
    <w:p>
      <w:pPr>
        <w:pStyle w:val="BodyText"/>
        <w:ind w:left="859" w:right="190"/>
      </w:pPr>
      <w:r>
        <w:rPr>
          <w:b/>
          <w:i/>
          <w:color w:val="0070C0"/>
        </w:rPr>
        <w:t>OECD 219  </w:t>
      </w:r>
      <w:r>
        <w:rPr>
          <w:i/>
          <w:color w:val="0070C0"/>
        </w:rPr>
        <w:t>At least 5 concentrations should be used.  The factor between test concentrations should be &lt;2.  A range-finding test may be helpful </w:t>
      </w:r>
      <w:r>
        <w:rPr>
          <w:color w:val="0070C0"/>
        </w:rPr>
        <w:t>to determine the range. A limit test may be performed but the limit concentration is left to the discretion of the regulatory authority.</w:t>
      </w:r>
    </w:p>
    <w:p>
      <w:pPr>
        <w:pStyle w:val="BodyText"/>
        <w:rPr>
          <w:i/>
          <w:sz w:val="18"/>
        </w:rPr>
      </w:pPr>
    </w:p>
    <w:p>
      <w:pPr>
        <w:pStyle w:val="BodyText"/>
        <w:rPr>
          <w:i/>
          <w:sz w:val="18"/>
        </w:rPr>
      </w:pPr>
    </w:p>
    <w:p>
      <w:pPr>
        <w:pStyle w:val="BodyText"/>
        <w:spacing w:before="1"/>
        <w:rPr>
          <w:i/>
          <w:sz w:val="24"/>
        </w:rPr>
      </w:pPr>
    </w:p>
    <w:p>
      <w:pPr>
        <w:pStyle w:val="Heading2"/>
        <w:spacing w:before="1"/>
      </w:pPr>
      <w:r>
        <w:rPr/>
        <w:t>Preparation of test concentrations:</w:t>
      </w:r>
    </w:p>
    <w:p>
      <w:pPr>
        <w:pStyle w:val="BodyText"/>
        <w:rPr>
          <w:b/>
          <w:i w:val="0"/>
          <w:sz w:val="22"/>
        </w:rPr>
      </w:pPr>
    </w:p>
    <w:p>
      <w:pPr>
        <w:pStyle w:val="Heading5"/>
        <w:rPr>
          <w:i/>
        </w:rPr>
      </w:pPr>
      <w:r>
        <w:rPr>
          <w:i/>
          <w:color w:val="FF0000"/>
        </w:rPr>
        <w:t>[Briefly describe the preparation of the test concentrations.]</w:t>
      </w:r>
    </w:p>
    <w:p>
      <w:pPr>
        <w:pStyle w:val="BodyText"/>
        <w:rPr>
          <w:i/>
          <w:sz w:val="24"/>
        </w:rPr>
      </w:pPr>
    </w:p>
    <w:p>
      <w:pPr>
        <w:spacing w:before="196"/>
        <w:ind w:left="859" w:right="157" w:firstLine="0"/>
        <w:jc w:val="left"/>
        <w:rPr>
          <w:i/>
          <w:sz w:val="16"/>
        </w:rPr>
      </w:pPr>
      <w:r>
        <w:rPr>
          <w:b/>
          <w:i/>
          <w:color w:val="0070C0"/>
          <w:sz w:val="16"/>
        </w:rPr>
        <w:t>U.S. EPA OCSPP 885.4240 </w:t>
      </w:r>
      <w:r>
        <w:rPr>
          <w:i/>
          <w:color w:val="0070C0"/>
          <w:sz w:val="16"/>
        </w:rPr>
        <w:t>The test material shall be administered directly into the dilution water. The actual form of the material to be </w:t>
      </w:r>
      <w:r>
        <w:rPr>
          <w:i/>
          <w:color w:val="0070C0"/>
          <w:sz w:val="16"/>
        </w:rPr>
        <w:t>regarded as the test substance is discussed in OCSPP Guideline: 885.0001- under section (g)(1)(i-vi). </w:t>
      </w:r>
      <w:r>
        <w:rPr>
          <w:b/>
          <w:i/>
          <w:color w:val="0070C0"/>
          <w:sz w:val="16"/>
        </w:rPr>
        <w:t>From U.S. EPA OCSPP 885.4000 </w:t>
      </w:r>
      <w:r>
        <w:rPr>
          <w:b/>
          <w:i/>
          <w:color w:val="0070C0"/>
          <w:sz w:val="16"/>
        </w:rPr>
        <w:t>Background for Nontarget Organism Testing of Microbial Pesticide Control Agents </w:t>
      </w:r>
      <w:r>
        <w:rPr>
          <w:i/>
          <w:color w:val="0070C0"/>
          <w:sz w:val="16"/>
        </w:rPr>
        <w:t>Testing the technical grade of the active ingredient (TGAI) </w:t>
      </w:r>
      <w:r>
        <w:rPr>
          <w:i/>
          <w:color w:val="0070C0"/>
          <w:sz w:val="16"/>
        </w:rPr>
        <w:t>applies in all tests except the simulated and actual field testing (OPPTS 885.4900), where the use of the formulated product applies in order to simulate or reproduce actual field use. In some cases the technical grade of the active ingredient and the formulated product may be identical. </w:t>
      </w:r>
      <w:r>
        <w:rPr>
          <w:b/>
          <w:i/>
          <w:color w:val="0070C0"/>
          <w:sz w:val="16"/>
        </w:rPr>
        <w:t>PMRA DIR 2001-02   </w:t>
      </w:r>
      <w:r>
        <w:rPr>
          <w:i/>
          <w:color w:val="0070C0"/>
          <w:sz w:val="16"/>
        </w:rPr>
        <w:t>No specific recommendations.</w:t>
      </w:r>
    </w:p>
    <w:p>
      <w:pPr>
        <w:pStyle w:val="BodyText"/>
        <w:spacing w:line="184" w:lineRule="exact"/>
        <w:ind w:left="1561" w:right="6856"/>
        <w:jc w:val="center"/>
        <w:rPr>
          <w:i/>
        </w:rPr>
      </w:pPr>
      <w:r>
        <w:rPr>
          <w:b/>
          <w:i/>
          <w:color w:val="0070C0"/>
        </w:rPr>
        <w:t>-</w:t>
      </w:r>
      <w:r>
        <w:rPr>
          <w:i/>
          <w:color w:val="0070C0"/>
          <w:u w:val="single" w:color="0070C0"/>
        </w:rPr>
        <w:t>Pelagic Aquatic Arthropods:</w:t>
      </w:r>
    </w:p>
    <w:p>
      <w:pPr>
        <w:pStyle w:val="BodyText"/>
        <w:spacing w:before="1"/>
        <w:ind w:left="859" w:right="171" w:hanging="1"/>
      </w:pPr>
      <w:r>
        <w:rPr>
          <w:b/>
          <w:i/>
          <w:color w:val="0070C0"/>
        </w:rPr>
        <w:t>Environment Canada EPS 1/RM/44 </w:t>
      </w:r>
      <w:r>
        <w:rPr>
          <w:i/>
          <w:color w:val="0070C0"/>
          <w:u w:val="single" w:color="0070C0"/>
        </w:rPr>
        <w:t>Aquatic exposure</w:t>
      </w:r>
      <w:r>
        <w:rPr>
          <w:i/>
          <w:color w:val="0070C0"/>
        </w:rPr>
        <w:t>: For a single concentration test, a measured quantity of the MPCA representing the </w:t>
      </w:r>
      <w:r>
        <w:rPr>
          <w:color w:val="0070C0"/>
        </w:rPr>
        <w:t>maximum hazard concentration should be mixed to homogeneity in a suitable quantity of dilution water. In multi-concentration testing, the maximum hazard concentration and each lower test concentration should be prepared in the same manner. Mixing must be performed in a standardized manner (i.e., temperature and time) and may be performed by hand (glass rod or spatula), or by using mechanical stirring device (e.g., teflon-coated bar, stainless steel vortex mixer). Ultrasonic dispersion is not recommended since it may be harmful to the MPCA. </w:t>
      </w:r>
      <w:r>
        <w:rPr>
          <w:color w:val="0070C0"/>
          <w:u w:val="single" w:color="0070C0"/>
        </w:rPr>
        <w:t>Dietary exposure</w:t>
      </w:r>
      <w:r>
        <w:rPr>
          <w:color w:val="0070C0"/>
        </w:rPr>
        <w:t>: For a single concentration test, a measured quantity of the MPCA representing the maximum hazard concentration should be mixed to homogeneity in a suitable quantity of food. In multi-concentration testing, the maximum hazard concentration and each lower test concentration should be prepared in the same manner. Mixing must be performed in a standardized manner (i.e., temperature and time). The procedure for mixing the food will vary with the nature of the test material and food.</w:t>
      </w:r>
    </w:p>
    <w:p>
      <w:pPr>
        <w:pStyle w:val="BodyText"/>
        <w:spacing w:before="1"/>
        <w:ind w:left="859" w:right="214"/>
      </w:pPr>
      <w:r>
        <w:rPr>
          <w:b/>
          <w:i/>
          <w:color w:val="0070C0"/>
        </w:rPr>
        <w:t>OECD 202 </w:t>
      </w:r>
      <w:r>
        <w:rPr>
          <w:i/>
          <w:color w:val="0070C0"/>
        </w:rPr>
        <w:t>Test suspensions should be prepared by dilution of a stock suspension. Stock suspensions should be prepared by dissolving the test </w:t>
      </w:r>
      <w:r>
        <w:rPr>
          <w:color w:val="0070C0"/>
        </w:rPr>
        <w:t>material in dilution water. The pH should not be adjusted, but if necessary, the stock suspension concentration is not significantly changed and that no chemical reactions or precipitations occurred. HCl and NaOH are preferred. The use of solvents, emulsifiers or dispersants should be avoided.</w:t>
      </w:r>
    </w:p>
    <w:p>
      <w:pPr>
        <w:pStyle w:val="BodyText"/>
        <w:ind w:left="859" w:right="149"/>
      </w:pPr>
      <w:r>
        <w:rPr>
          <w:b/>
          <w:i/>
          <w:color w:val="0070C0"/>
        </w:rPr>
        <w:t>OECD 211 </w:t>
      </w:r>
      <w:r>
        <w:rPr>
          <w:i/>
          <w:color w:val="0070C0"/>
        </w:rPr>
        <w:t>Test suspensions should be prepared by dilution of a stock suspension. Stock solutions should be prepared by dissolving the test </w:t>
      </w:r>
      <w:r>
        <w:rPr>
          <w:color w:val="0070C0"/>
        </w:rPr>
        <w:t>material in test (culture) medium. The use of organic solvents or dispersants may be required in some cases in order to produce a suitably concentrated stock solution, but every effort should be made to avoid the use of such materials. The maximum solvent/dispersant concentration in the final test medium is ≤0.1 mL/L.</w:t>
      </w:r>
    </w:p>
    <w:p>
      <w:pPr>
        <w:pStyle w:val="BodyText"/>
        <w:spacing w:line="184" w:lineRule="exact"/>
        <w:ind w:left="1561" w:right="6856"/>
        <w:jc w:val="center"/>
        <w:rPr>
          <w:i/>
        </w:rPr>
      </w:pPr>
      <w:r>
        <w:rPr>
          <w:b/>
          <w:i/>
          <w:color w:val="0070C0"/>
        </w:rPr>
        <w:t>-</w:t>
      </w:r>
      <w:r>
        <w:rPr>
          <w:i/>
          <w:color w:val="0070C0"/>
          <w:u w:val="single" w:color="0070C0"/>
        </w:rPr>
        <w:t>Benthic Aquatic Arthropods:</w:t>
      </w:r>
    </w:p>
    <w:p>
      <w:pPr>
        <w:pStyle w:val="BodyText"/>
        <w:ind w:left="860" w:hanging="1"/>
      </w:pPr>
      <w:r>
        <w:rPr>
          <w:b/>
          <w:i/>
          <w:color w:val="0070C0"/>
        </w:rPr>
        <w:t>Environment Canada EPS 1/RM/44 </w:t>
      </w:r>
      <w:r>
        <w:rPr>
          <w:i/>
          <w:color w:val="0070C0"/>
          <w:u w:val="single" w:color="0070C0"/>
        </w:rPr>
        <w:t>Aquatic exposure</w:t>
      </w:r>
      <w:r>
        <w:rPr>
          <w:i/>
          <w:color w:val="0070C0"/>
        </w:rPr>
        <w:t>: For a single concentration test, a measured quantity of the MPCA representing the </w:t>
      </w:r>
      <w:r>
        <w:rPr>
          <w:color w:val="0070C0"/>
        </w:rPr>
        <w:t>maximum hazard concentration should be mixed to homogeneity in a suitable quantity of dilution water. In multi-concentration testing, the maximum hazard concentration and each lower test concentration should be prepared in the same manner. Mixing must be performed in a</w:t>
      </w:r>
    </w:p>
    <w:p>
      <w:pPr>
        <w:spacing w:after="0"/>
        <w:sectPr>
          <w:pgSz w:w="12240" w:h="15840"/>
          <w:pgMar w:header="729" w:footer="1084" w:top="1940" w:bottom="1280" w:left="940" w:right="940"/>
        </w:sectPr>
      </w:pPr>
    </w:p>
    <w:p>
      <w:pPr>
        <w:pStyle w:val="BodyText"/>
        <w:spacing w:before="6"/>
        <w:rPr>
          <w:i/>
          <w:sz w:val="15"/>
        </w:rPr>
      </w:pPr>
    </w:p>
    <w:p>
      <w:pPr>
        <w:pStyle w:val="BodyText"/>
        <w:spacing w:before="1"/>
        <w:ind w:left="860" w:right="170"/>
      </w:pPr>
      <w:r>
        <w:rPr>
          <w:i/>
          <w:color w:val="0070C0"/>
        </w:rPr>
        <w:t>standardized manner (i.e., temperature and time) and may be performed by hand (glass rod or spatula), or by using mechanical stirring device </w:t>
      </w:r>
      <w:r>
        <w:rPr>
          <w:color w:val="0070C0"/>
        </w:rPr>
        <w:t>(e.g., teflon-coated bar, stainless steel vortex mixer). Ultrasonic dispersion is not recommended since it may be harmful to the MPCA. </w:t>
      </w:r>
      <w:r>
        <w:rPr>
          <w:color w:val="0070C0"/>
          <w:u w:val="single" w:color="0070C0"/>
        </w:rPr>
        <w:t>Sediment exposure</w:t>
      </w:r>
      <w:r>
        <w:rPr>
          <w:color w:val="0070C0"/>
        </w:rPr>
        <w:t>: For a single concentration test, a measured quantity of the MPCA representing the maximum hazard concentration should be mixed to homogeneity in a suitable quantity of sediment. In multi-concentration testing, the maximum hazard concentration and each lower test concentration should be prepared in the same manner. Mixing must be performed in a standardized manner (i.e., temperature and time) and may be performed by hand or by using mechanical device.</w:t>
      </w:r>
    </w:p>
    <w:p>
      <w:pPr>
        <w:pStyle w:val="BodyText"/>
        <w:ind w:left="859" w:right="166"/>
      </w:pPr>
      <w:r>
        <w:rPr>
          <w:b/>
          <w:i/>
          <w:color w:val="0070C0"/>
        </w:rPr>
        <w:t>OECD 218 </w:t>
      </w:r>
      <w:r>
        <w:rPr>
          <w:i/>
          <w:color w:val="0070C0"/>
        </w:rPr>
        <w:t>Spiked sediments of the chosen concentration are usually prepared by addition of a solution of the test substance directly to the </w:t>
      </w:r>
      <w:r>
        <w:rPr>
          <w:color w:val="0070C0"/>
        </w:rPr>
        <w:t>sediment. A stock solution of the test substance dissolved in deionized water is mixed with the formulated sediment by rolling mill, feed mixer or hand mixing. If poorly soluble in water, the test substance can be dissolved in as small a volume as possible of a suitable organic solvent. This solution is then mixed with 10 g of fine quartz sand for one test vessel. The solvent is allowed to evaporate and it has to be totally removed from sand; the sand is then mixed with the suitable amount of sediment per test beaker. Only agents which volatilize readily can be used to solubilize, disperse or emulsify the test substance. It should be born in mind that the sand provided by the test substance and sand mixture, has to be taken into account when preparing the sediment (i.e., the sediment should thus be prepared with less sand). Care should be taken to ensure that the test substance added to sediment is thoroughly and evenly distributed within the sediment.</w:t>
      </w:r>
    </w:p>
    <w:p>
      <w:pPr>
        <w:pStyle w:val="BodyText"/>
        <w:ind w:left="859" w:right="433"/>
      </w:pPr>
      <w:r>
        <w:rPr>
          <w:b/>
          <w:i/>
          <w:color w:val="0070C0"/>
        </w:rPr>
        <w:t>OECD 219 </w:t>
      </w:r>
      <w:r>
        <w:rPr>
          <w:i/>
          <w:color w:val="0070C0"/>
        </w:rPr>
        <w:t>The test substance is added into the overlying water column 24 hours after the larvae were added to the test chambers. Small </w:t>
      </w:r>
      <w:r>
        <w:rPr>
          <w:color w:val="0070C0"/>
        </w:rPr>
        <w:t>volumes of test substance solutions are applied below the surface of the water using a pipette. The overlying water should then be mixed with care not to disturb the sediment.</w:t>
      </w:r>
    </w:p>
    <w:p>
      <w:pPr>
        <w:pStyle w:val="BodyText"/>
        <w:rPr>
          <w:i/>
          <w:sz w:val="18"/>
        </w:rPr>
      </w:pPr>
    </w:p>
    <w:p>
      <w:pPr>
        <w:pStyle w:val="BodyText"/>
        <w:spacing w:before="3"/>
        <w:rPr>
          <w:i/>
          <w:sz w:val="26"/>
        </w:rPr>
      </w:pPr>
    </w:p>
    <w:p>
      <w:pPr>
        <w:spacing w:before="0"/>
        <w:ind w:left="860" w:right="0" w:firstLine="0"/>
        <w:jc w:val="left"/>
        <w:rPr>
          <w:i/>
          <w:sz w:val="22"/>
        </w:rPr>
      </w:pPr>
      <w:r>
        <w:rPr>
          <w:b/>
          <w:sz w:val="22"/>
        </w:rPr>
        <w:t>Solvent/vehicle: </w:t>
      </w:r>
      <w:r>
        <w:rPr>
          <w:i/>
          <w:color w:val="FF0000"/>
          <w:sz w:val="22"/>
        </w:rPr>
        <w:t>[if used]</w:t>
      </w:r>
    </w:p>
    <w:p>
      <w:pPr>
        <w:pStyle w:val="BodyText"/>
        <w:rPr>
          <w:i/>
          <w:sz w:val="22"/>
        </w:rPr>
      </w:pPr>
    </w:p>
    <w:p>
      <w:pPr>
        <w:pStyle w:val="Heading5"/>
        <w:rPr>
          <w:i/>
        </w:rPr>
      </w:pPr>
      <w:r>
        <w:rPr>
          <w:i/>
          <w:color w:val="FF0000"/>
        </w:rPr>
        <w:t>[Describe any solvent or carrier used in dose administration.]</w:t>
      </w:r>
    </w:p>
    <w:p>
      <w:pPr>
        <w:pStyle w:val="BodyText"/>
        <w:rPr>
          <w:i/>
          <w:sz w:val="24"/>
        </w:rPr>
      </w:pPr>
    </w:p>
    <w:p>
      <w:pPr>
        <w:spacing w:before="196"/>
        <w:ind w:left="860" w:right="0" w:firstLine="0"/>
        <w:jc w:val="left"/>
        <w:rPr>
          <w:i/>
          <w:sz w:val="16"/>
        </w:rPr>
      </w:pPr>
      <w:r>
        <w:rPr>
          <w:b/>
          <w:i/>
          <w:color w:val="0070C0"/>
          <w:sz w:val="16"/>
        </w:rPr>
        <w:t>U.S. EPA OCSPP 885.4240   </w:t>
      </w:r>
      <w:r>
        <w:rPr>
          <w:i/>
          <w:color w:val="0070C0"/>
          <w:sz w:val="16"/>
        </w:rPr>
        <w:t>No specific recommendations.</w:t>
      </w:r>
    </w:p>
    <w:p>
      <w:pPr>
        <w:spacing w:before="37"/>
        <w:ind w:left="860" w:right="0" w:firstLine="0"/>
        <w:jc w:val="left"/>
        <w:rPr>
          <w:i/>
          <w:sz w:val="16"/>
        </w:rPr>
      </w:pPr>
      <w:r>
        <w:rPr>
          <w:b/>
          <w:i/>
          <w:color w:val="0070C0"/>
          <w:sz w:val="16"/>
        </w:rPr>
        <w:t>PMRA DIR 2001-02   </w:t>
      </w:r>
      <w:r>
        <w:rPr>
          <w:i/>
          <w:color w:val="0070C0"/>
          <w:sz w:val="16"/>
        </w:rPr>
        <w:t>No specific recommendations.</w:t>
      </w:r>
    </w:p>
    <w:p>
      <w:pPr>
        <w:spacing w:before="0"/>
        <w:ind w:left="860" w:right="0" w:firstLine="0"/>
        <w:jc w:val="left"/>
        <w:rPr>
          <w:i/>
          <w:sz w:val="16"/>
        </w:rPr>
      </w:pPr>
      <w:r>
        <w:rPr>
          <w:b/>
          <w:i/>
          <w:color w:val="0070C0"/>
          <w:sz w:val="16"/>
        </w:rPr>
        <w:t>Environment Canada EPS 1/RM/44  </w:t>
      </w:r>
      <w:r>
        <w:rPr>
          <w:i/>
          <w:color w:val="0070C0"/>
          <w:sz w:val="16"/>
        </w:rPr>
        <w:t>No solvent other than dilution water or medium may be used in preparing test concentrations.</w:t>
      </w:r>
    </w:p>
    <w:p>
      <w:pPr>
        <w:pStyle w:val="BodyText"/>
        <w:spacing w:line="184" w:lineRule="exact"/>
        <w:ind w:left="1561" w:right="6856"/>
        <w:jc w:val="center"/>
        <w:rPr>
          <w:i/>
        </w:rPr>
      </w:pPr>
      <w:r>
        <w:rPr>
          <w:b/>
          <w:i/>
          <w:color w:val="0070C0"/>
        </w:rPr>
        <w:t>-</w:t>
      </w:r>
      <w:r>
        <w:rPr>
          <w:i/>
          <w:color w:val="0070C0"/>
          <w:u w:val="single" w:color="0070C0"/>
        </w:rPr>
        <w:t>Pelagic Aquatic Arthropods:</w:t>
      </w:r>
    </w:p>
    <w:p>
      <w:pPr>
        <w:pStyle w:val="BodyText"/>
        <w:ind w:left="859" w:right="318"/>
      </w:pPr>
      <w:r>
        <w:rPr>
          <w:b/>
          <w:i/>
          <w:color w:val="0070C0"/>
        </w:rPr>
        <w:t>OECD 202 </w:t>
      </w:r>
      <w:r>
        <w:rPr>
          <w:i/>
          <w:color w:val="0070C0"/>
        </w:rPr>
        <w:t>The concentration of test substance should not exceed the limit of solubility in the dilution water. Solvents may be required to </w:t>
      </w:r>
      <w:r>
        <w:rPr>
          <w:color w:val="0070C0"/>
        </w:rPr>
        <w:t>prepare a stock solution of suitable concentration, but as far as possible, the use of solvents, emulsifiers or dispersants should be avoided. </w:t>
      </w:r>
      <w:r>
        <w:rPr>
          <w:b/>
          <w:i/>
          <w:color w:val="0070C0"/>
        </w:rPr>
        <w:t>OECD 211 </w:t>
      </w:r>
      <w:r>
        <w:rPr>
          <w:i/>
          <w:color w:val="0070C0"/>
        </w:rPr>
        <w:t>The concentration of test substance should not exceed the limit of solubility in the dilution water. The use of organic solvents or </w:t>
      </w:r>
      <w:r>
        <w:rPr>
          <w:color w:val="0070C0"/>
        </w:rPr>
        <w:t>dispersants may be required in some cases to product a suitable concentrated stock solution but every effort should be made to avoid their use. Acetone, ethanol, methanol, dimethyl formamide, and triethylene glycol are examples of suitable solvents. Cremophor RH4, methylcellulose 0.01%, and HCO-40 are suitable dispersants.</w:t>
      </w:r>
    </w:p>
    <w:p>
      <w:pPr>
        <w:pStyle w:val="BodyText"/>
        <w:spacing w:line="184" w:lineRule="exact" w:before="1"/>
        <w:ind w:left="1561" w:right="6856"/>
        <w:jc w:val="center"/>
        <w:rPr>
          <w:i/>
        </w:rPr>
      </w:pPr>
      <w:r>
        <w:rPr>
          <w:b/>
          <w:i/>
          <w:color w:val="0070C0"/>
        </w:rPr>
        <w:t>-</w:t>
      </w:r>
      <w:r>
        <w:rPr>
          <w:i/>
          <w:color w:val="0070C0"/>
          <w:u w:val="single" w:color="0070C0"/>
        </w:rPr>
        <w:t>Benthic Aquatic Arthropods:</w:t>
      </w:r>
    </w:p>
    <w:p>
      <w:pPr>
        <w:pStyle w:val="BodyText"/>
        <w:spacing w:line="184" w:lineRule="exact"/>
        <w:ind w:left="859"/>
        <w:rPr>
          <w:i/>
        </w:rPr>
      </w:pPr>
      <w:r>
        <w:rPr>
          <w:i/>
          <w:color w:val="0070C0"/>
        </w:rPr>
        <w:t>or acetone should be used. The concentration of such carriers should not exceed 0.1 mL/L.</w:t>
      </w:r>
    </w:p>
    <w:p>
      <w:pPr>
        <w:pStyle w:val="BodyText"/>
        <w:ind w:left="859" w:right="190"/>
      </w:pPr>
      <w:r>
        <w:rPr>
          <w:b/>
          <w:i/>
          <w:color w:val="0070C0"/>
        </w:rPr>
        <w:t>OECD 218 and 219    </w:t>
      </w:r>
      <w:r>
        <w:rPr>
          <w:i/>
          <w:color w:val="0070C0"/>
        </w:rPr>
        <w:t>The use of solvents or dispersants may be required in some cases in order to produce a suitably concentrated stock </w:t>
      </w:r>
      <w:r>
        <w:rPr>
          <w:color w:val="0070C0"/>
        </w:rPr>
        <w:t>solution. Examples are acetone, ethanol, methanol, ethylene glycol, monoethyl ether, ethylene glycol dimethyl ether, dimethylformamide and triethylene glycol. Dispersants which may be used are Cremophor RH40, Tween 80, methylcellulose 0.01% and HCO-40. The solubilising agent concentration in the final test medium should be minimal (i.e., ≤0.1 mL/L) and should be the same in all treatments. Every effort should be made to avoid the use of such materials.</w:t>
      </w:r>
    </w:p>
    <w:p>
      <w:pPr>
        <w:pStyle w:val="BodyText"/>
        <w:rPr>
          <w:i/>
          <w:sz w:val="18"/>
        </w:rPr>
      </w:pPr>
    </w:p>
    <w:p>
      <w:pPr>
        <w:pStyle w:val="BodyText"/>
        <w:spacing w:before="2"/>
        <w:rPr>
          <w:i/>
          <w:sz w:val="26"/>
        </w:rPr>
      </w:pPr>
    </w:p>
    <w:p>
      <w:pPr>
        <w:pStyle w:val="Heading2"/>
      </w:pPr>
      <w:r>
        <w:rPr/>
        <w:t>Confirmation of MPCA viability:</w:t>
      </w:r>
    </w:p>
    <w:p>
      <w:pPr>
        <w:pStyle w:val="BodyText"/>
        <w:spacing w:before="10"/>
        <w:rPr>
          <w:b/>
          <w:i w:val="0"/>
          <w:sz w:val="21"/>
        </w:rPr>
      </w:pPr>
    </w:p>
    <w:p>
      <w:pPr>
        <w:pStyle w:val="Heading5"/>
        <w:rPr>
          <w:i/>
        </w:rPr>
      </w:pPr>
      <w:r>
        <w:rPr>
          <w:i/>
          <w:color w:val="FF0000"/>
        </w:rPr>
        <w:t>[Describe the methods used to confirm MPCA viability in the test material.]</w:t>
      </w:r>
    </w:p>
    <w:p>
      <w:pPr>
        <w:pStyle w:val="BodyText"/>
        <w:rPr>
          <w:i/>
          <w:sz w:val="24"/>
        </w:rPr>
      </w:pPr>
    </w:p>
    <w:p>
      <w:pPr>
        <w:spacing w:before="198"/>
        <w:ind w:left="860" w:right="256" w:firstLine="0"/>
        <w:jc w:val="left"/>
        <w:rPr>
          <w:i/>
          <w:sz w:val="16"/>
        </w:rPr>
      </w:pPr>
      <w:r>
        <w:rPr>
          <w:b/>
          <w:i/>
          <w:color w:val="0070C0"/>
          <w:sz w:val="16"/>
        </w:rPr>
        <w:t>U.S. EPA OCSPP 885.4240 </w:t>
      </w:r>
      <w:r>
        <w:rPr>
          <w:i/>
          <w:color w:val="0070C0"/>
          <w:sz w:val="16"/>
        </w:rPr>
        <w:t>No specific recommendations, however, the viability of the MPCA in the test substance should be confirmed. . </w:t>
      </w:r>
      <w:r>
        <w:rPr>
          <w:b/>
          <w:i/>
          <w:color w:val="0070C0"/>
          <w:sz w:val="16"/>
        </w:rPr>
        <w:t>From U.S. EPA OCSPP 885.4000 Background for Nontarget Organism Testing of Microbial Pesticide Control Agents </w:t>
      </w:r>
      <w:r>
        <w:rPr>
          <w:i/>
          <w:color w:val="0070C0"/>
          <w:sz w:val="16"/>
        </w:rPr>
        <w:t>The concentration of </w:t>
      </w:r>
      <w:r>
        <w:rPr>
          <w:i/>
          <w:color w:val="0070C0"/>
          <w:sz w:val="16"/>
        </w:rPr>
        <w:t>MPCA in the water or food must be monitored to ensure that the test organisms are exposed to a sufficient MPCA level throughout the test period.</w:t>
      </w:r>
    </w:p>
    <w:p>
      <w:pPr>
        <w:pStyle w:val="BodyText"/>
        <w:spacing w:before="38"/>
        <w:ind w:left="859" w:right="256"/>
      </w:pPr>
      <w:r>
        <w:rPr>
          <w:b/>
          <w:i/>
          <w:color w:val="0070C0"/>
        </w:rPr>
        <w:t>PMRA DIR 2001-02 </w:t>
      </w:r>
      <w:r>
        <w:rPr>
          <w:i/>
          <w:color w:val="0070C0"/>
        </w:rPr>
        <w:t>Viability or potency of the MPCA in the dosing suspension should be confirmed. No specific methods are recommended. </w:t>
      </w:r>
      <w:r>
        <w:rPr>
          <w:b/>
          <w:i/>
          <w:color w:val="0070C0"/>
        </w:rPr>
        <w:t>Environment Canada EPS 1/RM/44 </w:t>
      </w:r>
      <w:r>
        <w:rPr>
          <w:i/>
          <w:color w:val="0070C0"/>
        </w:rPr>
        <w:t>Analytical techniques permitting, the concentration of the MPCA in the test suspension in each treatment </w:t>
      </w:r>
      <w:r>
        <w:rPr>
          <w:color w:val="0070C0"/>
        </w:rPr>
        <w:t>(including controls) should be determined at the beginning and end of the test and at the beginning and end of at least one of the renewal cycles during each week of the test.</w:t>
      </w:r>
    </w:p>
    <w:p>
      <w:pPr>
        <w:pStyle w:val="BodyText"/>
        <w:spacing w:line="184" w:lineRule="exact" w:before="1"/>
        <w:ind w:left="1561" w:right="6856"/>
        <w:jc w:val="center"/>
        <w:rPr>
          <w:i/>
        </w:rPr>
      </w:pPr>
      <w:r>
        <w:rPr>
          <w:b/>
          <w:i/>
          <w:color w:val="0070C0"/>
        </w:rPr>
        <w:t>-</w:t>
      </w:r>
      <w:r>
        <w:rPr>
          <w:i/>
          <w:color w:val="0070C0"/>
          <w:u w:val="single" w:color="0070C0"/>
        </w:rPr>
        <w:t>Pelagic Aquatic Arthropods:</w:t>
      </w:r>
    </w:p>
    <w:p>
      <w:pPr>
        <w:pStyle w:val="BodyText"/>
        <w:ind w:left="859" w:right="306"/>
      </w:pPr>
      <w:r>
        <w:rPr>
          <w:b/>
          <w:i/>
          <w:color w:val="0070C0"/>
        </w:rPr>
        <w:t>OECD 202 and OECD 211 </w:t>
      </w:r>
      <w:r>
        <w:rPr>
          <w:i/>
          <w:color w:val="0070C0"/>
        </w:rPr>
        <w:t>No specific recommendations for viability testing (guideline was designed for chemical toxicity testing). However, </w:t>
      </w:r>
      <w:r>
        <w:rPr>
          <w:color w:val="0070C0"/>
        </w:rPr>
        <w:t>the concentration of test substance should be measured at minimum at the highest and lowest test concentration, at the beginning, and end.</w:t>
      </w:r>
    </w:p>
    <w:p>
      <w:pPr>
        <w:pStyle w:val="BodyText"/>
        <w:spacing w:line="184" w:lineRule="exact" w:before="1"/>
        <w:ind w:left="859"/>
        <w:rPr>
          <w:i/>
        </w:rPr>
      </w:pPr>
      <w:r>
        <w:rPr>
          <w:i/>
          <w:color w:val="0070C0"/>
        </w:rPr>
        <w:t>Results should be based on measured concentrations.</w:t>
      </w:r>
    </w:p>
    <w:p>
      <w:pPr>
        <w:pStyle w:val="BodyText"/>
        <w:ind w:left="1561" w:right="6856"/>
        <w:jc w:val="center"/>
        <w:rPr>
          <w:i/>
        </w:rPr>
      </w:pPr>
      <w:r>
        <w:rPr>
          <w:b/>
          <w:i/>
          <w:color w:val="0070C0"/>
        </w:rPr>
        <w:t>-</w:t>
      </w:r>
      <w:r>
        <w:rPr>
          <w:i/>
          <w:color w:val="0070C0"/>
          <w:u w:val="single" w:color="0070C0"/>
        </w:rPr>
        <w:t>Benthic Aquatic Arthropods:</w:t>
      </w:r>
    </w:p>
    <w:p>
      <w:pPr>
        <w:spacing w:after="0"/>
        <w:jc w:val="center"/>
        <w:sectPr>
          <w:pgSz w:w="12240" w:h="15840"/>
          <w:pgMar w:header="729" w:footer="1084" w:top="1940" w:bottom="1280" w:left="940" w:right="940"/>
        </w:sectPr>
      </w:pPr>
    </w:p>
    <w:p>
      <w:pPr>
        <w:pStyle w:val="BodyText"/>
        <w:spacing w:before="6"/>
        <w:rPr>
          <w:i/>
          <w:sz w:val="15"/>
        </w:rPr>
      </w:pPr>
    </w:p>
    <w:p>
      <w:pPr>
        <w:pStyle w:val="BodyText"/>
        <w:spacing w:before="1"/>
        <w:ind w:left="859" w:right="190"/>
      </w:pPr>
      <w:r>
        <w:rPr>
          <w:b/>
          <w:i/>
          <w:color w:val="0070C0"/>
        </w:rPr>
        <w:t>OECD 218 and 219    </w:t>
      </w:r>
      <w:r>
        <w:rPr>
          <w:i/>
          <w:color w:val="0070C0"/>
        </w:rPr>
        <w:t>The use of solvents or dispersants may be required in some cases in order to produce a suitably concentrated stock </w:t>
      </w:r>
      <w:r>
        <w:rPr>
          <w:color w:val="0070C0"/>
        </w:rPr>
        <w:t>solution. Examples are acetone, ethanol, methanol, ethylene glycol, monoethyl ether, ethylene glycol dimethyl ether, dimethylformamide and triethylene glycol. Dispersants which may be used are Cremophor RH40, Tween 80, methylcellulose 0.01% and HCO-40. The solubilising agent concentration in the final test medium should be minimal (i.e., ≤0.1 mL/L) and should be the same in all treatments. Every effort should be made to avoid the use of such materials.</w:t>
      </w:r>
    </w:p>
    <w:p>
      <w:pPr>
        <w:pStyle w:val="BodyText"/>
        <w:spacing w:before="2"/>
        <w:rPr>
          <w:i/>
          <w:sz w:val="22"/>
        </w:rPr>
      </w:pPr>
    </w:p>
    <w:p>
      <w:pPr>
        <w:pStyle w:val="Heading2"/>
        <w:spacing w:before="1"/>
        <w:rPr>
          <w:b w:val="0"/>
          <w:i/>
        </w:rPr>
      </w:pPr>
      <w:r>
        <w:rPr/>
        <w:t>Positive control / reference material: </w:t>
      </w:r>
      <w:r>
        <w:rPr>
          <w:b w:val="0"/>
          <w:i/>
          <w:color w:val="FF0000"/>
        </w:rPr>
        <w:t>[if used]</w:t>
      </w:r>
    </w:p>
    <w:p>
      <w:pPr>
        <w:pStyle w:val="BodyText"/>
        <w:rPr>
          <w:i/>
          <w:sz w:val="22"/>
        </w:rPr>
      </w:pPr>
    </w:p>
    <w:p>
      <w:pPr>
        <w:pStyle w:val="Heading5"/>
        <w:rPr>
          <w:i/>
        </w:rPr>
      </w:pPr>
      <w:r>
        <w:rPr>
          <w:i/>
          <w:color w:val="FF0000"/>
        </w:rPr>
        <w:t>[Insert a description of the reference material and frequency of testing (if not concurrent).]</w:t>
      </w:r>
    </w:p>
    <w:p>
      <w:pPr>
        <w:pStyle w:val="BodyText"/>
        <w:rPr>
          <w:i/>
          <w:sz w:val="24"/>
        </w:rPr>
      </w:pPr>
    </w:p>
    <w:p>
      <w:pPr>
        <w:pStyle w:val="BodyText"/>
        <w:spacing w:before="196"/>
        <w:ind w:left="860" w:right="214" w:hanging="1"/>
      </w:pPr>
      <w:r>
        <w:rPr>
          <w:b/>
          <w:i/>
          <w:color w:val="0070C0"/>
        </w:rPr>
        <w:t>U.S. EPA OCSPP 885.4240 </w:t>
      </w:r>
      <w:r>
        <w:rPr>
          <w:i/>
          <w:color w:val="0070C0"/>
        </w:rPr>
        <w:t>Any substances used to enhance virulence should be tested along with the test substance. </w:t>
      </w:r>
      <w:r>
        <w:rPr>
          <w:b/>
          <w:i/>
          <w:color w:val="0070C0"/>
        </w:rPr>
        <w:t>From U.S. EPA OCSPP </w:t>
      </w:r>
      <w:r>
        <w:rPr>
          <w:b/>
          <w:color w:val="0070C0"/>
        </w:rPr>
        <w:t>885.0001 Overview for Microbial Pest Control Agents </w:t>
      </w:r>
      <w:r>
        <w:rPr>
          <w:i/>
          <w:color w:val="0070C0"/>
        </w:rPr>
        <w:t>Positive controls generally are not required unless to serve as internal quality controls, </w:t>
      </w:r>
      <w:r>
        <w:rPr>
          <w:color w:val="0070C0"/>
        </w:rPr>
        <w:t>demonstrate known test organism sensitivity and respond to known toxic or infective agents, and/or to ascertain if a strain or species reacts similarly to another strain or species when exposed to the same known or standard toxicant or infective agent.</w:t>
      </w:r>
    </w:p>
    <w:p>
      <w:pPr>
        <w:pStyle w:val="BodyText"/>
        <w:spacing w:before="39"/>
        <w:ind w:left="859" w:right="198"/>
      </w:pPr>
      <w:r>
        <w:rPr>
          <w:b/>
          <w:i/>
          <w:color w:val="0070C0"/>
        </w:rPr>
        <w:t>PMRA DIR 2001-02 </w:t>
      </w:r>
      <w:r>
        <w:rPr>
          <w:i/>
          <w:color w:val="0070C0"/>
        </w:rPr>
        <w:t>No reference toxicant substance is required, but for all tests, the activity level of the MPCA should be related to its </w:t>
      </w:r>
      <w:r>
        <w:rPr>
          <w:color w:val="0070C0"/>
        </w:rPr>
        <w:t>pesticidal capability by running parallel studies in which target pests or hosts are exposed to the MPCA. Alternatively, the activity of the MPCA, in terms of viability can be assessed by another technique, e.g., culturing on a synthetic medium</w:t>
      </w:r>
    </w:p>
    <w:p>
      <w:pPr>
        <w:pStyle w:val="BodyText"/>
        <w:ind w:left="859" w:right="682"/>
      </w:pPr>
      <w:r>
        <w:rPr>
          <w:b/>
          <w:i/>
          <w:color w:val="0070C0"/>
        </w:rPr>
        <w:t>Environment Canada EPS 1/RM/44 </w:t>
      </w:r>
      <w:r>
        <w:rPr>
          <w:i/>
          <w:color w:val="0070C0"/>
        </w:rPr>
        <w:t>The inclusion of a positive microbial control is not required and is not recommended for most </w:t>
      </w:r>
      <w:r>
        <w:rPr>
          <w:color w:val="0070C0"/>
        </w:rPr>
        <w:t>applications. In instances where a suitable pathogen is available (i.e., genetically related with known toxic/pathogenic effects), a positive microbial control might be warranted. A positive chemical control is not required.</w:t>
      </w:r>
    </w:p>
    <w:p>
      <w:pPr>
        <w:pStyle w:val="BodyText"/>
        <w:spacing w:line="184" w:lineRule="exact" w:before="1"/>
        <w:ind w:left="1579"/>
        <w:rPr>
          <w:i/>
        </w:rPr>
      </w:pPr>
      <w:r>
        <w:rPr>
          <w:b/>
          <w:i/>
          <w:color w:val="0070C0"/>
        </w:rPr>
        <w:t>-</w:t>
      </w:r>
      <w:r>
        <w:rPr>
          <w:i/>
          <w:color w:val="0070C0"/>
          <w:u w:val="single" w:color="0070C0"/>
        </w:rPr>
        <w:t>Pelagic Aquatic Arthropods:</w:t>
      </w:r>
    </w:p>
    <w:p>
      <w:pPr>
        <w:pStyle w:val="BodyText"/>
        <w:spacing w:line="235" w:lineRule="auto" w:before="3"/>
        <w:ind w:left="859" w:right="162"/>
      </w:pPr>
      <w:r>
        <w:rPr>
          <w:b/>
          <w:i/>
          <w:color w:val="0070C0"/>
        </w:rPr>
        <w:t>OECD 202 </w:t>
      </w:r>
      <w:r>
        <w:rPr>
          <w:i/>
          <w:color w:val="0070C0"/>
        </w:rPr>
        <w:t>A reference substance may be tested for EC</w:t>
      </w:r>
      <w:r>
        <w:rPr>
          <w:i/>
          <w:color w:val="0070C0"/>
          <w:position w:val="-1"/>
          <w:sz w:val="10"/>
        </w:rPr>
        <w:t>50 </w:t>
      </w:r>
      <w:r>
        <w:rPr>
          <w:i/>
          <w:color w:val="0070C0"/>
        </w:rPr>
        <w:t>as a means of assuring that the test conditions are reliable. Toxicants used in </w:t>
      </w:r>
      <w:r>
        <w:rPr>
          <w:color w:val="0070C0"/>
        </w:rPr>
        <w:t>international ring-tests are recommended for this purpose. Test(s) with a reference substance should be done preferably every month and at least twice a year.</w:t>
      </w:r>
    </w:p>
    <w:p>
      <w:pPr>
        <w:spacing w:before="0"/>
        <w:ind w:left="859" w:right="0" w:firstLine="0"/>
        <w:jc w:val="left"/>
        <w:rPr>
          <w:i/>
          <w:sz w:val="16"/>
        </w:rPr>
      </w:pPr>
      <w:r>
        <w:rPr>
          <w:b/>
          <w:i/>
          <w:color w:val="0070C0"/>
          <w:sz w:val="16"/>
        </w:rPr>
        <w:t>OECD 211   </w:t>
      </w:r>
      <w:r>
        <w:rPr>
          <w:i/>
          <w:color w:val="0070C0"/>
          <w:sz w:val="16"/>
        </w:rPr>
        <w:t>No specific recommendations.</w:t>
      </w:r>
    </w:p>
    <w:p>
      <w:pPr>
        <w:pStyle w:val="BodyText"/>
        <w:spacing w:line="184" w:lineRule="exact"/>
        <w:ind w:left="1580"/>
        <w:rPr>
          <w:i/>
        </w:rPr>
      </w:pPr>
      <w:r>
        <w:rPr>
          <w:b/>
          <w:i/>
          <w:color w:val="0070C0"/>
        </w:rPr>
        <w:t>-</w:t>
      </w:r>
      <w:r>
        <w:rPr>
          <w:i/>
          <w:color w:val="0070C0"/>
          <w:u w:val="single" w:color="0070C0"/>
        </w:rPr>
        <w:t>Benthic Aquatic Arthropods:</w:t>
      </w:r>
    </w:p>
    <w:p>
      <w:pPr>
        <w:pStyle w:val="BodyText"/>
        <w:ind w:left="860" w:right="306"/>
      </w:pPr>
      <w:r>
        <w:rPr>
          <w:b/>
          <w:i/>
          <w:color w:val="0070C0"/>
        </w:rPr>
        <w:t>OECD 218 and 219 </w:t>
      </w:r>
      <w:r>
        <w:rPr>
          <w:i/>
          <w:color w:val="0070C0"/>
        </w:rPr>
        <w:t>Reference substances may be tested periodically as a means of assuring that the test protocol and test conditions are </w:t>
      </w:r>
      <w:r>
        <w:rPr>
          <w:color w:val="0070C0"/>
        </w:rPr>
        <w:t>reliable. Examples of reference toxicants used successfully are lindane, trifluralin, pentachlorophenol, cadmium chloride and potassium chloride.</w:t>
      </w:r>
    </w:p>
    <w:p>
      <w:pPr>
        <w:pStyle w:val="BodyText"/>
        <w:spacing w:before="3"/>
        <w:rPr>
          <w:i/>
          <w:sz w:val="22"/>
        </w:rPr>
      </w:pPr>
    </w:p>
    <w:p>
      <w:pPr>
        <w:pStyle w:val="Heading2"/>
      </w:pPr>
      <w:r>
        <w:rPr/>
        <w:t>Other controls:</w:t>
      </w:r>
    </w:p>
    <w:p>
      <w:pPr>
        <w:pStyle w:val="BodyText"/>
        <w:spacing w:before="10"/>
        <w:rPr>
          <w:b/>
          <w:i w:val="0"/>
          <w:sz w:val="21"/>
        </w:rPr>
      </w:pPr>
    </w:p>
    <w:p>
      <w:pPr>
        <w:pStyle w:val="Heading5"/>
        <w:rPr>
          <w:i/>
        </w:rPr>
      </w:pPr>
      <w:r>
        <w:rPr>
          <w:i/>
          <w:color w:val="FF0000"/>
        </w:rPr>
        <w:t>[Describe the other controls used.]</w:t>
      </w:r>
    </w:p>
    <w:p>
      <w:pPr>
        <w:pStyle w:val="BodyText"/>
        <w:rPr>
          <w:i/>
          <w:sz w:val="24"/>
        </w:rPr>
      </w:pPr>
    </w:p>
    <w:p>
      <w:pPr>
        <w:pStyle w:val="BodyText"/>
        <w:spacing w:before="197"/>
        <w:ind w:left="859" w:right="214"/>
      </w:pPr>
      <w:r>
        <w:rPr>
          <w:b/>
          <w:i/>
          <w:color w:val="0070C0"/>
        </w:rPr>
        <w:t>U.S. EPA OCSPP 885.4240 </w:t>
      </w:r>
      <w:r>
        <w:rPr>
          <w:i/>
          <w:color w:val="0070C0"/>
        </w:rPr>
        <w:t>A concurrent, negative, non-dosed control group should be included in addition to another control group in which </w:t>
      </w:r>
      <w:r>
        <w:rPr>
          <w:color w:val="0070C0"/>
        </w:rPr>
        <w:t>invertebrates are exposed to sterile culture filtrate from production cultures. </w:t>
      </w:r>
      <w:r>
        <w:rPr>
          <w:b/>
          <w:i/>
          <w:color w:val="0070C0"/>
        </w:rPr>
        <w:t>From U.S. EPA OCSPP 885.0001 Overview for Microbial Pest </w:t>
      </w:r>
      <w:r>
        <w:rPr>
          <w:b/>
          <w:color w:val="0070C0"/>
        </w:rPr>
        <w:t>Control Agents </w:t>
      </w:r>
      <w:r>
        <w:rPr>
          <w:i/>
          <w:color w:val="0070C0"/>
        </w:rPr>
        <w:t>All controls shall, to the extent possible, be from the same source, be of the same age, receive the same care, and receive the </w:t>
      </w:r>
      <w:r>
        <w:rPr>
          <w:color w:val="0070C0"/>
        </w:rPr>
        <w:t>same nutrients as the animals or plants receiving the test substance. To prevent bias, a method to assign organisms to treatment and control groups randomly is required and must be referenced in the report.</w:t>
      </w:r>
    </w:p>
    <w:p>
      <w:pPr>
        <w:pStyle w:val="BodyText"/>
        <w:spacing w:before="37"/>
        <w:ind w:left="859"/>
        <w:rPr>
          <w:i/>
        </w:rPr>
      </w:pPr>
      <w:r>
        <w:rPr>
          <w:b/>
          <w:i/>
          <w:color w:val="0070C0"/>
        </w:rPr>
        <w:t>PMRA DIR 2001-02  </w:t>
      </w:r>
      <w:r>
        <w:rPr>
          <w:i/>
          <w:color w:val="0070C0"/>
        </w:rPr>
        <w:t>A negative, non-dosed control group of the non-target organism should also be run concurrently with the test group.</w:t>
      </w:r>
    </w:p>
    <w:p>
      <w:pPr>
        <w:pStyle w:val="BodyText"/>
        <w:ind w:left="1579"/>
        <w:rPr>
          <w:i/>
        </w:rPr>
      </w:pPr>
      <w:r>
        <w:rPr>
          <w:b/>
          <w:i/>
          <w:color w:val="0070C0"/>
        </w:rPr>
        <w:t>-</w:t>
      </w:r>
      <w:r>
        <w:rPr>
          <w:i/>
          <w:color w:val="0070C0"/>
          <w:u w:val="single" w:color="0070C0"/>
        </w:rPr>
        <w:t>Pelagic Aquatic Arthropods:</w:t>
      </w:r>
    </w:p>
    <w:p>
      <w:pPr>
        <w:pStyle w:val="BodyText"/>
        <w:ind w:left="859" w:right="306"/>
      </w:pPr>
      <w:r>
        <w:rPr>
          <w:b/>
          <w:i/>
          <w:color w:val="0070C0"/>
        </w:rPr>
        <w:t>Environment Canada EPS 1/RM/44 </w:t>
      </w:r>
      <w:r>
        <w:rPr>
          <w:i/>
          <w:color w:val="0070C0"/>
        </w:rPr>
        <w:t>A negative control is required, and a non-infectious control is strongly recommended. A sterile culture </w:t>
      </w:r>
      <w:r>
        <w:rPr>
          <w:color w:val="0070C0"/>
        </w:rPr>
        <w:t>filtrate control is optional.</w:t>
      </w:r>
    </w:p>
    <w:p>
      <w:pPr>
        <w:pStyle w:val="BodyText"/>
        <w:ind w:left="859" w:right="306"/>
      </w:pPr>
      <w:r>
        <w:rPr>
          <w:b/>
          <w:i/>
          <w:color w:val="0070C0"/>
        </w:rPr>
        <w:t>OECD 202 </w:t>
      </w:r>
      <w:r>
        <w:rPr>
          <w:i/>
          <w:color w:val="0070C0"/>
        </w:rPr>
        <w:t>One dilution-water control series and also, if relevant, one control series containing the solubilizing agent (solvent control) at the </w:t>
      </w:r>
      <w:r>
        <w:rPr>
          <w:color w:val="0070C0"/>
        </w:rPr>
        <w:t>level used in treatments.</w:t>
      </w:r>
    </w:p>
    <w:p>
      <w:pPr>
        <w:pStyle w:val="BodyText"/>
        <w:ind w:left="859" w:right="335"/>
      </w:pPr>
      <w:r>
        <w:rPr>
          <w:b/>
          <w:i/>
          <w:color w:val="0070C0"/>
        </w:rPr>
        <w:t>OECD 211 </w:t>
      </w:r>
      <w:r>
        <w:rPr>
          <w:i/>
          <w:color w:val="0070C0"/>
        </w:rPr>
        <w:t>One test-medium control series and also, if relevant, one control series containing the solvent or dispersant should be run in </w:t>
      </w:r>
      <w:r>
        <w:rPr>
          <w:color w:val="0070C0"/>
        </w:rPr>
        <w:t>addition to the test series. When used, the solvent or dispersant concentration should be the same as that used in the vessels containing the test substance.</w:t>
      </w:r>
    </w:p>
    <w:p>
      <w:pPr>
        <w:pStyle w:val="BodyText"/>
        <w:spacing w:line="183" w:lineRule="exact"/>
        <w:ind w:left="1579"/>
        <w:rPr>
          <w:i/>
        </w:rPr>
      </w:pPr>
      <w:r>
        <w:rPr>
          <w:b/>
          <w:i/>
          <w:color w:val="0070C0"/>
        </w:rPr>
        <w:t>-</w:t>
      </w:r>
      <w:r>
        <w:rPr>
          <w:i/>
          <w:color w:val="0070C0"/>
          <w:u w:val="single" w:color="0070C0"/>
        </w:rPr>
        <w:t>Benthic Aquatic Arthropods:</w:t>
      </w:r>
    </w:p>
    <w:p>
      <w:pPr>
        <w:pStyle w:val="BodyText"/>
        <w:ind w:left="860" w:right="256"/>
      </w:pPr>
      <w:r>
        <w:rPr>
          <w:b/>
          <w:i/>
          <w:color w:val="0070C0"/>
        </w:rPr>
        <w:t>Environment Canada EPS 1/RM/44 </w:t>
      </w:r>
      <w:r>
        <w:rPr>
          <w:i/>
          <w:color w:val="0070C0"/>
        </w:rPr>
        <w:t>Each test must include a negative control comprised of clean sediment and clean overlying water.  Use of </w:t>
      </w:r>
      <w:r>
        <w:rPr>
          <w:color w:val="0070C0"/>
        </w:rPr>
        <w:t>a non-infectious control is strongly recommended. The use of a sterile filtrate control is</w:t>
      </w:r>
      <w:r>
        <w:rPr>
          <w:color w:val="0070C0"/>
          <w:spacing w:val="9"/>
        </w:rPr>
        <w:t> </w:t>
      </w:r>
      <w:r>
        <w:rPr>
          <w:color w:val="0070C0"/>
        </w:rPr>
        <w:t>optional.</w:t>
      </w:r>
    </w:p>
    <w:p>
      <w:pPr>
        <w:pStyle w:val="BodyText"/>
        <w:ind w:left="859" w:right="155"/>
      </w:pPr>
      <w:r>
        <w:rPr>
          <w:b/>
          <w:i/>
          <w:color w:val="0070C0"/>
        </w:rPr>
        <w:t>OECD 218 and 219 </w:t>
      </w:r>
      <w:r>
        <w:rPr>
          <w:i/>
          <w:color w:val="0070C0"/>
        </w:rPr>
        <w:t>Control vessels without any test chemical but including sediment should be included in the test with the appropriate number </w:t>
      </w:r>
      <w:r>
        <w:rPr>
          <w:color w:val="0070C0"/>
        </w:rPr>
        <w:t>of replicates. If a solvent has been used for application of the test substance, as sediment solvent control should be added.</w:t>
      </w:r>
    </w:p>
    <w:p>
      <w:pPr>
        <w:pStyle w:val="BodyText"/>
        <w:spacing w:before="2"/>
        <w:rPr>
          <w:i/>
          <w:sz w:val="22"/>
        </w:rPr>
      </w:pPr>
    </w:p>
    <w:p>
      <w:pPr>
        <w:pStyle w:val="Heading2"/>
      </w:pPr>
      <w:r>
        <w:rPr/>
        <w:t>Number of replicates/groups:</w:t>
      </w:r>
    </w:p>
    <w:p>
      <w:pPr>
        <w:pStyle w:val="BodyText"/>
        <w:spacing w:before="3"/>
        <w:rPr>
          <w:b/>
          <w:i w:val="0"/>
          <w:sz w:val="25"/>
        </w:rPr>
      </w:pPr>
    </w:p>
    <w:p>
      <w:pPr>
        <w:pStyle w:val="Heading4"/>
        <w:ind w:right="8429"/>
      </w:pPr>
      <w:r>
        <w:rPr/>
        <w:t>Control(s): Treatments:</w:t>
      </w:r>
    </w:p>
    <w:p>
      <w:pPr>
        <w:spacing w:after="0"/>
        <w:sectPr>
          <w:pgSz w:w="12240" w:h="15840"/>
          <w:pgMar w:header="729" w:footer="1084" w:top="1940" w:bottom="1280" w:left="940" w:right="940"/>
        </w:sectPr>
      </w:pPr>
    </w:p>
    <w:p>
      <w:pPr>
        <w:pStyle w:val="BodyText"/>
        <w:rPr>
          <w:i w:val="0"/>
          <w:sz w:val="20"/>
        </w:rPr>
      </w:pPr>
    </w:p>
    <w:p>
      <w:pPr>
        <w:pStyle w:val="BodyText"/>
        <w:spacing w:before="11"/>
        <w:rPr>
          <w:i w:val="0"/>
          <w:sz w:val="28"/>
        </w:rPr>
      </w:pPr>
    </w:p>
    <w:p>
      <w:pPr>
        <w:spacing w:before="93"/>
        <w:ind w:left="860" w:right="0" w:firstLine="0"/>
        <w:jc w:val="left"/>
        <w:rPr>
          <w:i/>
          <w:sz w:val="16"/>
        </w:rPr>
      </w:pPr>
      <w:r>
        <w:rPr>
          <w:b/>
          <w:i/>
          <w:color w:val="0070C0"/>
          <w:sz w:val="16"/>
        </w:rPr>
        <w:t>U.S. EPA OCSPP 885.4240   </w:t>
      </w:r>
      <w:r>
        <w:rPr>
          <w:i/>
          <w:color w:val="0070C0"/>
          <w:sz w:val="16"/>
        </w:rPr>
        <w:t>No specific recommendations.</w:t>
      </w:r>
    </w:p>
    <w:p>
      <w:pPr>
        <w:spacing w:before="38"/>
        <w:ind w:left="860" w:right="0" w:firstLine="0"/>
        <w:jc w:val="left"/>
        <w:rPr>
          <w:i/>
          <w:sz w:val="16"/>
        </w:rPr>
      </w:pPr>
      <w:r>
        <w:rPr>
          <w:b/>
          <w:i/>
          <w:color w:val="0070C0"/>
          <w:sz w:val="16"/>
        </w:rPr>
        <w:t>PMRA DIR 2001-02   </w:t>
      </w:r>
      <w:r>
        <w:rPr>
          <w:i/>
          <w:color w:val="0070C0"/>
          <w:sz w:val="16"/>
        </w:rPr>
        <w:t>No specific recommendations.</w:t>
      </w:r>
    </w:p>
    <w:p>
      <w:pPr>
        <w:pStyle w:val="BodyText"/>
        <w:spacing w:line="184" w:lineRule="exact"/>
        <w:ind w:left="1561" w:right="6856"/>
        <w:jc w:val="center"/>
        <w:rPr>
          <w:i/>
        </w:rPr>
      </w:pPr>
      <w:r>
        <w:rPr>
          <w:b/>
          <w:i/>
          <w:color w:val="0070C0"/>
        </w:rPr>
        <w:t>-</w:t>
      </w:r>
      <w:r>
        <w:rPr>
          <w:i/>
          <w:color w:val="0070C0"/>
          <w:u w:val="single" w:color="0070C0"/>
        </w:rPr>
        <w:t>Pelagic Aquatic Arthropods:</w:t>
      </w:r>
    </w:p>
    <w:p>
      <w:pPr>
        <w:pStyle w:val="BodyText"/>
        <w:ind w:left="860" w:hanging="1"/>
      </w:pPr>
      <w:r>
        <w:rPr>
          <w:b/>
          <w:i/>
          <w:color w:val="0070C0"/>
        </w:rPr>
        <w:t>Environment Canada EPS 1/RM/44 </w:t>
      </w:r>
      <w:r>
        <w:rPr>
          <w:i/>
          <w:color w:val="0070C0"/>
          <w:u w:val="single" w:color="0070C0"/>
        </w:rPr>
        <w:t>For daphnids</w:t>
      </w:r>
      <w:r>
        <w:rPr>
          <w:i/>
          <w:color w:val="0070C0"/>
        </w:rPr>
        <w:t>, at least ten replicates per treatment concentration and control. </w:t>
      </w:r>
      <w:r>
        <w:rPr>
          <w:i/>
          <w:color w:val="0070C0"/>
          <w:u w:val="single" w:color="0070C0"/>
        </w:rPr>
        <w:t>For shrimp</w:t>
      </w:r>
      <w:r>
        <w:rPr>
          <w:i/>
          <w:color w:val="0070C0"/>
        </w:rPr>
        <w:t>, 3 replicates per </w:t>
      </w:r>
      <w:r>
        <w:rPr>
          <w:color w:val="0070C0"/>
        </w:rPr>
        <w:t>treatment concentration and control.</w:t>
      </w:r>
    </w:p>
    <w:p>
      <w:pPr>
        <w:pStyle w:val="BodyText"/>
        <w:spacing w:line="184" w:lineRule="exact" w:before="1"/>
        <w:ind w:left="859"/>
        <w:rPr>
          <w:i/>
        </w:rPr>
      </w:pPr>
      <w:r>
        <w:rPr>
          <w:b/>
          <w:i/>
          <w:color w:val="0070C0"/>
        </w:rPr>
        <w:t>OECD 202   </w:t>
      </w:r>
      <w:r>
        <w:rPr>
          <w:i/>
          <w:color w:val="0070C0"/>
        </w:rPr>
        <w:t>Preferably four replicates per treatment or control.</w:t>
      </w:r>
    </w:p>
    <w:p>
      <w:pPr>
        <w:pStyle w:val="BodyText"/>
        <w:spacing w:line="184" w:lineRule="exact"/>
        <w:ind w:left="859"/>
        <w:rPr>
          <w:i/>
        </w:rPr>
      </w:pPr>
      <w:r>
        <w:rPr>
          <w:b/>
          <w:i/>
          <w:color w:val="0070C0"/>
        </w:rPr>
        <w:t>OECD 211  </w:t>
      </w:r>
      <w:r>
        <w:rPr>
          <w:i/>
          <w:color w:val="0070C0"/>
        </w:rPr>
        <w:t>For static-renewal testing, ten replicates per treatment or control. For flow-through testing, ≥2 replicates (4 recommended).</w:t>
      </w:r>
    </w:p>
    <w:p>
      <w:pPr>
        <w:pStyle w:val="BodyText"/>
        <w:ind w:left="1561" w:right="6856"/>
        <w:jc w:val="center"/>
        <w:rPr>
          <w:i/>
        </w:rPr>
      </w:pPr>
      <w:r>
        <w:rPr>
          <w:b/>
          <w:i/>
          <w:color w:val="0070C0"/>
        </w:rPr>
        <w:t>-</w:t>
      </w:r>
      <w:r>
        <w:rPr>
          <w:i/>
          <w:color w:val="0070C0"/>
          <w:u w:val="single" w:color="0070C0"/>
        </w:rPr>
        <w:t>Benthic Aquatic Arthropods:</w:t>
      </w:r>
    </w:p>
    <w:p>
      <w:pPr>
        <w:spacing w:line="184" w:lineRule="exact" w:before="0"/>
        <w:ind w:left="860" w:right="0" w:firstLine="0"/>
        <w:jc w:val="left"/>
        <w:rPr>
          <w:i/>
          <w:sz w:val="16"/>
        </w:rPr>
      </w:pPr>
      <w:r>
        <w:rPr>
          <w:b/>
          <w:i/>
          <w:color w:val="0070C0"/>
          <w:sz w:val="16"/>
        </w:rPr>
        <w:t>Environment Canada EPS 1/RM/44   </w:t>
      </w:r>
      <w:r>
        <w:rPr>
          <w:i/>
          <w:color w:val="0070C0"/>
          <w:sz w:val="16"/>
        </w:rPr>
        <w:t>Five replicates per treatment concentration and control.</w:t>
      </w:r>
    </w:p>
    <w:p>
      <w:pPr>
        <w:pStyle w:val="BodyText"/>
        <w:spacing w:line="235" w:lineRule="auto" w:before="2"/>
        <w:ind w:left="860" w:right="306" w:hanging="1"/>
      </w:pPr>
      <w:r>
        <w:rPr>
          <w:b/>
          <w:i/>
          <w:color w:val="0070C0"/>
        </w:rPr>
        <w:t>OECD 218 and 219 </w:t>
      </w:r>
      <w:r>
        <w:rPr>
          <w:i/>
          <w:color w:val="0070C0"/>
        </w:rPr>
        <w:t>The number of replicates depends on the desired output. For analysis by regression (calculation of an EC</w:t>
      </w:r>
      <w:r>
        <w:rPr>
          <w:i/>
          <w:color w:val="0070C0"/>
          <w:position w:val="-1"/>
          <w:sz w:val="10"/>
        </w:rPr>
        <w:t>X</w:t>
      </w:r>
      <w:r>
        <w:rPr>
          <w:i/>
          <w:color w:val="0070C0"/>
        </w:rPr>
        <w:t>), ≥3 replicates </w:t>
      </w:r>
      <w:r>
        <w:rPr>
          <w:color w:val="0070C0"/>
        </w:rPr>
        <w:t>are required. Use additional replicates to estimate 10-day larval survival and growth. For estimation of a NOEC or LOEC, ≥4 replicates are required for statistical power.  For a limit test use ≥6 replicates.</w:t>
      </w:r>
    </w:p>
    <w:p>
      <w:pPr>
        <w:pStyle w:val="BodyText"/>
        <w:spacing w:before="2"/>
        <w:rPr>
          <w:i/>
          <w:sz w:val="22"/>
        </w:rPr>
      </w:pPr>
    </w:p>
    <w:p>
      <w:pPr>
        <w:pStyle w:val="Heading2"/>
      </w:pPr>
      <w:r>
        <w:rPr/>
        <w:t>Number of organisms per replicate /groups:</w:t>
      </w:r>
    </w:p>
    <w:p>
      <w:pPr>
        <w:pStyle w:val="BodyText"/>
        <w:spacing w:before="9"/>
        <w:rPr>
          <w:b/>
          <w:i w:val="0"/>
          <w:sz w:val="21"/>
        </w:rPr>
      </w:pPr>
    </w:p>
    <w:p>
      <w:pPr>
        <w:pStyle w:val="Heading4"/>
        <w:ind w:right="8453"/>
      </w:pPr>
      <w:r>
        <w:rPr/>
        <w:t>Control(s): </w:t>
      </w:r>
      <w:r>
        <w:rPr>
          <w:w w:val="95"/>
        </w:rPr>
        <w:t>Treatments:</w:t>
      </w:r>
    </w:p>
    <w:p>
      <w:pPr>
        <w:pStyle w:val="BodyText"/>
        <w:rPr>
          <w:i w:val="0"/>
          <w:sz w:val="24"/>
        </w:rPr>
      </w:pPr>
    </w:p>
    <w:p>
      <w:pPr>
        <w:pStyle w:val="BodyText"/>
        <w:spacing w:before="199"/>
        <w:ind w:left="859" w:right="214"/>
      </w:pPr>
      <w:r>
        <w:rPr>
          <w:b/>
          <w:i/>
          <w:color w:val="0070C0"/>
        </w:rPr>
        <w:t>U.S. EPA OCSPP 885.4240 </w:t>
      </w:r>
      <w:r>
        <w:rPr>
          <w:i/>
          <w:color w:val="0070C0"/>
        </w:rPr>
        <w:t>20 invertebrates per test concentration for multiple dose testing. 50 invertebrates per test concentration for single- </w:t>
      </w:r>
      <w:r>
        <w:rPr>
          <w:color w:val="0070C0"/>
        </w:rPr>
        <w:t>dose testing.</w:t>
      </w:r>
    </w:p>
    <w:p>
      <w:pPr>
        <w:pStyle w:val="BodyText"/>
        <w:spacing w:before="38"/>
        <w:ind w:left="859" w:right="214"/>
      </w:pPr>
      <w:r>
        <w:rPr>
          <w:b/>
          <w:i/>
          <w:color w:val="0070C0"/>
        </w:rPr>
        <w:t>PMRA DIR 2001-02 </w:t>
      </w:r>
      <w:r>
        <w:rPr>
          <w:i/>
          <w:color w:val="0070C0"/>
        </w:rPr>
        <w:t>A sufficient number of test organisms must be treated to allow for adequate controls, statistical analysis, interpretation of </w:t>
      </w:r>
      <w:r>
        <w:rPr>
          <w:color w:val="0070C0"/>
        </w:rPr>
        <w:t>data and for interim sacrifice, if applicable. The number in each test group will depend on the species to be tested, the expected duration of the study, whether single or multiple groups are to be treated (e.g., for D. magna 50 arthropods recommended).</w:t>
      </w:r>
    </w:p>
    <w:p>
      <w:pPr>
        <w:pStyle w:val="BodyText"/>
        <w:spacing w:line="184" w:lineRule="exact" w:before="1"/>
        <w:ind w:left="1561" w:right="6856"/>
        <w:jc w:val="center"/>
        <w:rPr>
          <w:i/>
        </w:rPr>
      </w:pPr>
      <w:r>
        <w:rPr>
          <w:b/>
          <w:i/>
          <w:color w:val="0070C0"/>
        </w:rPr>
        <w:t>-</w:t>
      </w:r>
      <w:r>
        <w:rPr>
          <w:i/>
          <w:color w:val="0070C0"/>
          <w:u w:val="single" w:color="0070C0"/>
        </w:rPr>
        <w:t>Pelagic Aquatic Arthropods:</w:t>
      </w:r>
    </w:p>
    <w:p>
      <w:pPr>
        <w:spacing w:before="0"/>
        <w:ind w:left="860" w:right="0" w:hanging="1"/>
        <w:jc w:val="left"/>
        <w:rPr>
          <w:i/>
          <w:sz w:val="16"/>
        </w:rPr>
      </w:pPr>
      <w:r>
        <w:rPr>
          <w:b/>
          <w:i/>
          <w:color w:val="0070C0"/>
          <w:sz w:val="16"/>
        </w:rPr>
        <w:t>Environment Canada EPS 1/RM/44 </w:t>
      </w:r>
      <w:r>
        <w:rPr>
          <w:i/>
          <w:color w:val="0070C0"/>
          <w:sz w:val="16"/>
          <w:u w:val="single" w:color="0070C0"/>
        </w:rPr>
        <w:t>For daphnids</w:t>
      </w:r>
      <w:r>
        <w:rPr>
          <w:i/>
          <w:color w:val="0070C0"/>
          <w:sz w:val="16"/>
        </w:rPr>
        <w:t>: one per replicate (≥10 per test concentration). </w:t>
      </w:r>
      <w:r>
        <w:rPr>
          <w:i/>
          <w:color w:val="0070C0"/>
          <w:sz w:val="16"/>
          <w:u w:val="single" w:color="0070C0"/>
        </w:rPr>
        <w:t>For shrimp</w:t>
      </w:r>
      <w:r>
        <w:rPr>
          <w:i/>
          <w:color w:val="0070C0"/>
          <w:sz w:val="16"/>
        </w:rPr>
        <w:t>: 10 per replicate (30 </w:t>
      </w:r>
      <w:r>
        <w:rPr>
          <w:i/>
          <w:color w:val="0070C0"/>
          <w:sz w:val="16"/>
        </w:rPr>
        <w:t>shrimp/treatment)</w:t>
      </w:r>
    </w:p>
    <w:p>
      <w:pPr>
        <w:pStyle w:val="BodyText"/>
        <w:spacing w:line="184" w:lineRule="exact" w:before="1"/>
        <w:ind w:left="859"/>
        <w:rPr>
          <w:i/>
        </w:rPr>
      </w:pPr>
      <w:r>
        <w:rPr>
          <w:b/>
          <w:i/>
          <w:color w:val="0070C0"/>
        </w:rPr>
        <w:t>OECD 202   </w:t>
      </w:r>
      <w:r>
        <w:rPr>
          <w:i/>
          <w:color w:val="0070C0"/>
        </w:rPr>
        <w:t>At least 20 daphnids per treatment, or control.</w:t>
      </w:r>
    </w:p>
    <w:p>
      <w:pPr>
        <w:pStyle w:val="BodyText"/>
        <w:ind w:left="859"/>
      </w:pPr>
      <w:r>
        <w:rPr>
          <w:b/>
          <w:i/>
          <w:color w:val="0070C0"/>
        </w:rPr>
        <w:t>OECD 211 </w:t>
      </w:r>
      <w:r>
        <w:rPr>
          <w:i/>
          <w:color w:val="0070C0"/>
        </w:rPr>
        <w:t>For static-renewal testing, one daphnid per replicate (10 per test concentration). For flow-through testing, ≥20 daphnids (40 </w:t>
      </w:r>
      <w:r>
        <w:rPr>
          <w:color w:val="0070C0"/>
        </w:rPr>
        <w:t>recommended) per test concentration, in ≥2 replicates (4 replicates recommended).</w:t>
      </w:r>
    </w:p>
    <w:p>
      <w:pPr>
        <w:pStyle w:val="BodyText"/>
        <w:spacing w:line="184" w:lineRule="exact" w:before="1"/>
        <w:ind w:left="1561" w:right="6856"/>
        <w:jc w:val="center"/>
        <w:rPr>
          <w:i/>
        </w:rPr>
      </w:pPr>
      <w:r>
        <w:rPr>
          <w:b/>
          <w:i/>
          <w:color w:val="0070C0"/>
        </w:rPr>
        <w:t>-</w:t>
      </w:r>
      <w:r>
        <w:rPr>
          <w:i/>
          <w:color w:val="0070C0"/>
          <w:u w:val="single" w:color="0070C0"/>
        </w:rPr>
        <w:t>Benthic Aquatic Arthropods:</w:t>
      </w:r>
    </w:p>
    <w:p>
      <w:pPr>
        <w:spacing w:line="184" w:lineRule="exact" w:before="0"/>
        <w:ind w:left="860" w:right="0" w:firstLine="0"/>
        <w:jc w:val="left"/>
        <w:rPr>
          <w:i/>
          <w:sz w:val="16"/>
        </w:rPr>
      </w:pPr>
      <w:r>
        <w:rPr>
          <w:b/>
          <w:i/>
          <w:color w:val="0070C0"/>
          <w:sz w:val="16"/>
        </w:rPr>
        <w:t>Environment Canada EPS 1/RM/44   </w:t>
      </w:r>
      <w:r>
        <w:rPr>
          <w:i/>
          <w:color w:val="0070C0"/>
          <w:sz w:val="16"/>
        </w:rPr>
        <w:t>Ten organisms per replicate (50/test concentration)</w:t>
      </w:r>
    </w:p>
    <w:p>
      <w:pPr>
        <w:spacing w:line="184" w:lineRule="exact" w:before="0"/>
        <w:ind w:left="859" w:right="0" w:firstLine="0"/>
        <w:jc w:val="left"/>
        <w:rPr>
          <w:i/>
          <w:sz w:val="16"/>
        </w:rPr>
      </w:pPr>
      <w:r>
        <w:rPr>
          <w:b/>
          <w:i/>
          <w:color w:val="0070C0"/>
          <w:sz w:val="16"/>
        </w:rPr>
        <w:t>OECD 218 and 219   </w:t>
      </w:r>
      <w:r>
        <w:rPr>
          <w:i/>
          <w:color w:val="0070C0"/>
          <w:sz w:val="16"/>
        </w:rPr>
        <w:t>20 larvae per replicate.</w:t>
      </w:r>
    </w:p>
    <w:p>
      <w:pPr>
        <w:pStyle w:val="BodyText"/>
        <w:spacing w:before="2"/>
        <w:rPr>
          <w:i/>
          <w:sz w:val="22"/>
        </w:rPr>
      </w:pPr>
    </w:p>
    <w:p>
      <w:pPr>
        <w:pStyle w:val="Heading2"/>
      </w:pPr>
      <w:r>
        <w:rPr/>
        <w:t>Biomass loading rate:</w:t>
      </w:r>
    </w:p>
    <w:p>
      <w:pPr>
        <w:pStyle w:val="BodyText"/>
        <w:rPr>
          <w:b/>
          <w:i w:val="0"/>
          <w:sz w:val="24"/>
        </w:rPr>
      </w:pPr>
    </w:p>
    <w:p>
      <w:pPr>
        <w:spacing w:before="197"/>
        <w:ind w:left="860" w:right="0" w:firstLine="0"/>
        <w:jc w:val="left"/>
        <w:rPr>
          <w:i/>
          <w:sz w:val="16"/>
        </w:rPr>
      </w:pPr>
      <w:r>
        <w:rPr>
          <w:b/>
          <w:i/>
          <w:color w:val="0070C0"/>
          <w:sz w:val="16"/>
        </w:rPr>
        <w:t>U.S. EPA OCSPP 885.4240   </w:t>
      </w:r>
      <w:r>
        <w:rPr>
          <w:i/>
          <w:color w:val="0070C0"/>
          <w:sz w:val="16"/>
        </w:rPr>
        <w:t>No specific recommendations.</w:t>
      </w:r>
    </w:p>
    <w:p>
      <w:pPr>
        <w:spacing w:before="38"/>
        <w:ind w:left="860" w:right="0" w:firstLine="0"/>
        <w:jc w:val="left"/>
        <w:rPr>
          <w:i/>
          <w:sz w:val="16"/>
        </w:rPr>
      </w:pPr>
      <w:r>
        <w:rPr>
          <w:b/>
          <w:i/>
          <w:color w:val="0070C0"/>
          <w:sz w:val="16"/>
        </w:rPr>
        <w:t>PMRA DIR 2001-02   </w:t>
      </w:r>
      <w:r>
        <w:rPr>
          <w:i/>
          <w:color w:val="0070C0"/>
          <w:sz w:val="16"/>
        </w:rPr>
        <w:t>No specific recommendations.</w:t>
      </w:r>
    </w:p>
    <w:p>
      <w:pPr>
        <w:pStyle w:val="BodyText"/>
        <w:spacing w:line="184" w:lineRule="exact" w:before="1"/>
        <w:ind w:left="1561" w:right="6856"/>
        <w:jc w:val="center"/>
        <w:rPr>
          <w:i/>
        </w:rPr>
      </w:pPr>
      <w:r>
        <w:rPr>
          <w:b/>
          <w:i/>
          <w:color w:val="0070C0"/>
        </w:rPr>
        <w:t>-</w:t>
      </w:r>
      <w:r>
        <w:rPr>
          <w:i/>
          <w:color w:val="0070C0"/>
          <w:u w:val="single" w:color="0070C0"/>
        </w:rPr>
        <w:t>Pelagic Aquatic Arthropods:</w:t>
      </w:r>
    </w:p>
    <w:p>
      <w:pPr>
        <w:spacing w:before="0"/>
        <w:ind w:left="859" w:right="0" w:firstLine="0"/>
        <w:jc w:val="left"/>
        <w:rPr>
          <w:i/>
          <w:sz w:val="16"/>
        </w:rPr>
      </w:pPr>
      <w:r>
        <w:rPr>
          <w:b/>
          <w:i/>
          <w:color w:val="0070C0"/>
          <w:sz w:val="16"/>
        </w:rPr>
        <w:t>Environment Canada EPS 1/RM/44   </w:t>
      </w:r>
      <w:r>
        <w:rPr>
          <w:i/>
          <w:color w:val="0070C0"/>
          <w:sz w:val="16"/>
        </w:rPr>
        <w:t>One daphnid per 50 –100 mL; 0.8 mg/L shrimp</w:t>
      </w:r>
    </w:p>
    <w:p>
      <w:pPr>
        <w:spacing w:line="184" w:lineRule="exact" w:before="1"/>
        <w:ind w:left="859" w:right="0" w:firstLine="0"/>
        <w:jc w:val="left"/>
        <w:rPr>
          <w:i/>
          <w:sz w:val="16"/>
        </w:rPr>
      </w:pPr>
      <w:r>
        <w:rPr>
          <w:b/>
          <w:i/>
          <w:color w:val="0070C0"/>
          <w:sz w:val="16"/>
        </w:rPr>
        <w:t>OECD 202    </w:t>
      </w:r>
      <w:r>
        <w:rPr>
          <w:i/>
          <w:color w:val="0070C0"/>
          <w:sz w:val="16"/>
        </w:rPr>
        <w:t>≥2 mL solution/daphnid.</w:t>
      </w:r>
    </w:p>
    <w:p>
      <w:pPr>
        <w:spacing w:line="184" w:lineRule="exact" w:before="0"/>
        <w:ind w:left="859" w:right="0" w:firstLine="0"/>
        <w:jc w:val="left"/>
        <w:rPr>
          <w:i/>
          <w:sz w:val="16"/>
        </w:rPr>
      </w:pPr>
      <w:r>
        <w:rPr>
          <w:b/>
          <w:i/>
          <w:color w:val="0070C0"/>
          <w:sz w:val="16"/>
        </w:rPr>
        <w:t>OECD 211   </w:t>
      </w:r>
      <w:r>
        <w:rPr>
          <w:i/>
          <w:color w:val="0070C0"/>
          <w:sz w:val="16"/>
        </w:rPr>
        <w:t>One daphnid per 50–100 mL.</w:t>
      </w:r>
    </w:p>
    <w:p>
      <w:pPr>
        <w:pStyle w:val="BodyText"/>
        <w:ind w:left="1561" w:right="6856"/>
        <w:jc w:val="center"/>
        <w:rPr>
          <w:i/>
        </w:rPr>
      </w:pPr>
      <w:r>
        <w:rPr>
          <w:b/>
          <w:i/>
          <w:color w:val="0070C0"/>
        </w:rPr>
        <w:t>-</w:t>
      </w:r>
      <w:r>
        <w:rPr>
          <w:i/>
          <w:color w:val="0070C0"/>
          <w:u w:val="single" w:color="0070C0"/>
        </w:rPr>
        <w:t>Benthic Aquatic Arthropods:</w:t>
      </w:r>
    </w:p>
    <w:p>
      <w:pPr>
        <w:spacing w:line="184" w:lineRule="exact" w:before="1"/>
        <w:ind w:left="859" w:right="0" w:firstLine="0"/>
        <w:jc w:val="left"/>
        <w:rPr>
          <w:i/>
          <w:sz w:val="16"/>
        </w:rPr>
      </w:pPr>
      <w:r>
        <w:rPr>
          <w:b/>
          <w:i/>
          <w:color w:val="0070C0"/>
          <w:sz w:val="16"/>
        </w:rPr>
        <w:t>Environment Canada EPS 1/RM/44   </w:t>
      </w:r>
      <w:r>
        <w:rPr>
          <w:i/>
          <w:color w:val="0070C0"/>
          <w:sz w:val="16"/>
        </w:rPr>
        <w:t>No specific recommendations.</w:t>
      </w:r>
    </w:p>
    <w:p>
      <w:pPr>
        <w:spacing w:line="184" w:lineRule="exact" w:before="0"/>
        <w:ind w:left="859" w:right="0" w:firstLine="0"/>
        <w:jc w:val="left"/>
        <w:rPr>
          <w:i/>
          <w:sz w:val="16"/>
        </w:rPr>
      </w:pPr>
      <w:r>
        <w:rPr>
          <w:b/>
          <w:i/>
          <w:color w:val="0070C0"/>
          <w:sz w:val="16"/>
        </w:rPr>
        <w:t>OECD 218 and 219   </w:t>
      </w:r>
      <w:r>
        <w:rPr>
          <w:i/>
          <w:color w:val="0070C0"/>
          <w:sz w:val="16"/>
        </w:rPr>
        <w:t>No specific recommendations.</w:t>
      </w:r>
    </w:p>
    <w:p>
      <w:pPr>
        <w:pStyle w:val="BodyText"/>
        <w:spacing w:before="2"/>
        <w:rPr>
          <w:i/>
          <w:sz w:val="22"/>
        </w:rPr>
      </w:pPr>
    </w:p>
    <w:p>
      <w:pPr>
        <w:pStyle w:val="Heading2"/>
        <w:ind w:left="859"/>
      </w:pPr>
      <w:r>
        <w:rPr/>
        <w:t>Recovery of MPCA from tissues:</w:t>
      </w:r>
    </w:p>
    <w:p>
      <w:pPr>
        <w:pStyle w:val="BodyText"/>
        <w:spacing w:before="11"/>
        <w:rPr>
          <w:b/>
          <w:i w:val="0"/>
          <w:sz w:val="21"/>
        </w:rPr>
      </w:pPr>
    </w:p>
    <w:p>
      <w:pPr>
        <w:pStyle w:val="Heading5"/>
        <w:ind w:left="859"/>
        <w:rPr>
          <w:i/>
        </w:rPr>
      </w:pPr>
      <w:r>
        <w:rPr>
          <w:i/>
          <w:color w:val="FF0000"/>
        </w:rPr>
        <w:t>[Describe methods used to recover the MPCA from collected samples.]</w:t>
      </w:r>
    </w:p>
    <w:p>
      <w:pPr>
        <w:pStyle w:val="BodyText"/>
        <w:rPr>
          <w:i/>
          <w:sz w:val="24"/>
        </w:rPr>
      </w:pPr>
    </w:p>
    <w:p>
      <w:pPr>
        <w:pStyle w:val="BodyText"/>
        <w:spacing w:before="196"/>
        <w:ind w:left="859" w:right="306"/>
      </w:pPr>
      <w:r>
        <w:rPr>
          <w:b/>
          <w:i/>
          <w:color w:val="0070C0"/>
        </w:rPr>
        <w:t>U.S. EPA OCSPP 885.4240 </w:t>
      </w:r>
      <w:r>
        <w:rPr>
          <w:i/>
          <w:color w:val="0070C0"/>
        </w:rPr>
        <w:t>A detailed description of steps taken to determine microorganism dissemination, replication and survival in test </w:t>
      </w:r>
      <w:r>
        <w:rPr>
          <w:color w:val="0070C0"/>
        </w:rPr>
        <w:t>animal tissues, organism and fluids is required.</w:t>
      </w:r>
    </w:p>
    <w:p>
      <w:pPr>
        <w:pStyle w:val="BodyText"/>
        <w:spacing w:before="39"/>
        <w:ind w:left="859" w:right="306"/>
      </w:pPr>
      <w:r>
        <w:rPr>
          <w:b/>
          <w:i/>
          <w:color w:val="0070C0"/>
        </w:rPr>
        <w:t>PMRA DIR 2001-02 </w:t>
      </w:r>
      <w:r>
        <w:rPr>
          <w:i/>
          <w:color w:val="0070C0"/>
        </w:rPr>
        <w:t>Required for MPCAs that are pathogens. Various methods for detection may be employed to detect the MPCA but it </w:t>
      </w:r>
      <w:r>
        <w:rPr>
          <w:color w:val="0070C0"/>
        </w:rPr>
        <w:t>should be appropriate for both the organism (e.g., bacterium) and the mode of action of the MPCA.</w:t>
      </w:r>
    </w:p>
    <w:p>
      <w:pPr>
        <w:spacing w:after="0"/>
        <w:sectPr>
          <w:pgSz w:w="12240" w:h="15840"/>
          <w:pgMar w:header="729" w:footer="1084" w:top="1940" w:bottom="1280" w:left="940" w:right="940"/>
        </w:sectPr>
      </w:pPr>
    </w:p>
    <w:p>
      <w:pPr>
        <w:pStyle w:val="BodyText"/>
        <w:spacing w:before="6"/>
        <w:rPr>
          <w:i/>
          <w:sz w:val="15"/>
        </w:rPr>
      </w:pPr>
    </w:p>
    <w:p>
      <w:pPr>
        <w:pStyle w:val="BodyText"/>
        <w:spacing w:before="1"/>
        <w:ind w:left="859" w:right="306"/>
      </w:pPr>
      <w:r>
        <w:rPr>
          <w:b/>
          <w:i/>
          <w:color w:val="0070C0"/>
        </w:rPr>
        <w:t>Environment Canada EPS 1/RM/44 </w:t>
      </w:r>
      <w:r>
        <w:rPr>
          <w:i/>
          <w:color w:val="0070C0"/>
        </w:rPr>
        <w:t>Analytical techniques permitting, the recovery of the MPCA in whole-body homogenate of parental </w:t>
      </w:r>
      <w:r>
        <w:rPr>
          <w:color w:val="0070C0"/>
        </w:rPr>
        <w:t>daphnids or shrimp from each treatment is optional during and/or at test end.</w:t>
      </w:r>
    </w:p>
    <w:p>
      <w:pPr>
        <w:pStyle w:val="BodyText"/>
        <w:spacing w:line="184" w:lineRule="exact" w:before="1"/>
        <w:ind w:left="1561" w:right="6856"/>
        <w:jc w:val="center"/>
        <w:rPr>
          <w:i/>
        </w:rPr>
      </w:pPr>
      <w:r>
        <w:rPr>
          <w:b/>
          <w:i/>
          <w:color w:val="0070C0"/>
        </w:rPr>
        <w:t>-</w:t>
      </w:r>
      <w:r>
        <w:rPr>
          <w:i/>
          <w:color w:val="0070C0"/>
          <w:u w:val="single" w:color="0070C0"/>
        </w:rPr>
        <w:t>Pelagic Aquatic Arthropods:</w:t>
      </w:r>
    </w:p>
    <w:p>
      <w:pPr>
        <w:spacing w:line="184" w:lineRule="exact" w:before="0"/>
        <w:ind w:left="859" w:right="0" w:firstLine="0"/>
        <w:jc w:val="left"/>
        <w:rPr>
          <w:i/>
          <w:sz w:val="16"/>
        </w:rPr>
      </w:pPr>
      <w:r>
        <w:rPr>
          <w:b/>
          <w:i/>
          <w:color w:val="0070C0"/>
          <w:sz w:val="16"/>
        </w:rPr>
        <w:t>OECD 202 and OECD 211  </w:t>
      </w:r>
      <w:r>
        <w:rPr>
          <w:i/>
          <w:color w:val="0070C0"/>
          <w:sz w:val="16"/>
        </w:rPr>
        <w:t>No specific recommendations (guideline designed for chemical toxicity testing).</w:t>
      </w:r>
    </w:p>
    <w:p>
      <w:pPr>
        <w:pStyle w:val="BodyText"/>
        <w:ind w:left="1561" w:right="6856"/>
        <w:jc w:val="center"/>
        <w:rPr>
          <w:i/>
        </w:rPr>
      </w:pPr>
      <w:r>
        <w:rPr>
          <w:b/>
          <w:i/>
          <w:color w:val="0070C0"/>
        </w:rPr>
        <w:t>-</w:t>
      </w:r>
      <w:r>
        <w:rPr>
          <w:i/>
          <w:color w:val="0070C0"/>
          <w:u w:val="single" w:color="0070C0"/>
        </w:rPr>
        <w:t>Benthic Aquatic Arthropods:</w:t>
      </w:r>
    </w:p>
    <w:p>
      <w:pPr>
        <w:pStyle w:val="BodyText"/>
        <w:spacing w:before="1"/>
        <w:ind w:left="859"/>
        <w:rPr>
          <w:i/>
        </w:rPr>
      </w:pPr>
      <w:r>
        <w:rPr>
          <w:b/>
          <w:i/>
          <w:color w:val="0070C0"/>
        </w:rPr>
        <w:t>OECD 218 and 219  </w:t>
      </w:r>
      <w:r>
        <w:rPr>
          <w:i/>
          <w:color w:val="0070C0"/>
        </w:rPr>
        <w:t>No specific reference to viability testing (guideline designed for chemical toxicity testing).</w:t>
      </w:r>
    </w:p>
    <w:p>
      <w:pPr>
        <w:pStyle w:val="BodyText"/>
        <w:spacing w:before="2"/>
        <w:rPr>
          <w:i/>
          <w:sz w:val="22"/>
        </w:rPr>
      </w:pPr>
    </w:p>
    <w:p>
      <w:pPr>
        <w:pStyle w:val="Heading2"/>
        <w:ind w:left="859"/>
      </w:pPr>
      <w:r>
        <w:rPr/>
        <w:t>Feeding:</w:t>
      </w:r>
    </w:p>
    <w:p>
      <w:pPr>
        <w:pStyle w:val="BodyText"/>
        <w:spacing w:before="10"/>
        <w:rPr>
          <w:b/>
          <w:i w:val="0"/>
          <w:sz w:val="21"/>
        </w:rPr>
      </w:pPr>
    </w:p>
    <w:p>
      <w:pPr>
        <w:pStyle w:val="Heading5"/>
        <w:rPr>
          <w:i/>
        </w:rPr>
      </w:pPr>
      <w:r>
        <w:rPr>
          <w:i/>
          <w:color w:val="FF0000"/>
        </w:rPr>
        <w:t>[Describe the feeding regime used during the test.]</w:t>
      </w:r>
    </w:p>
    <w:p>
      <w:pPr>
        <w:pStyle w:val="BodyText"/>
        <w:rPr>
          <w:i/>
          <w:sz w:val="24"/>
        </w:rPr>
      </w:pPr>
    </w:p>
    <w:p>
      <w:pPr>
        <w:spacing w:before="198"/>
        <w:ind w:left="860" w:right="0" w:firstLine="0"/>
        <w:jc w:val="left"/>
        <w:rPr>
          <w:i/>
          <w:sz w:val="16"/>
        </w:rPr>
      </w:pPr>
      <w:r>
        <w:rPr>
          <w:b/>
          <w:i/>
          <w:color w:val="0070C0"/>
          <w:sz w:val="16"/>
        </w:rPr>
        <w:t>U.S. EPA OCSPP 885.4240   </w:t>
      </w:r>
      <w:r>
        <w:rPr>
          <w:i/>
          <w:color w:val="0070C0"/>
          <w:sz w:val="16"/>
        </w:rPr>
        <w:t>No specific recommendations- usually ad libitum</w:t>
      </w:r>
    </w:p>
    <w:p>
      <w:pPr>
        <w:spacing w:before="38"/>
        <w:ind w:left="860" w:right="0" w:firstLine="0"/>
        <w:jc w:val="left"/>
        <w:rPr>
          <w:i/>
          <w:sz w:val="16"/>
        </w:rPr>
      </w:pPr>
      <w:r>
        <w:rPr>
          <w:b/>
          <w:i/>
          <w:color w:val="0070C0"/>
          <w:sz w:val="16"/>
        </w:rPr>
        <w:t>PMRA DIR 2001-02   </w:t>
      </w:r>
      <w:r>
        <w:rPr>
          <w:i/>
          <w:color w:val="0070C0"/>
          <w:sz w:val="16"/>
        </w:rPr>
        <w:t>No specific recommendations.</w:t>
      </w:r>
    </w:p>
    <w:p>
      <w:pPr>
        <w:pStyle w:val="BodyText"/>
        <w:spacing w:line="184" w:lineRule="exact"/>
        <w:ind w:left="1561" w:right="6856"/>
        <w:jc w:val="center"/>
        <w:rPr>
          <w:i/>
        </w:rPr>
      </w:pPr>
      <w:r>
        <w:rPr>
          <w:b/>
          <w:i/>
          <w:color w:val="0070C0"/>
        </w:rPr>
        <w:t>-</w:t>
      </w:r>
      <w:r>
        <w:rPr>
          <w:i/>
          <w:color w:val="0070C0"/>
          <w:u w:val="single" w:color="0070C0"/>
        </w:rPr>
        <w:t>Pelagic Aquatic Arthropods:</w:t>
      </w:r>
    </w:p>
    <w:p>
      <w:pPr>
        <w:pStyle w:val="BodyText"/>
        <w:ind w:left="860" w:right="256" w:hanging="1"/>
      </w:pPr>
      <w:r>
        <w:rPr>
          <w:b/>
          <w:i/>
          <w:color w:val="0070C0"/>
        </w:rPr>
        <w:t>Environment Canada EPS 1/RM/44  </w:t>
      </w:r>
      <w:r>
        <w:rPr>
          <w:i/>
          <w:color w:val="0070C0"/>
          <w:u w:val="single" w:color="0070C0"/>
        </w:rPr>
        <w:t>Daphnids </w:t>
      </w:r>
      <w:r>
        <w:rPr>
          <w:i/>
          <w:color w:val="0070C0"/>
        </w:rPr>
        <w:t>should be fed a concentrated suspension of living algal cells (as per OECD 211) once daily or </w:t>
      </w:r>
      <w:r>
        <w:rPr>
          <w:color w:val="0070C0"/>
        </w:rPr>
        <w:t>at least 3×/week (at renewal) throughout the test. </w:t>
      </w:r>
      <w:r>
        <w:rPr>
          <w:color w:val="0070C0"/>
          <w:u w:val="single" w:color="0070C0"/>
        </w:rPr>
        <w:t>Shrimp </w:t>
      </w:r>
      <w:r>
        <w:rPr>
          <w:color w:val="0070C0"/>
        </w:rPr>
        <w:t>should be fed ad libitum once daily using a commercially prepared fish food diet.</w:t>
      </w:r>
    </w:p>
    <w:p>
      <w:pPr>
        <w:spacing w:line="183" w:lineRule="exact" w:before="1"/>
        <w:ind w:left="859" w:right="0" w:firstLine="0"/>
        <w:jc w:val="left"/>
        <w:rPr>
          <w:i/>
          <w:sz w:val="16"/>
        </w:rPr>
      </w:pPr>
      <w:r>
        <w:rPr>
          <w:b/>
          <w:i/>
          <w:color w:val="0070C0"/>
          <w:sz w:val="16"/>
        </w:rPr>
        <w:t>OECD 202   </w:t>
      </w:r>
      <w:r>
        <w:rPr>
          <w:i/>
          <w:color w:val="0070C0"/>
          <w:sz w:val="16"/>
        </w:rPr>
        <w:t>Daphnids should not be fed during the test.</w:t>
      </w:r>
    </w:p>
    <w:p>
      <w:pPr>
        <w:pStyle w:val="BodyText"/>
        <w:ind w:left="859" w:right="264"/>
      </w:pPr>
      <w:r>
        <w:rPr>
          <w:b/>
          <w:i/>
          <w:color w:val="0070C0"/>
        </w:rPr>
        <w:t>OECD 211 </w:t>
      </w:r>
      <w:r>
        <w:rPr>
          <w:i/>
          <w:color w:val="0070C0"/>
        </w:rPr>
        <w:t>Preferably daily for static-renewal, but at least 3×/week (corresponding to media changes) Living algal cells (Chlorella sp., </w:t>
      </w:r>
      <w:r>
        <w:rPr>
          <w:color w:val="0070C0"/>
        </w:rPr>
        <w:t>Selenasrum capricornatum, or Stenedesmus subspicatus) are fed as a concentrated suspension at 0.1–0.2 mg/daphnid/day. If a larger volume is used, the ration given to daphnids may need to be increased to ensure food availability.</w:t>
      </w:r>
    </w:p>
    <w:p>
      <w:pPr>
        <w:pStyle w:val="BodyText"/>
        <w:spacing w:line="184" w:lineRule="exact"/>
        <w:ind w:left="1561" w:right="6856"/>
        <w:jc w:val="center"/>
        <w:rPr>
          <w:i/>
        </w:rPr>
      </w:pPr>
      <w:r>
        <w:rPr>
          <w:b/>
          <w:i/>
          <w:color w:val="0070C0"/>
        </w:rPr>
        <w:t>-</w:t>
      </w:r>
      <w:r>
        <w:rPr>
          <w:i/>
          <w:color w:val="0070C0"/>
          <w:u w:val="single" w:color="0070C0"/>
        </w:rPr>
        <w:t>Benthic Aquatic Arthropods:</w:t>
      </w:r>
    </w:p>
    <w:p>
      <w:pPr>
        <w:pStyle w:val="BodyText"/>
        <w:ind w:left="859" w:right="306"/>
      </w:pPr>
      <w:r>
        <w:rPr>
          <w:b/>
          <w:i/>
          <w:color w:val="0070C0"/>
        </w:rPr>
        <w:t>Environment Canada EPS 1/RM/44 </w:t>
      </w:r>
      <w:r>
        <w:rPr>
          <w:i/>
          <w:color w:val="0070C0"/>
        </w:rPr>
        <w:t>Three times/week, on non-consecutive days (e.g., Mon, Wed, Fri), with ground tropical fish food flakes. </w:t>
      </w:r>
      <w:r>
        <w:rPr>
          <w:color w:val="0070C0"/>
        </w:rPr>
        <w:t>For chironomids, 15.0 mg dry solids in a 3.75 mL suspension added to each test chamber. For H. azteca, 6.3 mg dry solids in a 3.5 mL suspension added to each test chamber during each feeding.</w:t>
      </w:r>
    </w:p>
    <w:p>
      <w:pPr>
        <w:pStyle w:val="BodyText"/>
        <w:ind w:left="859" w:right="188"/>
      </w:pPr>
      <w:r>
        <w:rPr>
          <w:b/>
          <w:i/>
          <w:color w:val="0070C0"/>
        </w:rPr>
        <w:t>OECD 218 and 219   </w:t>
      </w:r>
      <w:r>
        <w:rPr>
          <w:i/>
          <w:color w:val="0070C0"/>
        </w:rPr>
        <w:t>Larvae are fed daily, or at least 3 ×/week.  Fish food (a suspension in water or finely ground food, for example Tetra-Min </w:t>
      </w:r>
      <w:r>
        <w:rPr>
          <w:color w:val="0070C0"/>
        </w:rPr>
        <w:t>or Tetra-Phyll) in the amount of 0.25–0.5 mg/larva/day is adequate for the first 10 days 0.5–1.0 mg/larva is recommended for the duration of the test.</w:t>
      </w:r>
    </w:p>
    <w:p>
      <w:pPr>
        <w:pStyle w:val="BodyText"/>
        <w:rPr>
          <w:i/>
          <w:sz w:val="18"/>
        </w:rPr>
      </w:pPr>
    </w:p>
    <w:p>
      <w:pPr>
        <w:pStyle w:val="BodyText"/>
        <w:spacing w:before="2"/>
        <w:rPr>
          <w:i/>
          <w:sz w:val="26"/>
        </w:rPr>
      </w:pPr>
    </w:p>
    <w:p>
      <w:pPr>
        <w:pStyle w:val="Heading2"/>
        <w:spacing w:before="1"/>
      </w:pPr>
      <w:r>
        <w:rPr/>
        <w:t>Lighting:</w:t>
      </w:r>
    </w:p>
    <w:p>
      <w:pPr>
        <w:pStyle w:val="BodyText"/>
        <w:rPr>
          <w:b/>
          <w:i w:val="0"/>
          <w:sz w:val="22"/>
        </w:rPr>
      </w:pPr>
    </w:p>
    <w:p>
      <w:pPr>
        <w:pStyle w:val="Heading5"/>
        <w:rPr>
          <w:i/>
        </w:rPr>
      </w:pPr>
      <w:r>
        <w:rPr>
          <w:i/>
          <w:color w:val="FF0000"/>
        </w:rPr>
        <w:t>[Describe lighting conditions used during the test.]</w:t>
      </w:r>
    </w:p>
    <w:p>
      <w:pPr>
        <w:pStyle w:val="BodyText"/>
        <w:rPr>
          <w:i/>
          <w:sz w:val="24"/>
        </w:rPr>
      </w:pPr>
    </w:p>
    <w:p>
      <w:pPr>
        <w:spacing w:line="184" w:lineRule="exact" w:before="196"/>
        <w:ind w:left="860" w:right="0" w:firstLine="0"/>
        <w:jc w:val="left"/>
        <w:rPr>
          <w:i/>
          <w:sz w:val="16"/>
        </w:rPr>
      </w:pPr>
      <w:r>
        <w:rPr>
          <w:b/>
          <w:i/>
          <w:color w:val="0070C0"/>
          <w:sz w:val="16"/>
        </w:rPr>
        <w:t>U.S. EPA OCSPP 885.4240   </w:t>
      </w:r>
      <w:r>
        <w:rPr>
          <w:i/>
          <w:color w:val="0070C0"/>
          <w:sz w:val="16"/>
        </w:rPr>
        <w:t>No specific recommendations, but the lighting must be reported.</w:t>
      </w: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pStyle w:val="BodyText"/>
        <w:spacing w:line="182" w:lineRule="exact" w:before="1"/>
        <w:ind w:left="1561" w:right="6856"/>
        <w:jc w:val="center"/>
        <w:rPr>
          <w:i/>
        </w:rPr>
      </w:pPr>
      <w:r>
        <w:rPr>
          <w:b/>
          <w:i/>
          <w:color w:val="0070C0"/>
        </w:rPr>
        <w:t>-</w:t>
      </w:r>
      <w:r>
        <w:rPr>
          <w:i/>
          <w:color w:val="0070C0"/>
          <w:u w:val="single" w:color="0070C0"/>
        </w:rPr>
        <w:t>Pelagic Aquatic Arthropods:</w:t>
      </w:r>
    </w:p>
    <w:p>
      <w:pPr>
        <w:pStyle w:val="BodyText"/>
        <w:ind w:left="860" w:right="306" w:hanging="1"/>
      </w:pPr>
      <w:r>
        <w:rPr>
          <w:b/>
          <w:i/>
          <w:color w:val="0070C0"/>
        </w:rPr>
        <w:t>Environment Canada EPS 1/RM/44 </w:t>
      </w:r>
      <w:r>
        <w:rPr>
          <w:i/>
          <w:color w:val="0070C0"/>
          <w:u w:val="single" w:color="0070C0"/>
        </w:rPr>
        <w:t>For daphnids</w:t>
      </w:r>
      <w:r>
        <w:rPr>
          <w:i/>
          <w:color w:val="0070C0"/>
        </w:rPr>
        <w:t>, cool fluorescent or full spectrum light at an intensity of ≤15–20 µEm</w:t>
      </w:r>
      <w:r>
        <w:rPr>
          <w:i/>
          <w:color w:val="0070C0"/>
          <w:position w:val="6"/>
          <w:sz w:val="10"/>
        </w:rPr>
        <w:t>-2</w:t>
      </w:r>
      <w:r>
        <w:rPr>
          <w:i/>
          <w:color w:val="0070C0"/>
        </w:rPr>
        <w:t>s</w:t>
      </w:r>
      <w:r>
        <w:rPr>
          <w:i/>
          <w:color w:val="0070C0"/>
          <w:position w:val="6"/>
          <w:sz w:val="10"/>
        </w:rPr>
        <w:t>-1</w:t>
      </w:r>
      <w:r>
        <w:rPr>
          <w:i/>
          <w:color w:val="0070C0"/>
        </w:rPr>
        <w:t>with a gradual </w:t>
      </w:r>
      <w:r>
        <w:rPr>
          <w:color w:val="0070C0"/>
        </w:rPr>
        <w:t>transition period between dark and light is preferred. </w:t>
      </w:r>
      <w:r>
        <w:rPr>
          <w:color w:val="0070C0"/>
          <w:u w:val="single" w:color="0070C0"/>
        </w:rPr>
        <w:t>For shrimp</w:t>
      </w:r>
      <w:r>
        <w:rPr>
          <w:color w:val="0070C0"/>
        </w:rPr>
        <w:t>, cool-white or full spectrum at an intensity of 300–1000 lux at the water surface; 16±1 hour light/8±1 hour dark with a gradual transition period between dark and light.</w:t>
      </w:r>
    </w:p>
    <w:p>
      <w:pPr>
        <w:pStyle w:val="BodyText"/>
        <w:spacing w:before="2"/>
        <w:ind w:left="859"/>
      </w:pPr>
      <w:r>
        <w:rPr>
          <w:b/>
          <w:i/>
          <w:color w:val="0070C0"/>
        </w:rPr>
        <w:t>OECD 202 </w:t>
      </w:r>
      <w:r>
        <w:rPr>
          <w:i/>
          <w:color w:val="0070C0"/>
        </w:rPr>
        <w:t>A 16-hour light, 8-hour dark cycle is recommended. Complete darkness is also acceptable, especially for test substances that are </w:t>
      </w:r>
      <w:r>
        <w:rPr>
          <w:color w:val="0070C0"/>
        </w:rPr>
        <w:t>susceptible to light.</w:t>
      </w:r>
    </w:p>
    <w:p>
      <w:pPr>
        <w:spacing w:line="185" w:lineRule="exact" w:before="0"/>
        <w:ind w:left="859" w:right="0" w:firstLine="0"/>
        <w:jc w:val="left"/>
        <w:rPr>
          <w:i/>
          <w:sz w:val="16"/>
        </w:rPr>
      </w:pPr>
      <w:r>
        <w:rPr>
          <w:b/>
          <w:i/>
          <w:color w:val="0070C0"/>
          <w:sz w:val="16"/>
        </w:rPr>
        <w:t>OECD 211   </w:t>
      </w:r>
      <w:r>
        <w:rPr>
          <w:i/>
          <w:color w:val="0070C0"/>
          <w:sz w:val="16"/>
        </w:rPr>
        <w:t>16-hour light at an intensity ≤15–20 µEm</w:t>
      </w:r>
      <w:r>
        <w:rPr>
          <w:i/>
          <w:color w:val="0070C0"/>
          <w:position w:val="6"/>
          <w:sz w:val="10"/>
        </w:rPr>
        <w:t>-2</w:t>
      </w:r>
      <w:r>
        <w:rPr>
          <w:i/>
          <w:color w:val="0070C0"/>
          <w:sz w:val="16"/>
        </w:rPr>
        <w:t>s</w:t>
      </w:r>
      <w:r>
        <w:rPr>
          <w:i/>
          <w:color w:val="0070C0"/>
          <w:position w:val="6"/>
          <w:sz w:val="10"/>
        </w:rPr>
        <w:t>-1</w:t>
      </w:r>
      <w:r>
        <w:rPr>
          <w:i/>
          <w:color w:val="0070C0"/>
          <w:sz w:val="16"/>
        </w:rPr>
        <w:t>.</w:t>
      </w:r>
    </w:p>
    <w:p>
      <w:pPr>
        <w:pStyle w:val="BodyText"/>
        <w:spacing w:line="184" w:lineRule="exact"/>
        <w:ind w:left="1561" w:right="6856"/>
        <w:jc w:val="center"/>
        <w:rPr>
          <w:i/>
        </w:rPr>
      </w:pPr>
      <w:r>
        <w:rPr>
          <w:b/>
          <w:i/>
          <w:color w:val="0070C0"/>
        </w:rPr>
        <w:t>-</w:t>
      </w:r>
      <w:r>
        <w:rPr>
          <w:i/>
          <w:color w:val="0070C0"/>
          <w:u w:val="single" w:color="0070C0"/>
        </w:rPr>
        <w:t>Benthic Aquatic Arthropods:</w:t>
      </w:r>
    </w:p>
    <w:p>
      <w:pPr>
        <w:pStyle w:val="BodyText"/>
        <w:ind w:left="860" w:right="237"/>
      </w:pPr>
      <w:r>
        <w:rPr>
          <w:b/>
          <w:i/>
          <w:color w:val="0070C0"/>
        </w:rPr>
        <w:t>Environment Canada EPS 1/RM/44   </w:t>
      </w:r>
      <w:r>
        <w:rPr>
          <w:i/>
          <w:color w:val="0070C0"/>
        </w:rPr>
        <w:t>Overhead full spectrum (fluorescent or equivalent).  500–1000 lux at water surface.  Photoperiod of 16 ± </w:t>
      </w:r>
      <w:r>
        <w:rPr>
          <w:color w:val="0070C0"/>
        </w:rPr>
        <w:t>1 hour light, 8 ± 1 hour dark.</w:t>
      </w:r>
    </w:p>
    <w:p>
      <w:pPr>
        <w:pStyle w:val="BodyText"/>
        <w:spacing w:line="184" w:lineRule="exact"/>
        <w:ind w:left="859"/>
        <w:rPr>
          <w:i/>
        </w:rPr>
      </w:pPr>
      <w:r>
        <w:rPr>
          <w:b/>
          <w:i/>
          <w:color w:val="0070C0"/>
        </w:rPr>
        <w:t>OECD 218 and 219  </w:t>
      </w:r>
      <w:r>
        <w:rPr>
          <w:i/>
          <w:color w:val="0070C0"/>
        </w:rPr>
        <w:t>A 16-hour photoperiod is used and the light intensity should be 500 to 1000 lux.</w:t>
      </w:r>
    </w:p>
    <w:p>
      <w:pPr>
        <w:pStyle w:val="BodyText"/>
        <w:spacing w:before="2"/>
        <w:rPr>
          <w:i/>
          <w:sz w:val="22"/>
        </w:rPr>
      </w:pPr>
    </w:p>
    <w:p>
      <w:pPr>
        <w:pStyle w:val="Heading2"/>
      </w:pPr>
      <w:r>
        <w:rPr/>
        <w:t>Duration of study:</w:t>
      </w:r>
    </w:p>
    <w:p>
      <w:pPr>
        <w:pStyle w:val="BodyText"/>
        <w:rPr>
          <w:b/>
          <w:i w:val="0"/>
          <w:sz w:val="24"/>
        </w:rPr>
      </w:pPr>
    </w:p>
    <w:p>
      <w:pPr>
        <w:pStyle w:val="BodyText"/>
        <w:spacing w:before="196"/>
        <w:ind w:left="860" w:right="306"/>
      </w:pPr>
      <w:r>
        <w:rPr>
          <w:b/>
          <w:i/>
          <w:color w:val="0070C0"/>
        </w:rPr>
        <w:t>U.S. EPA OCSPP 885.4240 </w:t>
      </w:r>
      <w:r>
        <w:rPr>
          <w:i/>
          <w:color w:val="0070C0"/>
        </w:rPr>
        <w:t>The test duration should be at least 21 days. If pathogenicity and/or toxicity are apparent at day 21, observation </w:t>
      </w:r>
      <w:r>
        <w:rPr>
          <w:color w:val="0070C0"/>
        </w:rPr>
        <w:t>should continue until recovery, mortality or unequivocal moribundity is established.</w:t>
      </w:r>
    </w:p>
    <w:p>
      <w:pPr>
        <w:pStyle w:val="BodyText"/>
        <w:spacing w:before="37"/>
        <w:ind w:left="859" w:right="214"/>
      </w:pPr>
      <w:r>
        <w:rPr>
          <w:b/>
          <w:i/>
          <w:color w:val="0070C0"/>
        </w:rPr>
        <w:t>PMRA DIR 2001-02 </w:t>
      </w:r>
      <w:r>
        <w:rPr>
          <w:i/>
          <w:color w:val="0070C0"/>
        </w:rPr>
        <w:t>The test organism should be exposed for at least 21 days, or until mortality in the control group increases to a significant </w:t>
      </w:r>
      <w:r>
        <w:rPr>
          <w:color w:val="0070C0"/>
        </w:rPr>
        <w:t>level.</w:t>
      </w:r>
    </w:p>
    <w:p>
      <w:pPr>
        <w:pStyle w:val="BodyText"/>
        <w:spacing w:line="183" w:lineRule="exact"/>
        <w:ind w:left="1579"/>
        <w:rPr>
          <w:i/>
        </w:rPr>
      </w:pPr>
      <w:r>
        <w:rPr>
          <w:b/>
          <w:i/>
          <w:color w:val="0070C0"/>
        </w:rPr>
        <w:t>-</w:t>
      </w:r>
      <w:r>
        <w:rPr>
          <w:i/>
          <w:color w:val="0070C0"/>
          <w:u w:val="single" w:color="0070C0"/>
        </w:rPr>
        <w:t>Pelagic Aquatic Arthropods:</w:t>
      </w:r>
    </w:p>
    <w:p>
      <w:pPr>
        <w:spacing w:line="184" w:lineRule="exact" w:before="1"/>
        <w:ind w:left="859" w:right="0" w:firstLine="0"/>
        <w:jc w:val="left"/>
        <w:rPr>
          <w:i/>
          <w:sz w:val="16"/>
        </w:rPr>
      </w:pPr>
      <w:r>
        <w:rPr>
          <w:b/>
          <w:i/>
          <w:color w:val="0070C0"/>
          <w:sz w:val="16"/>
        </w:rPr>
        <w:t>Environment Canada EPS 1/RM/44  </w:t>
      </w:r>
      <w:r>
        <w:rPr>
          <w:i/>
          <w:color w:val="0070C0"/>
          <w:sz w:val="16"/>
          <w:u w:val="single" w:color="0070C0"/>
        </w:rPr>
        <w:t>For daphnids</w:t>
      </w:r>
      <w:r>
        <w:rPr>
          <w:i/>
          <w:color w:val="0070C0"/>
          <w:sz w:val="16"/>
        </w:rPr>
        <w:t>: the test duration is 21 days. </w:t>
      </w:r>
      <w:r>
        <w:rPr>
          <w:i/>
          <w:color w:val="0070C0"/>
          <w:sz w:val="16"/>
          <w:u w:val="single" w:color="0070C0"/>
        </w:rPr>
        <w:t>For shrimp</w:t>
      </w:r>
      <w:r>
        <w:rPr>
          <w:i/>
          <w:color w:val="0070C0"/>
          <w:sz w:val="16"/>
        </w:rPr>
        <w:t>: the test duration is 30 days for shrimp.</w:t>
      </w:r>
    </w:p>
    <w:p>
      <w:pPr>
        <w:spacing w:line="184" w:lineRule="exact" w:before="0"/>
        <w:ind w:left="859" w:right="0" w:firstLine="0"/>
        <w:jc w:val="left"/>
        <w:rPr>
          <w:i/>
          <w:sz w:val="16"/>
        </w:rPr>
      </w:pPr>
      <w:r>
        <w:rPr>
          <w:b/>
          <w:i/>
          <w:color w:val="0070C0"/>
          <w:sz w:val="16"/>
        </w:rPr>
        <w:t>OECD 202   </w:t>
      </w:r>
      <w:r>
        <w:rPr>
          <w:i/>
          <w:color w:val="0070C0"/>
          <w:sz w:val="16"/>
        </w:rPr>
        <w:t>The test duration is 48 hours.</w:t>
      </w:r>
    </w:p>
    <w:p>
      <w:pPr>
        <w:spacing w:line="184" w:lineRule="exact" w:before="0"/>
        <w:ind w:left="859" w:right="0" w:firstLine="0"/>
        <w:jc w:val="left"/>
        <w:rPr>
          <w:i/>
          <w:sz w:val="16"/>
        </w:rPr>
      </w:pPr>
      <w:r>
        <w:rPr>
          <w:b/>
          <w:i/>
          <w:color w:val="0070C0"/>
          <w:sz w:val="16"/>
        </w:rPr>
        <w:t>OECD 211   </w:t>
      </w:r>
      <w:r>
        <w:rPr>
          <w:i/>
          <w:color w:val="0070C0"/>
          <w:sz w:val="16"/>
        </w:rPr>
        <w:t>The test duration is 21 days.</w:t>
      </w:r>
    </w:p>
    <w:p>
      <w:pPr>
        <w:spacing w:after="0" w:line="184" w:lineRule="exact"/>
        <w:jc w:val="left"/>
        <w:rPr>
          <w:sz w:val="16"/>
        </w:rPr>
        <w:sectPr>
          <w:pgSz w:w="12240" w:h="15840"/>
          <w:pgMar w:header="729" w:footer="1084" w:top="1940" w:bottom="1280" w:left="940" w:right="940"/>
        </w:sectPr>
      </w:pPr>
    </w:p>
    <w:p>
      <w:pPr>
        <w:pStyle w:val="BodyText"/>
        <w:spacing w:before="6"/>
        <w:rPr>
          <w:i/>
          <w:sz w:val="15"/>
        </w:rPr>
      </w:pPr>
    </w:p>
    <w:p>
      <w:pPr>
        <w:pStyle w:val="BodyText"/>
        <w:spacing w:line="184" w:lineRule="exact" w:before="1"/>
        <w:ind w:left="1561" w:right="6856"/>
        <w:jc w:val="center"/>
        <w:rPr>
          <w:i/>
        </w:rPr>
      </w:pPr>
      <w:r>
        <w:rPr>
          <w:b/>
          <w:i/>
          <w:color w:val="0070C0"/>
        </w:rPr>
        <w:t>-</w:t>
      </w:r>
      <w:r>
        <w:rPr>
          <w:i/>
          <w:color w:val="0070C0"/>
          <w:u w:val="single" w:color="0070C0"/>
        </w:rPr>
        <w:t>Benthic Aquatic Arthropods:</w:t>
      </w:r>
    </w:p>
    <w:p>
      <w:pPr>
        <w:spacing w:before="0"/>
        <w:ind w:left="859" w:right="0" w:firstLine="0"/>
        <w:jc w:val="left"/>
        <w:rPr>
          <w:i/>
          <w:sz w:val="16"/>
        </w:rPr>
      </w:pPr>
      <w:r>
        <w:rPr>
          <w:b/>
          <w:i/>
          <w:color w:val="0070C0"/>
          <w:sz w:val="16"/>
        </w:rPr>
        <w:t>Environment Canada EPS 1/RM/44  </w:t>
      </w:r>
      <w:r>
        <w:rPr>
          <w:i/>
          <w:color w:val="0070C0"/>
          <w:sz w:val="16"/>
        </w:rPr>
        <w:t>The test duration is at least 10 days for Chironomids and at least 14 days for H. azteca.</w:t>
      </w:r>
    </w:p>
    <w:p>
      <w:pPr>
        <w:pStyle w:val="BodyText"/>
        <w:spacing w:before="1"/>
        <w:ind w:left="859" w:right="306"/>
      </w:pPr>
      <w:r>
        <w:rPr>
          <w:b/>
          <w:i/>
          <w:color w:val="0070C0"/>
        </w:rPr>
        <w:t>OECD 218 and 219 </w:t>
      </w:r>
      <w:r>
        <w:rPr>
          <w:i/>
          <w:color w:val="0070C0"/>
        </w:rPr>
        <w:t>The maximum exposure duration is 28 days for C. riparius and C. yoshimatsui, and 65 days for C. tentans. If midges </w:t>
      </w:r>
      <w:r>
        <w:rPr>
          <w:color w:val="0070C0"/>
        </w:rPr>
        <w:t>emerge earlier, the test can be terminated after a minimum of 5 days after emergence of the last adult in the control.</w:t>
      </w:r>
    </w:p>
    <w:p>
      <w:pPr>
        <w:pStyle w:val="BodyText"/>
        <w:spacing w:before="2"/>
        <w:rPr>
          <w:i/>
          <w:sz w:val="22"/>
        </w:rPr>
      </w:pPr>
    </w:p>
    <w:p>
      <w:pPr>
        <w:pStyle w:val="Heading2"/>
        <w:ind w:left="859"/>
      </w:pPr>
      <w:r>
        <w:rPr/>
        <w:t>Other methods or conditions, if any:</w:t>
      </w:r>
    </w:p>
    <w:p>
      <w:pPr>
        <w:pStyle w:val="BodyText"/>
        <w:rPr>
          <w:b/>
          <w:i w:val="0"/>
          <w:sz w:val="22"/>
        </w:rPr>
      </w:pPr>
    </w:p>
    <w:p>
      <w:pPr>
        <w:pStyle w:val="ListParagraph"/>
        <w:numPr>
          <w:ilvl w:val="1"/>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Observations</w:t>
      </w:r>
      <w:r>
        <w:rPr>
          <w:b/>
          <w:sz w:val="22"/>
          <w:u w:val="none"/>
        </w:rPr>
        <w:t>:</w:t>
      </w:r>
    </w:p>
    <w:p>
      <w:pPr>
        <w:pStyle w:val="BodyText"/>
        <w:rPr>
          <w:b/>
          <w:i w:val="0"/>
          <w:sz w:val="14"/>
        </w:rPr>
      </w:pPr>
    </w:p>
    <w:p>
      <w:pPr>
        <w:spacing w:before="91"/>
        <w:ind w:left="860" w:right="0" w:firstLine="0"/>
        <w:jc w:val="left"/>
        <w:rPr>
          <w:b/>
          <w:sz w:val="22"/>
        </w:rPr>
      </w:pPr>
      <w:r>
        <w:rPr>
          <w:b/>
          <w:sz w:val="22"/>
        </w:rPr>
        <w:t>Parameters measured including mortality, sublethal effects/toxicity symptoms:</w:t>
      </w:r>
    </w:p>
    <w:p>
      <w:pPr>
        <w:pStyle w:val="BodyText"/>
        <w:rPr>
          <w:b/>
          <w:i w:val="0"/>
          <w:sz w:val="22"/>
        </w:rPr>
      </w:pPr>
    </w:p>
    <w:p>
      <w:pPr>
        <w:pStyle w:val="Heading5"/>
        <w:ind w:right="541"/>
        <w:jc w:val="both"/>
      </w:pPr>
      <w:r>
        <w:rPr>
          <w:i/>
          <w:color w:val="FF0000"/>
        </w:rPr>
        <w:t>[List the parameters measured during the experiment, e.g., mortality, survival, abnormal behavior or </w:t>
      </w:r>
      <w:r>
        <w:rPr>
          <w:color w:val="FF0000"/>
        </w:rPr>
        <w:t>appearance, fecundity, growth inhibition, concentration of the MPCA in the test suspensions. Provide references to data summary tables, if used.]</w:t>
      </w:r>
    </w:p>
    <w:p>
      <w:pPr>
        <w:pStyle w:val="BodyText"/>
        <w:rPr>
          <w:i/>
          <w:sz w:val="24"/>
        </w:rPr>
      </w:pPr>
    </w:p>
    <w:p>
      <w:pPr>
        <w:pStyle w:val="BodyText"/>
        <w:spacing w:before="9"/>
        <w:rPr>
          <w:i/>
          <w:sz w:val="22"/>
        </w:rPr>
      </w:pPr>
    </w:p>
    <w:p>
      <w:pPr>
        <w:pStyle w:val="BodyText"/>
        <w:ind w:left="860" w:right="155"/>
      </w:pPr>
      <w:r>
        <w:rPr>
          <w:b/>
          <w:i/>
          <w:color w:val="0070C0"/>
        </w:rPr>
        <w:t>U.S. EPA OCSPP 885.4240 </w:t>
      </w:r>
      <w:r>
        <w:rPr>
          <w:i/>
          <w:color w:val="0070C0"/>
        </w:rPr>
        <w:t>Measurements of temperature, dissolved oxygen content, pH, dissolved salts, lighting, and concentrations of MPCA </w:t>
      </w:r>
      <w:r>
        <w:rPr>
          <w:color w:val="0070C0"/>
        </w:rPr>
        <w:t>are required. Include any observations for mortality and/or sublethal effects (e.g., changes in life cycle duration, fecundity, morphology).</w:t>
      </w:r>
    </w:p>
    <w:p>
      <w:pPr>
        <w:pStyle w:val="BodyText"/>
        <w:spacing w:line="184" w:lineRule="exact"/>
        <w:ind w:left="859"/>
        <w:rPr>
          <w:i/>
        </w:rPr>
      </w:pPr>
      <w:r>
        <w:rPr>
          <w:b/>
          <w:i/>
          <w:color w:val="0070C0"/>
        </w:rPr>
        <w:t>PMRA DIR 2001-02  </w:t>
      </w:r>
      <w:r>
        <w:rPr>
          <w:i/>
          <w:color w:val="0070C0"/>
        </w:rPr>
        <w:t>Regular observations are required to record mortalities and note any behavioral, pathogenic or toxic adverse effects.</w:t>
      </w:r>
    </w:p>
    <w:p>
      <w:pPr>
        <w:pStyle w:val="BodyText"/>
        <w:spacing w:line="184" w:lineRule="exact"/>
        <w:ind w:left="1561" w:right="6856"/>
        <w:jc w:val="center"/>
        <w:rPr>
          <w:i/>
        </w:rPr>
      </w:pPr>
      <w:r>
        <w:rPr>
          <w:b/>
          <w:i/>
          <w:color w:val="0070C0"/>
        </w:rPr>
        <w:t>-</w:t>
      </w:r>
      <w:r>
        <w:rPr>
          <w:i/>
          <w:color w:val="0070C0"/>
          <w:u w:val="single" w:color="0070C0"/>
        </w:rPr>
        <w:t>Pelagic Aquatic Arthropods:</w:t>
      </w:r>
    </w:p>
    <w:p>
      <w:pPr>
        <w:pStyle w:val="BodyText"/>
        <w:ind w:left="860" w:right="179" w:hanging="1"/>
      </w:pPr>
      <w:r>
        <w:rPr>
          <w:b/>
          <w:i/>
          <w:color w:val="0070C0"/>
        </w:rPr>
        <w:t>Environment Canada EPS 1/RM/44 </w:t>
      </w:r>
      <w:r>
        <w:rPr>
          <w:i/>
          <w:color w:val="0070C0"/>
          <w:u w:val="single" w:color="0070C0"/>
        </w:rPr>
        <w:t>Daphnids</w:t>
      </w:r>
      <w:r>
        <w:rPr>
          <w:i/>
          <w:color w:val="0070C0"/>
        </w:rPr>
        <w:t>: temperature, pH, hardness and dissolved oxygen concentration and, analyses permitting, </w:t>
      </w:r>
      <w:r>
        <w:rPr>
          <w:color w:val="0070C0"/>
        </w:rPr>
        <w:t>concentration of the MPCA in each treatment (incl controls). Survival of parental daphnids and cumulative number of live young produced per parental daphnid; for any chamber wherein the parental daphnid dies, exclude this replicate from analysis. </w:t>
      </w:r>
      <w:r>
        <w:rPr>
          <w:color w:val="0070C0"/>
          <w:u w:val="single" w:color="0070C0"/>
        </w:rPr>
        <w:t>Shrimp</w:t>
      </w:r>
      <w:r>
        <w:rPr>
          <w:color w:val="0070C0"/>
        </w:rPr>
        <w:t>: temperature, pH, salinity, dissolved oxygen concentration and, analyses permitting, concentration of the MPCA in each treatment (incl controls). The survival, appearance and behavior of shrimp in each test chamber.</w:t>
      </w:r>
    </w:p>
    <w:p>
      <w:pPr>
        <w:pStyle w:val="BodyText"/>
        <w:ind w:left="859"/>
      </w:pPr>
      <w:r>
        <w:rPr>
          <w:b/>
          <w:i/>
          <w:color w:val="0070C0"/>
        </w:rPr>
        <w:t>OECD 202 </w:t>
      </w:r>
      <w:r>
        <w:rPr>
          <w:i/>
          <w:color w:val="0070C0"/>
        </w:rPr>
        <w:t>Measurements of temperature, dissolved oxygen, pH and concentration of the test substance are required. Observations for </w:t>
      </w:r>
      <w:r>
        <w:rPr>
          <w:color w:val="0070C0"/>
        </w:rPr>
        <w:t>immobilization and abnormal behavior.</w:t>
      </w:r>
    </w:p>
    <w:p>
      <w:pPr>
        <w:pStyle w:val="BodyText"/>
        <w:ind w:left="859"/>
      </w:pPr>
      <w:r>
        <w:rPr>
          <w:b/>
          <w:i/>
          <w:color w:val="0070C0"/>
        </w:rPr>
        <w:t>OECD 211 </w:t>
      </w:r>
      <w:r>
        <w:rPr>
          <w:i/>
          <w:color w:val="0070C0"/>
        </w:rPr>
        <w:t>Measurements of temperature, dissolved oxygen, hardness, pH, light intensity and concentration of the test substance are required. </w:t>
      </w:r>
      <w:r>
        <w:rPr>
          <w:color w:val="0070C0"/>
        </w:rPr>
        <w:t>Offspring are counted and removed. Only living offspring should be counted, but the presence of aborted eggs/dead offspring is recorded.</w:t>
      </w:r>
    </w:p>
    <w:p>
      <w:pPr>
        <w:pStyle w:val="BodyText"/>
        <w:ind w:left="859" w:right="123"/>
      </w:pPr>
      <w:r>
        <w:rPr>
          <w:i/>
          <w:color w:val="0070C0"/>
        </w:rPr>
        <w:t>Mortality among parent animals is recorded when offspring are counted. Other parameters (body length, time to production of first brood, no. </w:t>
      </w:r>
      <w:r>
        <w:rPr>
          <w:color w:val="0070C0"/>
        </w:rPr>
        <w:t>and size of broods per animal, no. of aborted broods, presence of males or ephippia or intrinsic rate of population increase) can be used to define sublethal effects.</w:t>
      </w:r>
    </w:p>
    <w:p>
      <w:pPr>
        <w:pStyle w:val="BodyText"/>
        <w:spacing w:line="184" w:lineRule="exact"/>
        <w:ind w:left="1561" w:right="6856"/>
        <w:jc w:val="center"/>
        <w:rPr>
          <w:i/>
        </w:rPr>
      </w:pPr>
      <w:r>
        <w:rPr>
          <w:b/>
          <w:i/>
          <w:color w:val="0070C0"/>
        </w:rPr>
        <w:t>-</w:t>
      </w:r>
      <w:r>
        <w:rPr>
          <w:i/>
          <w:color w:val="0070C0"/>
          <w:u w:val="single" w:color="0070C0"/>
        </w:rPr>
        <w:t>Benthic Aquatic Arthropods:</w:t>
      </w:r>
    </w:p>
    <w:p>
      <w:pPr>
        <w:pStyle w:val="BodyText"/>
        <w:ind w:left="860" w:hanging="1"/>
      </w:pPr>
      <w:r>
        <w:rPr>
          <w:b/>
          <w:i/>
          <w:color w:val="0070C0"/>
        </w:rPr>
        <w:t>Environment Canada EPS 1/RM/44 </w:t>
      </w:r>
      <w:r>
        <w:rPr>
          <w:i/>
          <w:color w:val="0070C0"/>
          <w:u w:val="single" w:color="0070C0"/>
        </w:rPr>
        <w:t>Chironomids</w:t>
      </w:r>
      <w:r>
        <w:rPr>
          <w:i/>
          <w:color w:val="0070C0"/>
        </w:rPr>
        <w:t>: Measurements of the dissolved oxygen, temperature, pH, conductivity, ammonia, mean dry </w:t>
      </w:r>
      <w:r>
        <w:rPr>
          <w:color w:val="0070C0"/>
        </w:rPr>
        <w:t>weight of surviving midges and concentration of the MPCA in the test suspension and in sediment of each treatment group are required.</w:t>
      </w:r>
    </w:p>
    <w:p>
      <w:pPr>
        <w:pStyle w:val="BodyText"/>
        <w:ind w:left="860" w:right="166"/>
      </w:pPr>
      <w:r>
        <w:rPr>
          <w:i/>
          <w:color w:val="0070C0"/>
        </w:rPr>
        <w:t>Observations for the number of midge larvae on sediment surface, appearance, and survival. </w:t>
      </w:r>
      <w:r>
        <w:rPr>
          <w:i/>
          <w:color w:val="0070C0"/>
          <w:u w:val="single" w:color="0070C0"/>
        </w:rPr>
        <w:t>Amphipods</w:t>
      </w:r>
      <w:r>
        <w:rPr>
          <w:i/>
          <w:color w:val="0070C0"/>
        </w:rPr>
        <w:t>: Measurements of the dissolved oxygen, </w:t>
      </w:r>
      <w:r>
        <w:rPr>
          <w:color w:val="0070C0"/>
        </w:rPr>
        <w:t>temperature , pH, conductivity, ammonia, mean dry weight of surviving amphipods and concentration of the MPCA in the test suspension and in sediment of each treatment group are required. Observations for the number of amphipods on sediment surface, appearance, and survival.</w:t>
      </w:r>
    </w:p>
    <w:p>
      <w:pPr>
        <w:pStyle w:val="BodyText"/>
        <w:ind w:left="860" w:right="214"/>
      </w:pPr>
      <w:r>
        <w:rPr>
          <w:b/>
          <w:i/>
          <w:color w:val="0070C0"/>
        </w:rPr>
        <w:t>OECD 218 and 219 </w:t>
      </w:r>
      <w:r>
        <w:rPr>
          <w:i/>
          <w:color w:val="0070C0"/>
        </w:rPr>
        <w:t>Concentration of the test substance, physical and chemical parameters of the test/overlying water. Emergence, number of </w:t>
      </w:r>
      <w:r>
        <w:rPr>
          <w:color w:val="0070C0"/>
        </w:rPr>
        <w:t>male and female adults. Abnormal behavior (e.g., sediment avoidance, swimming). Egg masses recorded and removed, number of visible pupae that have failed to emerge. Growth and survival (if 10-day growth and survival are to be tested, additional test vessels should be included at the start).</w:t>
      </w:r>
    </w:p>
    <w:p>
      <w:pPr>
        <w:pStyle w:val="BodyText"/>
        <w:rPr>
          <w:i/>
          <w:sz w:val="18"/>
        </w:rPr>
      </w:pPr>
    </w:p>
    <w:p>
      <w:pPr>
        <w:pStyle w:val="BodyText"/>
        <w:spacing w:before="3"/>
        <w:rPr>
          <w:i/>
          <w:sz w:val="26"/>
        </w:rPr>
      </w:pPr>
    </w:p>
    <w:p>
      <w:pPr>
        <w:pStyle w:val="Heading2"/>
      </w:pPr>
      <w:r>
        <w:rPr/>
        <w:t>Observation/measurement intervals:</w:t>
      </w:r>
    </w:p>
    <w:p>
      <w:pPr>
        <w:pStyle w:val="BodyText"/>
        <w:spacing w:before="11"/>
        <w:rPr>
          <w:b/>
          <w:i w:val="0"/>
          <w:sz w:val="21"/>
        </w:rPr>
      </w:pPr>
    </w:p>
    <w:p>
      <w:pPr>
        <w:pStyle w:val="Heading5"/>
        <w:rPr>
          <w:i/>
        </w:rPr>
      </w:pPr>
      <w:r>
        <w:rPr>
          <w:i/>
          <w:color w:val="FF0000"/>
        </w:rPr>
        <w:t>[List time points at which observations or measurements were made.]</w:t>
      </w:r>
    </w:p>
    <w:p>
      <w:pPr>
        <w:pStyle w:val="BodyText"/>
        <w:rPr>
          <w:i/>
          <w:sz w:val="24"/>
        </w:rPr>
      </w:pPr>
    </w:p>
    <w:p>
      <w:pPr>
        <w:pStyle w:val="BodyText"/>
        <w:spacing w:before="9"/>
        <w:rPr>
          <w:i/>
          <w:sz w:val="22"/>
        </w:rPr>
      </w:pPr>
    </w:p>
    <w:p>
      <w:pPr>
        <w:pStyle w:val="BodyText"/>
        <w:ind w:left="859" w:right="166"/>
      </w:pPr>
      <w:r>
        <w:rPr>
          <w:b/>
          <w:i/>
          <w:color w:val="0070C0"/>
        </w:rPr>
        <w:t>U.S. EPA OCSPP 885.4240 </w:t>
      </w:r>
      <w:r>
        <w:rPr>
          <w:i/>
          <w:color w:val="0070C0"/>
        </w:rPr>
        <w:t>Detailed description of the effects of exposure to the test substance, including:(i) The criteria used to determine the </w:t>
      </w:r>
      <w:r>
        <w:rPr>
          <w:color w:val="0070C0"/>
        </w:rPr>
        <w:t>effects; (ii) percentages of organisms that died or showed effects of treatment; (iii) A summary of these observations, including changes in life cycle(duration, fecundity, and morphology). </w:t>
      </w:r>
      <w:r>
        <w:rPr>
          <w:b/>
          <w:i/>
          <w:color w:val="0070C0"/>
        </w:rPr>
        <w:t>From U.S. EPA OCSPP 885.0001 Overview for Microbial Pest Control Agents </w:t>
      </w:r>
      <w:r>
        <w:rPr>
          <w:i/>
          <w:color w:val="0070C0"/>
        </w:rPr>
        <w:t>Method, frequency, </w:t>
      </w:r>
      <w:r>
        <w:rPr>
          <w:color w:val="0070C0"/>
        </w:rPr>
        <w:t>and duration of observations made during the study are to be reported.</w:t>
      </w:r>
    </w:p>
    <w:p>
      <w:pPr>
        <w:pStyle w:val="BodyText"/>
        <w:spacing w:line="184" w:lineRule="exact"/>
        <w:ind w:left="859"/>
        <w:rPr>
          <w:i/>
        </w:rPr>
      </w:pPr>
      <w:r>
        <w:rPr>
          <w:b/>
          <w:i/>
          <w:color w:val="0070C0"/>
        </w:rPr>
        <w:t>PMRA DIR 2001-02  </w:t>
      </w:r>
      <w:r>
        <w:rPr>
          <w:i/>
          <w:color w:val="0070C0"/>
        </w:rPr>
        <w:t>Regular observations are required to record mortalities and note any behavioral, pathogenic or toxic adverse effects.</w:t>
      </w:r>
    </w:p>
    <w:p>
      <w:pPr>
        <w:pStyle w:val="BodyText"/>
        <w:spacing w:line="184" w:lineRule="exact" w:before="1"/>
        <w:ind w:left="1561" w:right="6856"/>
        <w:jc w:val="center"/>
        <w:rPr>
          <w:i/>
        </w:rPr>
      </w:pPr>
      <w:r>
        <w:rPr>
          <w:b/>
          <w:i/>
          <w:color w:val="0070C0"/>
        </w:rPr>
        <w:t>-</w:t>
      </w:r>
      <w:r>
        <w:rPr>
          <w:i/>
          <w:color w:val="0070C0"/>
          <w:u w:val="single" w:color="0070C0"/>
        </w:rPr>
        <w:t>Pelagic Aquatic Arthropods:</w:t>
      </w:r>
    </w:p>
    <w:p>
      <w:pPr>
        <w:pStyle w:val="BodyText"/>
        <w:ind w:left="860" w:right="299" w:hanging="1"/>
      </w:pPr>
      <w:r>
        <w:rPr>
          <w:b/>
          <w:i/>
          <w:color w:val="0070C0"/>
        </w:rPr>
        <w:t>Environment Canada EPS 1/RM/44 </w:t>
      </w:r>
      <w:r>
        <w:rPr>
          <w:i/>
          <w:color w:val="0070C0"/>
        </w:rPr>
        <w:t>For </w:t>
      </w:r>
      <w:r>
        <w:rPr>
          <w:i/>
          <w:color w:val="0070C0"/>
          <w:u w:val="single" w:color="0070C0"/>
        </w:rPr>
        <w:t>daphnids</w:t>
      </w:r>
      <w:r>
        <w:rPr>
          <w:i/>
          <w:color w:val="0070C0"/>
        </w:rPr>
        <w:t>: temperature, pH, hardness, and dissolved oxygen concentration should be measured at </w:t>
      </w:r>
      <w:r>
        <w:rPr>
          <w:color w:val="0070C0"/>
        </w:rPr>
        <w:t>least once a week in fresh and old test suspensions of each control and the highest test concentration. Analyses permitting, the concentration of the MPCA in each treatment and control group should be determined at the beginning and end of the study, and at the beginning and end of at least one renewal cycle during each week of the study. Survival and number of live young should be observed daily (young should be removed</w:t>
      </w:r>
    </w:p>
    <w:p>
      <w:pPr>
        <w:spacing w:after="0"/>
        <w:sectPr>
          <w:pgSz w:w="12240" w:h="15840"/>
          <w:pgMar w:header="729" w:footer="1084" w:top="1940" w:bottom="1280" w:left="940" w:right="940"/>
        </w:sectPr>
      </w:pPr>
    </w:p>
    <w:p>
      <w:pPr>
        <w:pStyle w:val="BodyText"/>
        <w:spacing w:before="6"/>
        <w:rPr>
          <w:i/>
          <w:sz w:val="15"/>
        </w:rPr>
      </w:pPr>
    </w:p>
    <w:p>
      <w:pPr>
        <w:pStyle w:val="BodyText"/>
        <w:spacing w:before="1"/>
        <w:ind w:left="860" w:right="232"/>
      </w:pPr>
      <w:r>
        <w:rPr>
          <w:i/>
          <w:color w:val="0070C0"/>
        </w:rPr>
        <w:t>after counting). For </w:t>
      </w:r>
      <w:r>
        <w:rPr>
          <w:i/>
          <w:color w:val="0070C0"/>
          <w:u w:val="single" w:color="0070C0"/>
        </w:rPr>
        <w:t>shrimp</w:t>
      </w:r>
      <w:r>
        <w:rPr>
          <w:i/>
          <w:color w:val="0070C0"/>
        </w:rPr>
        <w:t>: temperature, pH. dissolved oxygen concentration should be measured at the beginning and end of each renewal for </w:t>
      </w:r>
      <w:r>
        <w:rPr>
          <w:color w:val="0070C0"/>
        </w:rPr>
        <w:t>at least one replicate of each treatment. Analyses permitting, the concentration of the MPCA in each treatment and control group should be determined at the beginning and end of the study, and at the beginning and end of at least one renewal cycle during each week of the study.</w:t>
      </w:r>
    </w:p>
    <w:p>
      <w:pPr>
        <w:pStyle w:val="BodyText"/>
        <w:spacing w:line="183" w:lineRule="exact"/>
        <w:ind w:left="860"/>
        <w:rPr>
          <w:i/>
        </w:rPr>
      </w:pPr>
      <w:r>
        <w:rPr>
          <w:i/>
          <w:color w:val="0070C0"/>
        </w:rPr>
        <w:t>Survival, appearance and behavior must be observed daily and at test end.</w:t>
      </w:r>
    </w:p>
    <w:p>
      <w:pPr>
        <w:pStyle w:val="BodyText"/>
        <w:ind w:left="859" w:right="190"/>
      </w:pPr>
      <w:r>
        <w:rPr>
          <w:b/>
          <w:i/>
          <w:color w:val="0070C0"/>
        </w:rPr>
        <w:t>OECD 202 </w:t>
      </w:r>
      <w:r>
        <w:rPr>
          <w:i/>
          <w:color w:val="0070C0"/>
        </w:rPr>
        <w:t>Observation for immobility and abnormal behavior at 24 and 48 hours. The dissolved oxygen and pH are measured at the beginning </w:t>
      </w:r>
      <w:r>
        <w:rPr>
          <w:color w:val="0070C0"/>
        </w:rPr>
        <w:t>and end of the test in the control(s) and in the highest test substance concentration. The temperature is usually measured in control vessels or in ambient air and it should be recorded preferably continuously during the test or, as a minimum, at the beginning and end of the test. The concentration of the test substance should be measured, as a minimum, at the highest and lowest test concentration, at the beginning and end of the test.</w:t>
      </w:r>
    </w:p>
    <w:p>
      <w:pPr>
        <w:pStyle w:val="BodyText"/>
        <w:spacing w:before="1"/>
        <w:ind w:left="859" w:right="177"/>
      </w:pPr>
      <w:r>
        <w:rPr>
          <w:b/>
          <w:i/>
          <w:color w:val="0070C0"/>
        </w:rPr>
        <w:t>OECD 211 </w:t>
      </w:r>
      <w:r>
        <w:rPr>
          <w:i/>
          <w:color w:val="0070C0"/>
        </w:rPr>
        <w:t>Offspring counted daily, mortality in parent animals assessed daily. Dissolved oxygen concentration, temperature, hardness and pH </w:t>
      </w:r>
      <w:r>
        <w:rPr>
          <w:color w:val="0070C0"/>
        </w:rPr>
        <w:t>values should be measured at least once a week, in fresh and old media, in the control(s) and in the highest test substance concentration. In static-renewal studies where the concentration of the test material is expected to remain within 20% of the nominal concentration, the concentration in highest and lowest test concentrations should be analyzed when freshly prepared and at least once weekly at time of renewal. In static-renewal studies where the concentration is not expected to remain within 20% of the nominal concentration, the concentration in all chambers should be analyzed when freshly prepared and at all renewals. In flow-through studies, concentrations should be determined at least weekly, however, the flow-rate of diluent and test substance must be checked daily.</w:t>
      </w:r>
    </w:p>
    <w:p>
      <w:pPr>
        <w:pStyle w:val="BodyText"/>
        <w:spacing w:line="184" w:lineRule="exact"/>
        <w:ind w:left="1561" w:right="6856"/>
        <w:jc w:val="center"/>
        <w:rPr>
          <w:i/>
        </w:rPr>
      </w:pPr>
      <w:r>
        <w:rPr>
          <w:b/>
          <w:i/>
          <w:color w:val="0070C0"/>
        </w:rPr>
        <w:t>-</w:t>
      </w:r>
      <w:r>
        <w:rPr>
          <w:i/>
          <w:color w:val="0070C0"/>
          <w:u w:val="single" w:color="0070C0"/>
        </w:rPr>
        <w:t>Benthic Aquatic Arthropods:</w:t>
      </w:r>
    </w:p>
    <w:p>
      <w:pPr>
        <w:pStyle w:val="BodyText"/>
        <w:ind w:left="859" w:right="214"/>
      </w:pPr>
      <w:r>
        <w:rPr>
          <w:b/>
          <w:i/>
          <w:color w:val="0070C0"/>
        </w:rPr>
        <w:t>Environment Canada EPS 1/RM/44 </w:t>
      </w:r>
      <w:r>
        <w:rPr>
          <w:i/>
          <w:color w:val="0070C0"/>
        </w:rPr>
        <w:t>Temperature, dissolved oxygen measured 3×/week; pH, conductivity and ammonia at start and end of test </w:t>
      </w:r>
      <w:r>
        <w:rPr>
          <w:color w:val="0070C0"/>
        </w:rPr>
        <w:t>and each renewal; concentration of the MPCA at beginning and end of test, and in water, at one renewal cycle per week. Observations of test organisms at each renewal. The mean dry weight of surviving test organisms measured at test end.</w:t>
      </w:r>
    </w:p>
    <w:p>
      <w:pPr>
        <w:pStyle w:val="BodyText"/>
        <w:ind w:left="859" w:right="246"/>
      </w:pPr>
      <w:r>
        <w:rPr>
          <w:b/>
          <w:i/>
          <w:color w:val="0070C0"/>
        </w:rPr>
        <w:t>OECD 218 and 219  </w:t>
      </w:r>
      <w:r>
        <w:rPr>
          <w:i/>
          <w:color w:val="0070C0"/>
        </w:rPr>
        <w:t>Test vessels should be observed at least 3 times per week for abnormal behavior.  During the period of expected </w:t>
      </w:r>
      <w:r>
        <w:rPr>
          <w:color w:val="0070C0"/>
        </w:rPr>
        <w:t>emergence, daily counts are required (sex and number). Prior to the beginning of the test, the concentration of the test substance in sediment should be determined in at least one vessel per treatment. It is recommended that, as a minimum, samples of the overlying water, the pore water and the sediment be analyzed at the start and at the end of the test, at the highest concentration and a lower one. Physical and chemical parameters measured at the beginning and end of the test and at suitable intervals.</w:t>
      </w:r>
    </w:p>
    <w:p>
      <w:pPr>
        <w:pStyle w:val="BodyText"/>
        <w:spacing w:before="2"/>
        <w:rPr>
          <w:i/>
          <w:sz w:val="22"/>
        </w:rPr>
      </w:pPr>
    </w:p>
    <w:p>
      <w:pPr>
        <w:pStyle w:val="Heading2"/>
        <w:spacing w:before="1"/>
      </w:pPr>
      <w:r>
        <w:rPr/>
        <w:t>Testing for infectivity/pathogenicity:</w:t>
      </w:r>
    </w:p>
    <w:p>
      <w:pPr>
        <w:pStyle w:val="BodyText"/>
        <w:spacing w:before="10"/>
        <w:rPr>
          <w:b/>
          <w:i w:val="0"/>
          <w:sz w:val="21"/>
        </w:rPr>
      </w:pPr>
    </w:p>
    <w:p>
      <w:pPr>
        <w:pStyle w:val="Heading5"/>
        <w:spacing w:before="1"/>
        <w:ind w:right="656"/>
      </w:pPr>
      <w:r>
        <w:rPr>
          <w:i/>
          <w:color w:val="FF0000"/>
        </w:rPr>
        <w:t>[List the frequency of determination- Briefly describe how infectivity was tested, and list the organs, </w:t>
      </w:r>
      <w:r>
        <w:rPr>
          <w:color w:val="FF0000"/>
        </w:rPr>
        <w:t>tissues or fluids tested, if applicable]</w:t>
      </w:r>
    </w:p>
    <w:p>
      <w:pPr>
        <w:pStyle w:val="BodyText"/>
        <w:rPr>
          <w:i/>
          <w:sz w:val="24"/>
        </w:rPr>
      </w:pPr>
    </w:p>
    <w:p>
      <w:pPr>
        <w:pStyle w:val="BodyText"/>
        <w:spacing w:before="11"/>
        <w:rPr>
          <w:i/>
          <w:sz w:val="22"/>
        </w:rPr>
      </w:pPr>
    </w:p>
    <w:p>
      <w:pPr>
        <w:pStyle w:val="BodyText"/>
        <w:ind w:left="859" w:right="306"/>
      </w:pPr>
      <w:r>
        <w:rPr>
          <w:b/>
          <w:i/>
          <w:color w:val="0070C0"/>
        </w:rPr>
        <w:t>U.S. EPA OCSPP 885.4240 </w:t>
      </w:r>
      <w:r>
        <w:rPr>
          <w:i/>
          <w:color w:val="0070C0"/>
        </w:rPr>
        <w:t>A detailed description of steps taken to determine microorganism dissemination, replication and survival in test </w:t>
      </w:r>
      <w:r>
        <w:rPr>
          <w:color w:val="0070C0"/>
        </w:rPr>
        <w:t>animal tissues, organism and fluids is required.</w:t>
      </w:r>
    </w:p>
    <w:p>
      <w:pPr>
        <w:pStyle w:val="BodyText"/>
        <w:ind w:left="859" w:right="138"/>
        <w:jc w:val="both"/>
      </w:pPr>
      <w:r>
        <w:rPr>
          <w:b/>
          <w:i/>
          <w:color w:val="0070C0"/>
        </w:rPr>
        <w:t>PMRA DIR 2001-02 </w:t>
      </w:r>
      <w:r>
        <w:rPr>
          <w:i/>
          <w:color w:val="0070C0"/>
        </w:rPr>
        <w:t>For MPCAs that are pathogens, pathogenicity testing should be performed. The specific test method used should match the </w:t>
      </w:r>
      <w:r>
        <w:rPr>
          <w:color w:val="0070C0"/>
        </w:rPr>
        <w:t>infectivity requirements of the pathogen and host and should be capable of detecting both infection and disease symptoms. When the MPCA is not a pathogen, applicants can rely on standard toxicity test methods.</w:t>
      </w:r>
    </w:p>
    <w:p>
      <w:pPr>
        <w:pStyle w:val="BodyText"/>
        <w:ind w:left="859"/>
      </w:pPr>
      <w:r>
        <w:rPr>
          <w:b/>
          <w:i/>
          <w:color w:val="0070C0"/>
        </w:rPr>
        <w:t>Environment Canada EPS 1/RM/44 </w:t>
      </w:r>
      <w:r>
        <w:rPr>
          <w:i/>
          <w:color w:val="0070C0"/>
        </w:rPr>
        <w:t>Infectivity testing is optional during and/or at test end based on measured concentrations of new microbial </w:t>
      </w:r>
      <w:r>
        <w:rPr>
          <w:color w:val="0070C0"/>
        </w:rPr>
        <w:t>substance in whole-body homogenates.</w:t>
      </w:r>
    </w:p>
    <w:p>
      <w:pPr>
        <w:spacing w:line="184" w:lineRule="exact" w:before="0"/>
        <w:ind w:left="859" w:right="0" w:firstLine="0"/>
        <w:jc w:val="left"/>
        <w:rPr>
          <w:i/>
          <w:sz w:val="16"/>
        </w:rPr>
      </w:pPr>
      <w:r>
        <w:rPr>
          <w:b/>
          <w:i/>
          <w:color w:val="0070C0"/>
          <w:sz w:val="16"/>
        </w:rPr>
        <w:t>OECD 202, 211, 218, &amp; 219  </w:t>
      </w:r>
      <w:r>
        <w:rPr>
          <w:i/>
          <w:color w:val="0070C0"/>
          <w:sz w:val="16"/>
        </w:rPr>
        <w:t>No specific recommendations (guideline designed for chemical toxicity testing).</w:t>
      </w:r>
    </w:p>
    <w:p>
      <w:pPr>
        <w:pStyle w:val="BodyText"/>
        <w:spacing w:before="2"/>
        <w:rPr>
          <w:i/>
          <w:sz w:val="22"/>
        </w:rPr>
      </w:pPr>
    </w:p>
    <w:p>
      <w:pPr>
        <w:pStyle w:val="Heading2"/>
      </w:pPr>
      <w:r>
        <w:rPr/>
        <w:t>Necropsy:</w:t>
      </w:r>
    </w:p>
    <w:p>
      <w:pPr>
        <w:pStyle w:val="BodyText"/>
        <w:spacing w:before="11"/>
        <w:rPr>
          <w:b/>
          <w:i w:val="0"/>
          <w:sz w:val="21"/>
        </w:rPr>
      </w:pPr>
    </w:p>
    <w:p>
      <w:pPr>
        <w:pStyle w:val="Heading5"/>
        <w:ind w:right="662"/>
      </w:pPr>
      <w:r>
        <w:rPr>
          <w:i/>
          <w:color w:val="FF0000"/>
        </w:rPr>
        <w:t>[Indicate on which groups of test animals necropsies were performed, and list observations made at </w:t>
      </w:r>
      <w:r>
        <w:rPr>
          <w:color w:val="FF0000"/>
        </w:rPr>
        <w:t>necropsy (gross lesions, histological examination).]</w:t>
      </w:r>
    </w:p>
    <w:p>
      <w:pPr>
        <w:pStyle w:val="BodyText"/>
        <w:spacing w:before="9"/>
        <w:rPr>
          <w:i/>
          <w:sz w:val="31"/>
        </w:rPr>
      </w:pPr>
    </w:p>
    <w:p>
      <w:pPr>
        <w:spacing w:line="184" w:lineRule="exact" w:before="0"/>
        <w:ind w:left="859" w:right="0" w:firstLine="0"/>
        <w:jc w:val="left"/>
        <w:rPr>
          <w:i/>
          <w:sz w:val="16"/>
        </w:rPr>
      </w:pPr>
      <w:r>
        <w:rPr>
          <w:b/>
          <w:i/>
          <w:color w:val="0070C0"/>
          <w:sz w:val="16"/>
        </w:rPr>
        <w:t>U.S. EPA OCSPP 885.4240   </w:t>
      </w:r>
      <w:r>
        <w:rPr>
          <w:i/>
          <w:color w:val="0070C0"/>
          <w:sz w:val="16"/>
        </w:rPr>
        <w:t>No specific recommendations.</w:t>
      </w:r>
    </w:p>
    <w:p>
      <w:pPr>
        <w:pStyle w:val="BodyText"/>
        <w:ind w:left="859" w:right="259"/>
      </w:pPr>
      <w:r>
        <w:rPr>
          <w:b/>
          <w:i/>
          <w:color w:val="0070C0"/>
        </w:rPr>
        <w:t>PMRA DIR 2001-02 </w:t>
      </w:r>
      <w:r>
        <w:rPr>
          <w:i/>
          <w:color w:val="0070C0"/>
        </w:rPr>
        <w:t>Gross necropsy and histopathological examination should be performed on exposure site tissues and other organs or </w:t>
      </w:r>
      <w:r>
        <w:rPr>
          <w:color w:val="0070C0"/>
        </w:rPr>
        <w:t>tissues showing anatomical or physiological abnormalities in adversely affected test organisms. In cases where tissue preferences are known or suspected, the tissues should be examined whether or not gross anatomical or physiological changes are seen.</w:t>
      </w:r>
    </w:p>
    <w:p>
      <w:pPr>
        <w:pStyle w:val="BodyText"/>
        <w:ind w:left="859" w:right="306"/>
        <w:rPr>
          <w:i/>
        </w:rPr>
      </w:pPr>
      <w:r>
        <w:rPr>
          <w:b/>
          <w:i/>
          <w:color w:val="0070C0"/>
        </w:rPr>
        <w:t>Environment Canada EPS 1/RM/44 </w:t>
      </w:r>
      <w:r>
        <w:rPr>
          <w:i/>
          <w:color w:val="0070C0"/>
        </w:rPr>
        <w:t>All dying as well as those surviving at test termination must be necropsied; organs and tissues must be </w:t>
      </w:r>
      <w:r>
        <w:rPr>
          <w:color w:val="0070C0"/>
        </w:rPr>
        <w:t>examined for evidence of lesions and abnormalities. Selected tissues must be collected for future microscopic examination where necessary. </w:t>
      </w:r>
      <w:r>
        <w:rPr>
          <w:b/>
          <w:i/>
          <w:color w:val="0070C0"/>
        </w:rPr>
        <w:t>OECD 202, 211, 218, &amp; 219  </w:t>
      </w:r>
      <w:r>
        <w:rPr>
          <w:i/>
          <w:color w:val="0070C0"/>
        </w:rPr>
        <w:t>No specific recommendations (guideline designed for chemical toxicity testing).</w:t>
      </w:r>
    </w:p>
    <w:p>
      <w:pPr>
        <w:pStyle w:val="BodyText"/>
        <w:spacing w:before="2"/>
        <w:rPr>
          <w:i/>
          <w:sz w:val="22"/>
        </w:rPr>
      </w:pPr>
    </w:p>
    <w:p>
      <w:pPr>
        <w:pStyle w:val="Heading2"/>
        <w:spacing w:line="480" w:lineRule="auto"/>
        <w:ind w:right="3247" w:hanging="1"/>
      </w:pPr>
      <w:r>
        <w:rPr/>
        <w:t>Water quality was acceptable? (Results and Discussion Section# 1) Were raw data included?</w:t>
      </w:r>
    </w:p>
    <w:p>
      <w:pPr>
        <w:spacing w:after="0" w:line="480" w:lineRule="auto"/>
        <w:sectPr>
          <w:pgSz w:w="12240" w:h="15840"/>
          <w:pgMar w:header="729" w:footer="1084" w:top="1940" w:bottom="1280" w:left="940" w:right="940"/>
        </w:sectPr>
      </w:pPr>
    </w:p>
    <w:p>
      <w:pPr>
        <w:spacing w:before="182"/>
        <w:ind w:left="860" w:right="0" w:firstLine="0"/>
        <w:jc w:val="left"/>
        <w:rPr>
          <w:b/>
          <w:sz w:val="22"/>
        </w:rPr>
      </w:pPr>
      <w:r>
        <w:rPr>
          <w:b/>
          <w:sz w:val="22"/>
        </w:rPr>
        <w:t>Other observations, if any:</w:t>
      </w:r>
    </w:p>
    <w:p>
      <w:pPr>
        <w:pStyle w:val="BodyText"/>
        <w:rPr>
          <w:b/>
          <w:i w:val="0"/>
          <w:sz w:val="22"/>
        </w:rPr>
      </w:pPr>
    </w:p>
    <w:p>
      <w:pPr>
        <w:pStyle w:val="ListParagraph"/>
        <w:numPr>
          <w:ilvl w:val="0"/>
          <w:numId w:val="1"/>
        </w:numPr>
        <w:tabs>
          <w:tab w:pos="859" w:val="left" w:leader="none"/>
          <w:tab w:pos="861" w:val="left" w:leader="none"/>
        </w:tabs>
        <w:spacing w:line="240" w:lineRule="auto" w:before="0" w:after="0"/>
        <w:ind w:left="860" w:right="0" w:hanging="720"/>
        <w:jc w:val="left"/>
        <w:rPr>
          <w:b/>
          <w:sz w:val="22"/>
          <w:u w:val="none"/>
        </w:rPr>
      </w:pPr>
      <w:r>
        <w:rPr>
          <w:b/>
          <w:sz w:val="22"/>
          <w:u w:val="none"/>
        </w:rPr>
        <w:t>RESULTS</w:t>
      </w:r>
    </w:p>
    <w:p>
      <w:pPr>
        <w:pStyle w:val="BodyText"/>
        <w:spacing w:before="10"/>
        <w:rPr>
          <w:b/>
          <w:i w:val="0"/>
          <w:sz w:val="21"/>
        </w:rPr>
      </w:pPr>
    </w:p>
    <w:p>
      <w:pPr>
        <w:pStyle w:val="ListParagraph"/>
        <w:numPr>
          <w:ilvl w:val="0"/>
          <w:numId w:val="3"/>
        </w:numPr>
        <w:tabs>
          <w:tab w:pos="859" w:val="left" w:leader="none"/>
          <w:tab w:pos="861" w:val="left" w:leader="none"/>
        </w:tabs>
        <w:spacing w:line="240" w:lineRule="auto" w:before="0" w:after="0"/>
        <w:ind w:left="860" w:right="0" w:hanging="720"/>
        <w:jc w:val="left"/>
        <w:rPr>
          <w:b/>
          <w:sz w:val="22"/>
          <w:u w:val="none"/>
        </w:rPr>
      </w:pPr>
      <w:r>
        <w:rPr>
          <w:b/>
          <w:sz w:val="22"/>
          <w:u w:val="thick"/>
        </w:rPr>
        <w:t>WATER QUALITY</w:t>
      </w:r>
      <w:r>
        <w:rPr>
          <w:b/>
          <w:spacing w:val="-15"/>
          <w:sz w:val="22"/>
          <w:u w:val="thick"/>
        </w:rPr>
        <w:t> </w:t>
      </w:r>
      <w:r>
        <w:rPr>
          <w:b/>
          <w:sz w:val="22"/>
          <w:u w:val="thick"/>
        </w:rPr>
        <w:t>PARAMETERS</w:t>
      </w:r>
      <w:r>
        <w:rPr>
          <w:b/>
          <w:sz w:val="22"/>
          <w:u w:val="none"/>
        </w:rPr>
        <w:t>:</w:t>
      </w:r>
    </w:p>
    <w:p>
      <w:pPr>
        <w:pStyle w:val="BodyText"/>
        <w:spacing w:before="1"/>
        <w:rPr>
          <w:b/>
          <w:i w:val="0"/>
          <w:sz w:val="14"/>
        </w:rPr>
      </w:pPr>
    </w:p>
    <w:p>
      <w:pPr>
        <w:pStyle w:val="Heading5"/>
        <w:spacing w:before="91"/>
        <w:rPr>
          <w:i/>
        </w:rPr>
      </w:pPr>
      <w:r>
        <w:rPr>
          <w:i/>
          <w:color w:val="FF0000"/>
        </w:rPr>
        <w:t>[Summarize water quality measurements and discuss the acceptability.]</w:t>
      </w:r>
    </w:p>
    <w:p>
      <w:pPr>
        <w:pStyle w:val="BodyText"/>
        <w:spacing w:before="9"/>
        <w:rPr>
          <w:i/>
          <w:sz w:val="21"/>
        </w:rPr>
      </w:pPr>
    </w:p>
    <w:p>
      <w:pPr>
        <w:tabs>
          <w:tab w:pos="1580" w:val="left" w:leader="none"/>
        </w:tabs>
        <w:spacing w:before="1" w:after="3"/>
        <w:ind w:left="140" w:right="407" w:hanging="1"/>
        <w:jc w:val="left"/>
        <w:rPr>
          <w:sz w:val="22"/>
        </w:rPr>
      </w:pPr>
      <w:r>
        <w:rPr>
          <w:b/>
          <w:sz w:val="22"/>
        </w:rPr>
        <w:t>TABLE</w:t>
      </w:r>
      <w:r>
        <w:rPr>
          <w:b/>
          <w:spacing w:val="-1"/>
          <w:sz w:val="22"/>
        </w:rPr>
        <w:t> </w:t>
      </w:r>
      <w:r>
        <w:rPr>
          <w:b/>
          <w:i/>
          <w:color w:val="FF0000"/>
          <w:sz w:val="22"/>
        </w:rPr>
        <w:t>[#]</w:t>
      </w:r>
      <w:r>
        <w:rPr>
          <w:b/>
          <w:sz w:val="22"/>
        </w:rPr>
        <w:t>.</w:t>
        <w:tab/>
      </w:r>
      <w:r>
        <w:rPr>
          <w:sz w:val="22"/>
        </w:rPr>
        <w:t>Dissolved</w:t>
      </w:r>
      <w:r>
        <w:rPr>
          <w:spacing w:val="-4"/>
          <w:sz w:val="22"/>
        </w:rPr>
        <w:t> </w:t>
      </w:r>
      <w:r>
        <w:rPr>
          <w:sz w:val="22"/>
        </w:rPr>
        <w:t>oxygen,</w:t>
      </w:r>
      <w:r>
        <w:rPr>
          <w:spacing w:val="-4"/>
          <w:sz w:val="22"/>
        </w:rPr>
        <w:t> </w:t>
      </w:r>
      <w:r>
        <w:rPr>
          <w:sz w:val="22"/>
        </w:rPr>
        <w:t>temperature</w:t>
      </w:r>
      <w:r>
        <w:rPr>
          <w:spacing w:val="-5"/>
          <w:sz w:val="22"/>
        </w:rPr>
        <w:t> </w:t>
      </w:r>
      <w:r>
        <w:rPr>
          <w:sz w:val="22"/>
        </w:rPr>
        <w:t>and</w:t>
      </w:r>
      <w:r>
        <w:rPr>
          <w:spacing w:val="-4"/>
          <w:sz w:val="22"/>
        </w:rPr>
        <w:t> </w:t>
      </w:r>
      <w:r>
        <w:rPr>
          <w:sz w:val="22"/>
        </w:rPr>
        <w:t>pH</w:t>
      </w:r>
      <w:r>
        <w:rPr>
          <w:spacing w:val="-5"/>
          <w:sz w:val="22"/>
        </w:rPr>
        <w:t> </w:t>
      </w:r>
      <w:r>
        <w:rPr>
          <w:sz w:val="22"/>
        </w:rPr>
        <w:t>in</w:t>
      </w:r>
      <w:r>
        <w:rPr>
          <w:spacing w:val="-4"/>
          <w:sz w:val="22"/>
        </w:rPr>
        <w:t> </w:t>
      </w:r>
      <w:r>
        <w:rPr>
          <w:sz w:val="22"/>
        </w:rPr>
        <w:t>test</w:t>
      </w:r>
      <w:r>
        <w:rPr>
          <w:spacing w:val="-4"/>
          <w:sz w:val="22"/>
        </w:rPr>
        <w:t> </w:t>
      </w:r>
      <w:r>
        <w:rPr>
          <w:sz w:val="22"/>
        </w:rPr>
        <w:t>suspensions</w:t>
      </w:r>
      <w:r>
        <w:rPr>
          <w:spacing w:val="-5"/>
          <w:sz w:val="22"/>
        </w:rPr>
        <w:t> </w:t>
      </w:r>
      <w:r>
        <w:rPr>
          <w:sz w:val="22"/>
        </w:rPr>
        <w:t>during</w:t>
      </w:r>
      <w:r>
        <w:rPr>
          <w:spacing w:val="-4"/>
          <w:sz w:val="22"/>
        </w:rPr>
        <w:t> </w:t>
      </w:r>
      <w:r>
        <w:rPr>
          <w:sz w:val="22"/>
        </w:rPr>
        <w:t>the</w:t>
      </w:r>
      <w:r>
        <w:rPr>
          <w:spacing w:val="-5"/>
          <w:sz w:val="22"/>
        </w:rPr>
        <w:t> </w:t>
      </w:r>
      <w:r>
        <w:rPr>
          <w:i/>
          <w:color w:val="FF0000"/>
          <w:sz w:val="22"/>
        </w:rPr>
        <w:t>[X]</w:t>
      </w:r>
      <w:r>
        <w:rPr>
          <w:sz w:val="22"/>
        </w:rPr>
        <w:t>-day</w:t>
      </w:r>
      <w:r>
        <w:rPr>
          <w:spacing w:val="-3"/>
          <w:sz w:val="22"/>
        </w:rPr>
        <w:t> </w:t>
      </w:r>
      <w:r>
        <w:rPr>
          <w:sz w:val="22"/>
        </w:rPr>
        <w:t>exposure</w:t>
      </w:r>
      <w:r>
        <w:rPr>
          <w:spacing w:val="-5"/>
          <w:sz w:val="22"/>
        </w:rPr>
        <w:t> </w:t>
      </w:r>
      <w:r>
        <w:rPr>
          <w:sz w:val="22"/>
        </w:rPr>
        <w:t>of</w:t>
      </w:r>
      <w:r>
        <w:rPr>
          <w:spacing w:val="-4"/>
          <w:sz w:val="22"/>
        </w:rPr>
        <w:t> </w:t>
      </w:r>
      <w:r>
        <w:rPr>
          <w:i/>
          <w:color w:val="FF0000"/>
          <w:sz w:val="22"/>
        </w:rPr>
        <w:t>[test</w:t>
      </w:r>
      <w:r>
        <w:rPr>
          <w:i/>
          <w:color w:val="FF0000"/>
          <w:w w:val="99"/>
          <w:sz w:val="22"/>
        </w:rPr>
        <w:t> </w:t>
      </w:r>
      <w:r>
        <w:rPr>
          <w:i/>
          <w:color w:val="FF0000"/>
          <w:sz w:val="22"/>
        </w:rPr>
        <w:t>organism]</w:t>
      </w:r>
      <w:r>
        <w:rPr>
          <w:i/>
          <w:color w:val="FF0000"/>
          <w:spacing w:val="-5"/>
          <w:sz w:val="22"/>
        </w:rPr>
        <w:t> </w:t>
      </w:r>
      <w:r>
        <w:rPr>
          <w:sz w:val="22"/>
        </w:rPr>
        <w:t>to</w:t>
      </w:r>
      <w:r>
        <w:rPr>
          <w:spacing w:val="-8"/>
          <w:sz w:val="22"/>
        </w:rPr>
        <w:t> </w:t>
      </w:r>
      <w:r>
        <w:rPr>
          <w:i/>
          <w:color w:val="FF0000"/>
          <w:sz w:val="22"/>
        </w:rPr>
        <w:t>[concentration]</w:t>
      </w:r>
      <w:r>
        <w:rPr>
          <w:i/>
          <w:color w:val="FF0000"/>
          <w:spacing w:val="-5"/>
          <w:sz w:val="22"/>
        </w:rPr>
        <w:t> </w:t>
      </w:r>
      <w:r>
        <w:rPr>
          <w:sz w:val="22"/>
        </w:rPr>
        <w:t>of</w:t>
      </w:r>
      <w:r>
        <w:rPr>
          <w:spacing w:val="-8"/>
          <w:sz w:val="22"/>
        </w:rPr>
        <w:t> </w:t>
      </w:r>
      <w:r>
        <w:rPr>
          <w:i/>
          <w:color w:val="FF0000"/>
          <w:sz w:val="22"/>
        </w:rPr>
        <w:t>[test</w:t>
      </w:r>
      <w:r>
        <w:rPr>
          <w:i/>
          <w:color w:val="FF0000"/>
          <w:spacing w:val="-7"/>
          <w:sz w:val="22"/>
        </w:rPr>
        <w:t> </w:t>
      </w:r>
      <w:r>
        <w:rPr>
          <w:i/>
          <w:color w:val="FF0000"/>
          <w:sz w:val="22"/>
        </w:rPr>
        <w:t>substance]</w:t>
      </w:r>
      <w:r>
        <w:rPr>
          <w:i/>
          <w:color w:val="FF0000"/>
          <w:spacing w:val="-5"/>
          <w:sz w:val="22"/>
        </w:rPr>
        <w:t> </w:t>
      </w:r>
      <w:r>
        <w:rPr>
          <w:sz w:val="22"/>
        </w:rPr>
        <w:t>under</w:t>
      </w:r>
      <w:r>
        <w:rPr>
          <w:spacing w:val="-6"/>
          <w:sz w:val="22"/>
        </w:rPr>
        <w:t> </w:t>
      </w:r>
      <w:r>
        <w:rPr>
          <w:i/>
          <w:color w:val="FF0000"/>
          <w:sz w:val="22"/>
        </w:rPr>
        <w:t>[static-renewal/flow-through]</w:t>
      </w:r>
      <w:r>
        <w:rPr>
          <w:i/>
          <w:color w:val="FF0000"/>
          <w:spacing w:val="-5"/>
          <w:sz w:val="22"/>
        </w:rPr>
        <w:t> </w:t>
      </w:r>
      <w:r>
        <w:rPr>
          <w:sz w:val="22"/>
        </w:rPr>
        <w:t>conditions.</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070"/>
        <w:gridCol w:w="1440"/>
        <w:gridCol w:w="810"/>
        <w:gridCol w:w="720"/>
        <w:gridCol w:w="720"/>
        <w:gridCol w:w="630"/>
        <w:gridCol w:w="630"/>
        <w:gridCol w:w="720"/>
        <w:gridCol w:w="720"/>
        <w:gridCol w:w="900"/>
      </w:tblGrid>
      <w:tr>
        <w:trPr>
          <w:trHeight w:val="380" w:hRule="exact"/>
        </w:trPr>
        <w:tc>
          <w:tcPr>
            <w:tcW w:w="2070" w:type="dxa"/>
            <w:vMerge w:val="restart"/>
            <w:tcBorders>
              <w:right w:val="single" w:sz="4" w:space="0" w:color="000000"/>
            </w:tcBorders>
          </w:tcPr>
          <w:p>
            <w:pPr>
              <w:pStyle w:val="TableParagraph"/>
              <w:spacing w:before="3"/>
              <w:rPr>
                <w:sz w:val="25"/>
              </w:rPr>
            </w:pPr>
          </w:p>
          <w:p>
            <w:pPr>
              <w:pStyle w:val="TableParagraph"/>
              <w:ind w:left="565"/>
              <w:rPr>
                <w:b/>
                <w:sz w:val="20"/>
              </w:rPr>
            </w:pPr>
            <w:r>
              <w:rPr>
                <w:b/>
                <w:sz w:val="20"/>
              </w:rPr>
              <w:t>Parameter</w:t>
            </w:r>
          </w:p>
        </w:tc>
        <w:tc>
          <w:tcPr>
            <w:tcW w:w="1440" w:type="dxa"/>
            <w:vMerge w:val="restart"/>
            <w:tcBorders>
              <w:left w:val="single" w:sz="4" w:space="0" w:color="000000"/>
              <w:right w:val="single" w:sz="4" w:space="0" w:color="000000"/>
            </w:tcBorders>
          </w:tcPr>
          <w:p>
            <w:pPr>
              <w:pStyle w:val="TableParagraph"/>
              <w:spacing w:before="3"/>
              <w:rPr>
                <w:sz w:val="25"/>
              </w:rPr>
            </w:pPr>
          </w:p>
          <w:p>
            <w:pPr>
              <w:pStyle w:val="TableParagraph"/>
              <w:ind w:left="315"/>
              <w:rPr>
                <w:b/>
                <w:sz w:val="20"/>
              </w:rPr>
            </w:pPr>
            <w:r>
              <w:rPr>
                <w:b/>
                <w:sz w:val="20"/>
              </w:rPr>
              <w:t>Replicate</w:t>
            </w:r>
          </w:p>
        </w:tc>
        <w:tc>
          <w:tcPr>
            <w:tcW w:w="810" w:type="dxa"/>
            <w:tcBorders>
              <w:left w:val="single" w:sz="4" w:space="0" w:color="000000"/>
              <w:bottom w:val="single" w:sz="4" w:space="0" w:color="000000"/>
              <w:right w:val="single" w:sz="4" w:space="0" w:color="000000"/>
            </w:tcBorders>
          </w:tcPr>
          <w:p>
            <w:pPr>
              <w:pStyle w:val="TableParagraph"/>
              <w:spacing w:before="106"/>
              <w:ind w:left="133" w:right="132"/>
              <w:jc w:val="center"/>
              <w:rPr>
                <w:b/>
                <w:sz w:val="20"/>
              </w:rPr>
            </w:pPr>
            <w:r>
              <w:rPr>
                <w:b/>
                <w:sz w:val="20"/>
              </w:rPr>
              <w:t>Day 0</w:t>
            </w:r>
          </w:p>
        </w:tc>
        <w:tc>
          <w:tcPr>
            <w:tcW w:w="1440" w:type="dxa"/>
            <w:gridSpan w:val="2"/>
            <w:tcBorders>
              <w:left w:val="single" w:sz="4" w:space="0" w:color="000000"/>
              <w:bottom w:val="single" w:sz="4" w:space="0" w:color="000000"/>
              <w:right w:val="single" w:sz="4" w:space="0" w:color="000000"/>
            </w:tcBorders>
          </w:tcPr>
          <w:p>
            <w:pPr>
              <w:pStyle w:val="TableParagraph"/>
              <w:spacing w:before="106"/>
              <w:ind w:left="467"/>
              <w:rPr>
                <w:b/>
                <w:sz w:val="20"/>
              </w:rPr>
            </w:pPr>
            <w:r>
              <w:rPr>
                <w:b/>
                <w:sz w:val="20"/>
              </w:rPr>
              <w:t>Day 2</w:t>
            </w:r>
          </w:p>
        </w:tc>
        <w:tc>
          <w:tcPr>
            <w:tcW w:w="1260" w:type="dxa"/>
            <w:gridSpan w:val="2"/>
            <w:tcBorders>
              <w:left w:val="single" w:sz="4" w:space="0" w:color="000000"/>
              <w:bottom w:val="single" w:sz="4" w:space="0" w:color="000000"/>
              <w:right w:val="single" w:sz="4" w:space="0" w:color="000000"/>
            </w:tcBorders>
          </w:tcPr>
          <w:p>
            <w:pPr>
              <w:pStyle w:val="TableParagraph"/>
              <w:spacing w:before="106"/>
              <w:ind w:left="377"/>
              <w:rPr>
                <w:b/>
                <w:sz w:val="20"/>
              </w:rPr>
            </w:pPr>
            <w:r>
              <w:rPr>
                <w:b/>
                <w:sz w:val="20"/>
              </w:rPr>
              <w:t>Day 4</w:t>
            </w:r>
          </w:p>
        </w:tc>
        <w:tc>
          <w:tcPr>
            <w:tcW w:w="1440" w:type="dxa"/>
            <w:gridSpan w:val="2"/>
            <w:tcBorders>
              <w:left w:val="single" w:sz="4" w:space="0" w:color="000000"/>
              <w:bottom w:val="single" w:sz="4" w:space="0" w:color="000000"/>
              <w:right w:val="single" w:sz="4" w:space="0" w:color="000000"/>
            </w:tcBorders>
          </w:tcPr>
          <w:p>
            <w:pPr>
              <w:pStyle w:val="TableParagraph"/>
              <w:spacing w:before="106"/>
              <w:ind w:left="423"/>
              <w:rPr>
                <w:b/>
                <w:i/>
                <w:sz w:val="20"/>
              </w:rPr>
            </w:pPr>
            <w:r>
              <w:rPr>
                <w:b/>
                <w:i/>
                <w:color w:val="FF0000"/>
                <w:sz w:val="20"/>
              </w:rPr>
              <w:t>Day –2</w:t>
            </w:r>
          </w:p>
        </w:tc>
        <w:tc>
          <w:tcPr>
            <w:tcW w:w="900" w:type="dxa"/>
            <w:tcBorders>
              <w:left w:val="single" w:sz="4" w:space="0" w:color="000000"/>
              <w:bottom w:val="single" w:sz="4" w:space="0" w:color="000000"/>
            </w:tcBorders>
          </w:tcPr>
          <w:p>
            <w:pPr>
              <w:pStyle w:val="TableParagraph"/>
              <w:spacing w:before="106"/>
              <w:ind w:left="178" w:right="168"/>
              <w:jc w:val="center"/>
              <w:rPr>
                <w:b/>
                <w:i/>
                <w:sz w:val="20"/>
              </w:rPr>
            </w:pPr>
            <w:r>
              <w:rPr>
                <w:b/>
                <w:i/>
                <w:color w:val="FF0000"/>
                <w:sz w:val="20"/>
              </w:rPr>
              <w:t>Day n</w:t>
            </w:r>
          </w:p>
        </w:tc>
      </w:tr>
      <w:tr>
        <w:trPr>
          <w:trHeight w:val="379" w:hRule="exact"/>
        </w:trPr>
        <w:tc>
          <w:tcPr>
            <w:tcW w:w="2070" w:type="dxa"/>
            <w:vMerge/>
            <w:tcBorders>
              <w:right w:val="single" w:sz="4" w:space="0" w:color="000000"/>
            </w:tcBorders>
          </w:tcPr>
          <w:p>
            <w:pPr/>
          </w:p>
        </w:tc>
        <w:tc>
          <w:tcPr>
            <w:tcW w:w="1440" w:type="dxa"/>
            <w:vMerge/>
            <w:tcBorders>
              <w:left w:val="single" w:sz="4" w:space="0" w:color="000000"/>
              <w:right w:val="single" w:sz="4" w:space="0" w:color="000000"/>
            </w:tcBorders>
          </w:tcPr>
          <w:p>
            <w:pPr/>
          </w:p>
        </w:tc>
        <w:tc>
          <w:tcPr>
            <w:tcW w:w="810" w:type="dxa"/>
            <w:tcBorders>
              <w:top w:val="single" w:sz="4" w:space="0" w:color="000000"/>
              <w:left w:val="single" w:sz="4" w:space="0" w:color="000000"/>
              <w:right w:val="single" w:sz="4" w:space="0" w:color="000000"/>
            </w:tcBorders>
          </w:tcPr>
          <w:p>
            <w:pPr>
              <w:pStyle w:val="TableParagraph"/>
              <w:spacing w:before="105"/>
              <w:ind w:left="132" w:right="132"/>
              <w:jc w:val="center"/>
              <w:rPr>
                <w:b/>
                <w:sz w:val="20"/>
              </w:rPr>
            </w:pPr>
            <w:r>
              <w:rPr>
                <w:b/>
                <w:sz w:val="20"/>
              </w:rPr>
              <w:t>New</w:t>
            </w:r>
          </w:p>
        </w:tc>
        <w:tc>
          <w:tcPr>
            <w:tcW w:w="720" w:type="dxa"/>
            <w:tcBorders>
              <w:top w:val="single" w:sz="4" w:space="0" w:color="000000"/>
              <w:left w:val="single" w:sz="4" w:space="0" w:color="000000"/>
              <w:right w:val="single" w:sz="4" w:space="0" w:color="000000"/>
            </w:tcBorders>
          </w:tcPr>
          <w:p>
            <w:pPr>
              <w:pStyle w:val="TableParagraph"/>
              <w:spacing w:before="105"/>
              <w:ind w:left="194"/>
              <w:rPr>
                <w:b/>
                <w:sz w:val="20"/>
              </w:rPr>
            </w:pPr>
            <w:r>
              <w:rPr>
                <w:b/>
                <w:sz w:val="20"/>
              </w:rPr>
              <w:t>Old</w:t>
            </w:r>
          </w:p>
        </w:tc>
        <w:tc>
          <w:tcPr>
            <w:tcW w:w="720" w:type="dxa"/>
            <w:tcBorders>
              <w:top w:val="single" w:sz="4" w:space="0" w:color="000000"/>
              <w:left w:val="single" w:sz="4" w:space="0" w:color="000000"/>
              <w:right w:val="single" w:sz="4" w:space="0" w:color="000000"/>
            </w:tcBorders>
          </w:tcPr>
          <w:p>
            <w:pPr>
              <w:pStyle w:val="TableParagraph"/>
              <w:spacing w:before="105"/>
              <w:ind w:left="166"/>
              <w:rPr>
                <w:b/>
                <w:sz w:val="20"/>
              </w:rPr>
            </w:pPr>
            <w:r>
              <w:rPr>
                <w:b/>
                <w:sz w:val="20"/>
              </w:rPr>
              <w:t>New</w:t>
            </w:r>
          </w:p>
        </w:tc>
        <w:tc>
          <w:tcPr>
            <w:tcW w:w="630" w:type="dxa"/>
            <w:tcBorders>
              <w:top w:val="single" w:sz="4" w:space="0" w:color="000000"/>
              <w:left w:val="single" w:sz="4" w:space="0" w:color="000000"/>
              <w:right w:val="single" w:sz="4" w:space="0" w:color="000000"/>
            </w:tcBorders>
          </w:tcPr>
          <w:p>
            <w:pPr>
              <w:pStyle w:val="TableParagraph"/>
              <w:spacing w:before="105"/>
              <w:ind w:left="148"/>
              <w:rPr>
                <w:b/>
                <w:sz w:val="20"/>
              </w:rPr>
            </w:pPr>
            <w:r>
              <w:rPr>
                <w:b/>
                <w:sz w:val="20"/>
              </w:rPr>
              <w:t>Old</w:t>
            </w:r>
          </w:p>
        </w:tc>
        <w:tc>
          <w:tcPr>
            <w:tcW w:w="630" w:type="dxa"/>
            <w:tcBorders>
              <w:top w:val="single" w:sz="4" w:space="0" w:color="000000"/>
              <w:left w:val="single" w:sz="4" w:space="0" w:color="000000"/>
              <w:right w:val="single" w:sz="4" w:space="0" w:color="000000"/>
            </w:tcBorders>
          </w:tcPr>
          <w:p>
            <w:pPr>
              <w:pStyle w:val="TableParagraph"/>
              <w:spacing w:before="105"/>
              <w:ind w:left="121"/>
              <w:rPr>
                <w:b/>
                <w:sz w:val="20"/>
              </w:rPr>
            </w:pPr>
            <w:r>
              <w:rPr>
                <w:b/>
                <w:sz w:val="20"/>
              </w:rPr>
              <w:t>New</w:t>
            </w:r>
          </w:p>
        </w:tc>
        <w:tc>
          <w:tcPr>
            <w:tcW w:w="720" w:type="dxa"/>
            <w:tcBorders>
              <w:top w:val="single" w:sz="4" w:space="0" w:color="000000"/>
              <w:left w:val="single" w:sz="4" w:space="0" w:color="000000"/>
              <w:right w:val="single" w:sz="4" w:space="0" w:color="000000"/>
            </w:tcBorders>
          </w:tcPr>
          <w:p>
            <w:pPr>
              <w:pStyle w:val="TableParagraph"/>
              <w:spacing w:before="105"/>
              <w:ind w:left="194"/>
              <w:rPr>
                <w:b/>
                <w:sz w:val="20"/>
              </w:rPr>
            </w:pPr>
            <w:r>
              <w:rPr>
                <w:b/>
                <w:sz w:val="20"/>
              </w:rPr>
              <w:t>Old</w:t>
            </w:r>
          </w:p>
        </w:tc>
        <w:tc>
          <w:tcPr>
            <w:tcW w:w="720" w:type="dxa"/>
            <w:tcBorders>
              <w:top w:val="single" w:sz="4" w:space="0" w:color="000000"/>
              <w:left w:val="single" w:sz="4" w:space="0" w:color="000000"/>
              <w:right w:val="single" w:sz="4" w:space="0" w:color="000000"/>
            </w:tcBorders>
          </w:tcPr>
          <w:p>
            <w:pPr>
              <w:pStyle w:val="TableParagraph"/>
              <w:spacing w:before="105"/>
              <w:ind w:left="166"/>
              <w:rPr>
                <w:b/>
                <w:sz w:val="20"/>
              </w:rPr>
            </w:pPr>
            <w:r>
              <w:rPr>
                <w:b/>
                <w:sz w:val="20"/>
              </w:rPr>
              <w:t>New</w:t>
            </w:r>
          </w:p>
        </w:tc>
        <w:tc>
          <w:tcPr>
            <w:tcW w:w="900" w:type="dxa"/>
            <w:tcBorders>
              <w:top w:val="single" w:sz="4" w:space="0" w:color="000000"/>
              <w:left w:val="single" w:sz="4" w:space="0" w:color="000000"/>
            </w:tcBorders>
          </w:tcPr>
          <w:p>
            <w:pPr>
              <w:pStyle w:val="TableParagraph"/>
              <w:spacing w:before="105"/>
              <w:ind w:left="178" w:right="168"/>
              <w:jc w:val="center"/>
              <w:rPr>
                <w:b/>
                <w:sz w:val="20"/>
              </w:rPr>
            </w:pPr>
            <w:r>
              <w:rPr>
                <w:b/>
                <w:sz w:val="20"/>
              </w:rPr>
              <w:t>Old</w:t>
            </w:r>
          </w:p>
        </w:tc>
      </w:tr>
      <w:tr>
        <w:trPr>
          <w:trHeight w:val="380" w:hRule="exact"/>
        </w:trPr>
        <w:tc>
          <w:tcPr>
            <w:tcW w:w="2070" w:type="dxa"/>
            <w:vMerge w:val="restart"/>
            <w:tcBorders>
              <w:right w:val="single" w:sz="4" w:space="0" w:color="000000"/>
            </w:tcBorders>
          </w:tcPr>
          <w:p>
            <w:pPr>
              <w:pStyle w:val="TableParagraph"/>
              <w:rPr>
                <w:sz w:val="22"/>
              </w:rPr>
            </w:pPr>
          </w:p>
          <w:p>
            <w:pPr>
              <w:pStyle w:val="TableParagraph"/>
              <w:spacing w:before="3"/>
              <w:rPr>
                <w:sz w:val="25"/>
              </w:rPr>
            </w:pPr>
          </w:p>
          <w:p>
            <w:pPr>
              <w:pStyle w:val="TableParagraph"/>
              <w:ind w:left="102" w:right="90" w:firstLine="199"/>
              <w:rPr>
                <w:sz w:val="20"/>
              </w:rPr>
            </w:pPr>
            <w:r>
              <w:rPr>
                <w:sz w:val="20"/>
              </w:rPr>
              <w:t>Dissolved oxygen (% saturation or mg/L)</w:t>
            </w:r>
          </w:p>
        </w:tc>
        <w:tc>
          <w:tcPr>
            <w:tcW w:w="1440" w:type="dxa"/>
            <w:tcBorders>
              <w:left w:val="single" w:sz="4" w:space="0" w:color="000000"/>
              <w:bottom w:val="single" w:sz="4" w:space="0" w:color="000000"/>
              <w:right w:val="single" w:sz="4" w:space="0" w:color="000000"/>
            </w:tcBorders>
          </w:tcPr>
          <w:p>
            <w:pPr>
              <w:pStyle w:val="TableParagraph"/>
              <w:spacing w:before="104"/>
              <w:ind w:left="1"/>
              <w:jc w:val="center"/>
              <w:rPr>
                <w:sz w:val="20"/>
              </w:rPr>
            </w:pPr>
            <w:r>
              <w:rPr>
                <w:w w:val="100"/>
                <w:sz w:val="20"/>
              </w:rPr>
              <w:t>1</w:t>
            </w:r>
          </w:p>
        </w:tc>
        <w:tc>
          <w:tcPr>
            <w:tcW w:w="810" w:type="dxa"/>
            <w:tcBorders>
              <w:left w:val="single" w:sz="4" w:space="0" w:color="000000"/>
              <w:bottom w:val="single" w:sz="4" w:space="0" w:color="000000"/>
              <w:right w:val="single" w:sz="4" w:space="0" w:color="000000"/>
            </w:tcBorders>
          </w:tcPr>
          <w:p>
            <w:pPr/>
          </w:p>
        </w:tc>
        <w:tc>
          <w:tcPr>
            <w:tcW w:w="720" w:type="dxa"/>
            <w:tcBorders>
              <w:left w:val="single" w:sz="4" w:space="0" w:color="000000"/>
              <w:bottom w:val="single" w:sz="4" w:space="0" w:color="000000"/>
              <w:right w:val="single" w:sz="4" w:space="0" w:color="000000"/>
            </w:tcBorders>
          </w:tcPr>
          <w:p>
            <w:pPr/>
          </w:p>
        </w:tc>
        <w:tc>
          <w:tcPr>
            <w:tcW w:w="720" w:type="dxa"/>
            <w:tcBorders>
              <w:left w:val="single" w:sz="4" w:space="0" w:color="000000"/>
              <w:bottom w:val="single" w:sz="4" w:space="0" w:color="000000"/>
              <w:right w:val="single" w:sz="4" w:space="0" w:color="000000"/>
            </w:tcBorders>
          </w:tcPr>
          <w:p>
            <w:pPr/>
          </w:p>
        </w:tc>
        <w:tc>
          <w:tcPr>
            <w:tcW w:w="630" w:type="dxa"/>
            <w:tcBorders>
              <w:left w:val="single" w:sz="4" w:space="0" w:color="000000"/>
              <w:bottom w:val="single" w:sz="4" w:space="0" w:color="000000"/>
              <w:right w:val="single" w:sz="4" w:space="0" w:color="000000"/>
            </w:tcBorders>
          </w:tcPr>
          <w:p>
            <w:pPr/>
          </w:p>
        </w:tc>
        <w:tc>
          <w:tcPr>
            <w:tcW w:w="630" w:type="dxa"/>
            <w:tcBorders>
              <w:left w:val="single" w:sz="4" w:space="0" w:color="000000"/>
              <w:bottom w:val="single" w:sz="4" w:space="0" w:color="000000"/>
              <w:right w:val="single" w:sz="4" w:space="0" w:color="000000"/>
            </w:tcBorders>
          </w:tcPr>
          <w:p>
            <w:pPr/>
          </w:p>
        </w:tc>
        <w:tc>
          <w:tcPr>
            <w:tcW w:w="720" w:type="dxa"/>
            <w:tcBorders>
              <w:left w:val="single" w:sz="4" w:space="0" w:color="000000"/>
              <w:bottom w:val="single" w:sz="4" w:space="0" w:color="000000"/>
              <w:right w:val="single" w:sz="4" w:space="0" w:color="000000"/>
            </w:tcBorders>
          </w:tcPr>
          <w:p>
            <w:pPr/>
          </w:p>
        </w:tc>
        <w:tc>
          <w:tcPr>
            <w:tcW w:w="720" w:type="dxa"/>
            <w:tcBorders>
              <w:left w:val="single" w:sz="4" w:space="0" w:color="000000"/>
              <w:bottom w:val="single" w:sz="4" w:space="0" w:color="000000"/>
              <w:right w:val="single" w:sz="4" w:space="0" w:color="000000"/>
            </w:tcBorders>
          </w:tcPr>
          <w:p>
            <w:pPr/>
          </w:p>
        </w:tc>
        <w:tc>
          <w:tcPr>
            <w:tcW w:w="900" w:type="dxa"/>
            <w:tcBorders>
              <w:left w:val="single" w:sz="4" w:space="0" w:color="000000"/>
              <w:bottom w:val="single" w:sz="4" w:space="0" w:color="000000"/>
            </w:tcBorders>
          </w:tcPr>
          <w:p>
            <w:pPr/>
          </w:p>
        </w:tc>
      </w:tr>
      <w:tr>
        <w:trPr>
          <w:trHeight w:val="371" w:hRule="exact"/>
        </w:trPr>
        <w:tc>
          <w:tcPr>
            <w:tcW w:w="2070" w:type="dxa"/>
            <w:vMerge/>
            <w:tcBorders>
              <w:right w:val="single" w:sz="4" w:space="0" w:color="000000"/>
            </w:tcBorders>
          </w:tcPr>
          <w:p>
            <w:pPr/>
          </w:p>
        </w:tc>
        <w:tc>
          <w:tcPr>
            <w:tcW w:w="1440" w:type="dxa"/>
            <w:tcBorders>
              <w:top w:val="single" w:sz="4" w:space="0" w:color="000000"/>
              <w:left w:val="single" w:sz="4" w:space="0" w:color="000000"/>
              <w:bottom w:val="single" w:sz="4" w:space="0" w:color="000000"/>
              <w:right w:val="single" w:sz="4" w:space="0" w:color="000000"/>
            </w:tcBorders>
          </w:tcPr>
          <w:p>
            <w:pPr>
              <w:pStyle w:val="TableParagraph"/>
              <w:spacing w:before="103"/>
              <w:ind w:left="1"/>
              <w:jc w:val="center"/>
              <w:rPr>
                <w:sz w:val="20"/>
              </w:rPr>
            </w:pPr>
            <w:r>
              <w:rPr>
                <w:w w:val="100"/>
                <w:sz w:val="20"/>
              </w:rPr>
              <w:t>2</w:t>
            </w:r>
          </w:p>
        </w:tc>
        <w:tc>
          <w:tcPr>
            <w:tcW w:w="81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900" w:type="dxa"/>
            <w:tcBorders>
              <w:top w:val="single" w:sz="4" w:space="0" w:color="000000"/>
              <w:left w:val="single" w:sz="4" w:space="0" w:color="000000"/>
              <w:bottom w:val="single" w:sz="4" w:space="0" w:color="000000"/>
            </w:tcBorders>
          </w:tcPr>
          <w:p>
            <w:pPr/>
          </w:p>
        </w:tc>
      </w:tr>
      <w:tr>
        <w:trPr>
          <w:trHeight w:val="370" w:hRule="exact"/>
        </w:trPr>
        <w:tc>
          <w:tcPr>
            <w:tcW w:w="2070" w:type="dxa"/>
            <w:vMerge/>
            <w:tcBorders>
              <w:right w:val="single" w:sz="4" w:space="0" w:color="000000"/>
            </w:tcBorders>
          </w:tcPr>
          <w:p>
            <w:pPr/>
          </w:p>
        </w:tc>
        <w:tc>
          <w:tcPr>
            <w:tcW w:w="1440" w:type="dxa"/>
            <w:tcBorders>
              <w:top w:val="single" w:sz="4" w:space="0" w:color="000000"/>
              <w:left w:val="single" w:sz="4" w:space="0" w:color="000000"/>
              <w:bottom w:val="single" w:sz="4" w:space="0" w:color="000000"/>
              <w:right w:val="single" w:sz="4" w:space="0" w:color="000000"/>
            </w:tcBorders>
          </w:tcPr>
          <w:p>
            <w:pPr>
              <w:pStyle w:val="TableParagraph"/>
              <w:spacing w:before="102"/>
              <w:ind w:left="1"/>
              <w:jc w:val="center"/>
              <w:rPr>
                <w:i/>
                <w:sz w:val="20"/>
              </w:rPr>
            </w:pPr>
            <w:r>
              <w:rPr>
                <w:i/>
                <w:color w:val="FF0000"/>
                <w:w w:val="100"/>
                <w:sz w:val="20"/>
              </w:rPr>
              <w:t>n</w:t>
            </w:r>
          </w:p>
        </w:tc>
        <w:tc>
          <w:tcPr>
            <w:tcW w:w="81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900" w:type="dxa"/>
            <w:tcBorders>
              <w:top w:val="single" w:sz="4" w:space="0" w:color="000000"/>
              <w:left w:val="single" w:sz="4" w:space="0" w:color="000000"/>
              <w:bottom w:val="single" w:sz="4" w:space="0" w:color="000000"/>
            </w:tcBorders>
          </w:tcPr>
          <w:p>
            <w:pPr/>
          </w:p>
        </w:tc>
      </w:tr>
      <w:tr>
        <w:trPr>
          <w:trHeight w:val="370" w:hRule="exact"/>
        </w:trPr>
        <w:tc>
          <w:tcPr>
            <w:tcW w:w="2070" w:type="dxa"/>
            <w:vMerge/>
            <w:tcBorders>
              <w:bottom w:val="single" w:sz="4" w:space="0" w:color="000000"/>
              <w:right w:val="single" w:sz="4" w:space="0" w:color="000000"/>
            </w:tcBorders>
          </w:tcPr>
          <w:p>
            <w:pPr/>
          </w:p>
        </w:tc>
        <w:tc>
          <w:tcPr>
            <w:tcW w:w="1440" w:type="dxa"/>
            <w:tcBorders>
              <w:top w:val="single" w:sz="4" w:space="0" w:color="000000"/>
              <w:left w:val="single" w:sz="4" w:space="0" w:color="000000"/>
              <w:bottom w:val="single" w:sz="4" w:space="0" w:color="000000"/>
              <w:right w:val="single" w:sz="4" w:space="0" w:color="000000"/>
            </w:tcBorders>
          </w:tcPr>
          <w:p>
            <w:pPr>
              <w:pStyle w:val="TableParagraph"/>
              <w:spacing w:before="102"/>
              <w:ind w:left="468" w:right="467"/>
              <w:jc w:val="center"/>
              <w:rPr>
                <w:sz w:val="20"/>
              </w:rPr>
            </w:pPr>
            <w:r>
              <w:rPr>
                <w:sz w:val="20"/>
              </w:rPr>
              <w:t>Mean</w:t>
            </w:r>
          </w:p>
        </w:tc>
        <w:tc>
          <w:tcPr>
            <w:tcW w:w="81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900" w:type="dxa"/>
            <w:tcBorders>
              <w:top w:val="single" w:sz="4" w:space="0" w:color="000000"/>
              <w:left w:val="single" w:sz="4" w:space="0" w:color="000000"/>
              <w:bottom w:val="single" w:sz="4" w:space="0" w:color="000000"/>
            </w:tcBorders>
          </w:tcPr>
          <w:p>
            <w:pPr/>
          </w:p>
        </w:tc>
      </w:tr>
      <w:tr>
        <w:trPr>
          <w:trHeight w:val="371" w:hRule="exact"/>
        </w:trPr>
        <w:tc>
          <w:tcPr>
            <w:tcW w:w="2070" w:type="dxa"/>
            <w:vMerge w:val="restart"/>
            <w:tcBorders>
              <w:top w:val="single" w:sz="4" w:space="0" w:color="000000"/>
              <w:right w:val="single" w:sz="4" w:space="0" w:color="000000"/>
            </w:tcBorders>
          </w:tcPr>
          <w:p>
            <w:pPr>
              <w:pStyle w:val="TableParagraph"/>
              <w:rPr>
                <w:sz w:val="22"/>
              </w:rPr>
            </w:pPr>
          </w:p>
          <w:p>
            <w:pPr>
              <w:pStyle w:val="TableParagraph"/>
              <w:spacing w:before="2"/>
              <w:rPr>
                <w:sz w:val="25"/>
              </w:rPr>
            </w:pPr>
          </w:p>
          <w:p>
            <w:pPr>
              <w:pStyle w:val="TableParagraph"/>
              <w:ind w:left="847" w:right="500" w:hanging="338"/>
              <w:rPr>
                <w:sz w:val="20"/>
              </w:rPr>
            </w:pPr>
            <w:r>
              <w:rPr>
                <w:sz w:val="20"/>
              </w:rPr>
              <w:t>Temperature (°C)</w:t>
            </w:r>
          </w:p>
        </w:tc>
        <w:tc>
          <w:tcPr>
            <w:tcW w:w="1440" w:type="dxa"/>
            <w:tcBorders>
              <w:top w:val="single" w:sz="4" w:space="0" w:color="000000"/>
              <w:left w:val="single" w:sz="4" w:space="0" w:color="000000"/>
              <w:bottom w:val="single" w:sz="4" w:space="0" w:color="000000"/>
              <w:right w:val="single" w:sz="4" w:space="0" w:color="000000"/>
            </w:tcBorders>
          </w:tcPr>
          <w:p>
            <w:pPr>
              <w:pStyle w:val="TableParagraph"/>
              <w:spacing w:before="103"/>
              <w:ind w:left="1"/>
              <w:jc w:val="center"/>
              <w:rPr>
                <w:sz w:val="20"/>
              </w:rPr>
            </w:pPr>
            <w:r>
              <w:rPr>
                <w:w w:val="100"/>
                <w:sz w:val="20"/>
              </w:rPr>
              <w:t>1</w:t>
            </w:r>
          </w:p>
        </w:tc>
        <w:tc>
          <w:tcPr>
            <w:tcW w:w="81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900" w:type="dxa"/>
            <w:tcBorders>
              <w:top w:val="single" w:sz="4" w:space="0" w:color="000000"/>
              <w:left w:val="single" w:sz="4" w:space="0" w:color="000000"/>
              <w:bottom w:val="single" w:sz="4" w:space="0" w:color="000000"/>
            </w:tcBorders>
          </w:tcPr>
          <w:p>
            <w:pPr/>
          </w:p>
        </w:tc>
      </w:tr>
      <w:tr>
        <w:trPr>
          <w:trHeight w:val="370" w:hRule="exact"/>
        </w:trPr>
        <w:tc>
          <w:tcPr>
            <w:tcW w:w="2070" w:type="dxa"/>
            <w:vMerge/>
            <w:tcBorders>
              <w:right w:val="single" w:sz="4" w:space="0" w:color="000000"/>
            </w:tcBorders>
          </w:tcPr>
          <w:p>
            <w:pPr/>
          </w:p>
        </w:tc>
        <w:tc>
          <w:tcPr>
            <w:tcW w:w="1440" w:type="dxa"/>
            <w:tcBorders>
              <w:top w:val="single" w:sz="4" w:space="0" w:color="000000"/>
              <w:left w:val="single" w:sz="4" w:space="0" w:color="000000"/>
              <w:bottom w:val="single" w:sz="4" w:space="0" w:color="000000"/>
              <w:right w:val="single" w:sz="4" w:space="0" w:color="000000"/>
            </w:tcBorders>
          </w:tcPr>
          <w:p>
            <w:pPr>
              <w:pStyle w:val="TableParagraph"/>
              <w:spacing w:before="102"/>
              <w:ind w:left="1"/>
              <w:jc w:val="center"/>
              <w:rPr>
                <w:sz w:val="20"/>
              </w:rPr>
            </w:pPr>
            <w:r>
              <w:rPr>
                <w:w w:val="100"/>
                <w:sz w:val="20"/>
              </w:rPr>
              <w:t>2</w:t>
            </w:r>
          </w:p>
        </w:tc>
        <w:tc>
          <w:tcPr>
            <w:tcW w:w="81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900" w:type="dxa"/>
            <w:tcBorders>
              <w:top w:val="single" w:sz="4" w:space="0" w:color="000000"/>
              <w:left w:val="single" w:sz="4" w:space="0" w:color="000000"/>
              <w:bottom w:val="single" w:sz="4" w:space="0" w:color="000000"/>
            </w:tcBorders>
          </w:tcPr>
          <w:p>
            <w:pPr/>
          </w:p>
        </w:tc>
      </w:tr>
      <w:tr>
        <w:trPr>
          <w:trHeight w:val="370" w:hRule="exact"/>
        </w:trPr>
        <w:tc>
          <w:tcPr>
            <w:tcW w:w="2070" w:type="dxa"/>
            <w:vMerge/>
            <w:tcBorders>
              <w:right w:val="single" w:sz="4" w:space="0" w:color="000000"/>
            </w:tcBorders>
          </w:tcPr>
          <w:p>
            <w:pPr/>
          </w:p>
        </w:tc>
        <w:tc>
          <w:tcPr>
            <w:tcW w:w="1440" w:type="dxa"/>
            <w:tcBorders>
              <w:top w:val="single" w:sz="4" w:space="0" w:color="000000"/>
              <w:left w:val="single" w:sz="4" w:space="0" w:color="000000"/>
              <w:bottom w:val="single" w:sz="4" w:space="0" w:color="000000"/>
              <w:right w:val="single" w:sz="4" w:space="0" w:color="000000"/>
            </w:tcBorders>
          </w:tcPr>
          <w:p>
            <w:pPr>
              <w:pStyle w:val="TableParagraph"/>
              <w:spacing w:before="102"/>
              <w:ind w:left="1"/>
              <w:jc w:val="center"/>
              <w:rPr>
                <w:i/>
                <w:sz w:val="20"/>
              </w:rPr>
            </w:pPr>
            <w:r>
              <w:rPr>
                <w:i/>
                <w:color w:val="FF0000"/>
                <w:w w:val="100"/>
                <w:sz w:val="20"/>
              </w:rPr>
              <w:t>n</w:t>
            </w:r>
          </w:p>
        </w:tc>
        <w:tc>
          <w:tcPr>
            <w:tcW w:w="81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900" w:type="dxa"/>
            <w:tcBorders>
              <w:top w:val="single" w:sz="4" w:space="0" w:color="000000"/>
              <w:left w:val="single" w:sz="4" w:space="0" w:color="000000"/>
              <w:bottom w:val="single" w:sz="4" w:space="0" w:color="000000"/>
            </w:tcBorders>
          </w:tcPr>
          <w:p>
            <w:pPr/>
          </w:p>
        </w:tc>
      </w:tr>
      <w:tr>
        <w:trPr>
          <w:trHeight w:val="371" w:hRule="exact"/>
        </w:trPr>
        <w:tc>
          <w:tcPr>
            <w:tcW w:w="2070" w:type="dxa"/>
            <w:vMerge/>
            <w:tcBorders>
              <w:bottom w:val="single" w:sz="4" w:space="0" w:color="000000"/>
              <w:right w:val="single" w:sz="4" w:space="0" w:color="000000"/>
            </w:tcBorders>
          </w:tcPr>
          <w:p>
            <w:pPr/>
          </w:p>
        </w:tc>
        <w:tc>
          <w:tcPr>
            <w:tcW w:w="1440" w:type="dxa"/>
            <w:tcBorders>
              <w:top w:val="single" w:sz="4" w:space="0" w:color="000000"/>
              <w:left w:val="single" w:sz="4" w:space="0" w:color="000000"/>
              <w:bottom w:val="single" w:sz="4" w:space="0" w:color="000000"/>
              <w:right w:val="single" w:sz="4" w:space="0" w:color="000000"/>
            </w:tcBorders>
          </w:tcPr>
          <w:p>
            <w:pPr>
              <w:pStyle w:val="TableParagraph"/>
              <w:spacing w:before="103"/>
              <w:ind w:left="468" w:right="467"/>
              <w:jc w:val="center"/>
              <w:rPr>
                <w:sz w:val="20"/>
              </w:rPr>
            </w:pPr>
            <w:r>
              <w:rPr>
                <w:sz w:val="20"/>
              </w:rPr>
              <w:t>Mean</w:t>
            </w:r>
          </w:p>
        </w:tc>
        <w:tc>
          <w:tcPr>
            <w:tcW w:w="81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900" w:type="dxa"/>
            <w:tcBorders>
              <w:top w:val="single" w:sz="4" w:space="0" w:color="000000"/>
              <w:left w:val="single" w:sz="4" w:space="0" w:color="000000"/>
              <w:bottom w:val="single" w:sz="4" w:space="0" w:color="000000"/>
            </w:tcBorders>
          </w:tcPr>
          <w:p>
            <w:pPr/>
          </w:p>
        </w:tc>
      </w:tr>
      <w:tr>
        <w:trPr>
          <w:trHeight w:val="370" w:hRule="exact"/>
        </w:trPr>
        <w:tc>
          <w:tcPr>
            <w:tcW w:w="2070" w:type="dxa"/>
            <w:vMerge w:val="restart"/>
            <w:tcBorders>
              <w:top w:val="single" w:sz="4" w:space="0" w:color="000000"/>
              <w:right w:val="single" w:sz="4" w:space="0" w:color="000000"/>
            </w:tcBorders>
          </w:tcPr>
          <w:p>
            <w:pPr>
              <w:pStyle w:val="TableParagraph"/>
              <w:rPr>
                <w:sz w:val="22"/>
              </w:rPr>
            </w:pPr>
          </w:p>
          <w:p>
            <w:pPr>
              <w:pStyle w:val="TableParagraph"/>
              <w:rPr>
                <w:sz w:val="22"/>
              </w:rPr>
            </w:pPr>
          </w:p>
          <w:p>
            <w:pPr>
              <w:pStyle w:val="TableParagraph"/>
              <w:spacing w:before="151"/>
              <w:ind w:left="880" w:right="885"/>
              <w:jc w:val="center"/>
              <w:rPr>
                <w:sz w:val="20"/>
              </w:rPr>
            </w:pPr>
            <w:r>
              <w:rPr>
                <w:sz w:val="20"/>
              </w:rPr>
              <w:t>pH</w:t>
            </w:r>
          </w:p>
        </w:tc>
        <w:tc>
          <w:tcPr>
            <w:tcW w:w="1440" w:type="dxa"/>
            <w:tcBorders>
              <w:top w:val="single" w:sz="4" w:space="0" w:color="000000"/>
              <w:left w:val="single" w:sz="4" w:space="0" w:color="000000"/>
              <w:bottom w:val="single" w:sz="4" w:space="0" w:color="000000"/>
              <w:right w:val="single" w:sz="4" w:space="0" w:color="000000"/>
            </w:tcBorders>
          </w:tcPr>
          <w:p>
            <w:pPr>
              <w:pStyle w:val="TableParagraph"/>
              <w:spacing w:before="102"/>
              <w:ind w:left="1"/>
              <w:jc w:val="center"/>
              <w:rPr>
                <w:sz w:val="20"/>
              </w:rPr>
            </w:pPr>
            <w:r>
              <w:rPr>
                <w:w w:val="100"/>
                <w:sz w:val="20"/>
              </w:rPr>
              <w:t>1</w:t>
            </w:r>
          </w:p>
        </w:tc>
        <w:tc>
          <w:tcPr>
            <w:tcW w:w="81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900" w:type="dxa"/>
            <w:tcBorders>
              <w:top w:val="single" w:sz="4" w:space="0" w:color="000000"/>
              <w:left w:val="single" w:sz="4" w:space="0" w:color="000000"/>
              <w:bottom w:val="single" w:sz="4" w:space="0" w:color="000000"/>
            </w:tcBorders>
          </w:tcPr>
          <w:p>
            <w:pPr/>
          </w:p>
        </w:tc>
      </w:tr>
      <w:tr>
        <w:trPr>
          <w:trHeight w:val="370" w:hRule="exact"/>
        </w:trPr>
        <w:tc>
          <w:tcPr>
            <w:tcW w:w="2070" w:type="dxa"/>
            <w:vMerge/>
            <w:tcBorders>
              <w:right w:val="single" w:sz="4" w:space="0" w:color="000000"/>
            </w:tcBorders>
          </w:tcPr>
          <w:p>
            <w:pPr/>
          </w:p>
        </w:tc>
        <w:tc>
          <w:tcPr>
            <w:tcW w:w="1440" w:type="dxa"/>
            <w:tcBorders>
              <w:top w:val="single" w:sz="4" w:space="0" w:color="000000"/>
              <w:left w:val="single" w:sz="4" w:space="0" w:color="000000"/>
              <w:bottom w:val="single" w:sz="4" w:space="0" w:color="000000"/>
              <w:right w:val="single" w:sz="4" w:space="0" w:color="000000"/>
            </w:tcBorders>
          </w:tcPr>
          <w:p>
            <w:pPr>
              <w:pStyle w:val="TableParagraph"/>
              <w:spacing w:before="102"/>
              <w:ind w:left="1"/>
              <w:jc w:val="center"/>
              <w:rPr>
                <w:sz w:val="20"/>
              </w:rPr>
            </w:pPr>
            <w:r>
              <w:rPr>
                <w:w w:val="100"/>
                <w:sz w:val="20"/>
              </w:rPr>
              <w:t>2</w:t>
            </w:r>
          </w:p>
        </w:tc>
        <w:tc>
          <w:tcPr>
            <w:tcW w:w="81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900" w:type="dxa"/>
            <w:tcBorders>
              <w:top w:val="single" w:sz="4" w:space="0" w:color="000000"/>
              <w:left w:val="single" w:sz="4" w:space="0" w:color="000000"/>
              <w:bottom w:val="single" w:sz="4" w:space="0" w:color="000000"/>
            </w:tcBorders>
          </w:tcPr>
          <w:p>
            <w:pPr/>
          </w:p>
        </w:tc>
      </w:tr>
      <w:tr>
        <w:trPr>
          <w:trHeight w:val="371" w:hRule="exact"/>
        </w:trPr>
        <w:tc>
          <w:tcPr>
            <w:tcW w:w="2070" w:type="dxa"/>
            <w:vMerge/>
            <w:tcBorders>
              <w:right w:val="single" w:sz="4" w:space="0" w:color="000000"/>
            </w:tcBorders>
          </w:tcPr>
          <w:p>
            <w:pPr/>
          </w:p>
        </w:tc>
        <w:tc>
          <w:tcPr>
            <w:tcW w:w="1440" w:type="dxa"/>
            <w:tcBorders>
              <w:top w:val="single" w:sz="4" w:space="0" w:color="000000"/>
              <w:left w:val="single" w:sz="4" w:space="0" w:color="000000"/>
              <w:bottom w:val="single" w:sz="4" w:space="0" w:color="000000"/>
              <w:right w:val="single" w:sz="4" w:space="0" w:color="000000"/>
            </w:tcBorders>
          </w:tcPr>
          <w:p>
            <w:pPr>
              <w:pStyle w:val="TableParagraph"/>
              <w:spacing w:before="103"/>
              <w:ind w:left="1"/>
              <w:jc w:val="center"/>
              <w:rPr>
                <w:i/>
                <w:sz w:val="20"/>
              </w:rPr>
            </w:pPr>
            <w:r>
              <w:rPr>
                <w:i/>
                <w:color w:val="FF0000"/>
                <w:w w:val="100"/>
                <w:sz w:val="20"/>
              </w:rPr>
              <w:t>n</w:t>
            </w:r>
          </w:p>
        </w:tc>
        <w:tc>
          <w:tcPr>
            <w:tcW w:w="81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63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720" w:type="dxa"/>
            <w:tcBorders>
              <w:top w:val="single" w:sz="4" w:space="0" w:color="000000"/>
              <w:left w:val="single" w:sz="4" w:space="0" w:color="000000"/>
              <w:bottom w:val="single" w:sz="4" w:space="0" w:color="000000"/>
              <w:right w:val="single" w:sz="4" w:space="0" w:color="000000"/>
            </w:tcBorders>
          </w:tcPr>
          <w:p>
            <w:pPr/>
          </w:p>
        </w:tc>
        <w:tc>
          <w:tcPr>
            <w:tcW w:w="900" w:type="dxa"/>
            <w:tcBorders>
              <w:top w:val="single" w:sz="4" w:space="0" w:color="000000"/>
              <w:left w:val="single" w:sz="4" w:space="0" w:color="000000"/>
              <w:bottom w:val="single" w:sz="4" w:space="0" w:color="000000"/>
            </w:tcBorders>
          </w:tcPr>
          <w:p>
            <w:pPr/>
          </w:p>
        </w:tc>
      </w:tr>
      <w:tr>
        <w:trPr>
          <w:trHeight w:val="380" w:hRule="exact"/>
        </w:trPr>
        <w:tc>
          <w:tcPr>
            <w:tcW w:w="2070" w:type="dxa"/>
            <w:vMerge/>
            <w:tcBorders>
              <w:right w:val="single" w:sz="4" w:space="0" w:color="000000"/>
            </w:tcBorders>
          </w:tcPr>
          <w:p>
            <w:pPr/>
          </w:p>
        </w:tc>
        <w:tc>
          <w:tcPr>
            <w:tcW w:w="1440" w:type="dxa"/>
            <w:tcBorders>
              <w:top w:val="single" w:sz="4" w:space="0" w:color="000000"/>
              <w:left w:val="single" w:sz="4" w:space="0" w:color="000000"/>
              <w:right w:val="single" w:sz="4" w:space="0" w:color="000000"/>
            </w:tcBorders>
          </w:tcPr>
          <w:p>
            <w:pPr>
              <w:pStyle w:val="TableParagraph"/>
              <w:spacing w:before="102"/>
              <w:ind w:left="468" w:right="467"/>
              <w:jc w:val="center"/>
              <w:rPr>
                <w:sz w:val="20"/>
              </w:rPr>
            </w:pPr>
            <w:r>
              <w:rPr>
                <w:sz w:val="20"/>
              </w:rPr>
              <w:t>Mean</w:t>
            </w:r>
          </w:p>
        </w:tc>
        <w:tc>
          <w:tcPr>
            <w:tcW w:w="810" w:type="dxa"/>
            <w:tcBorders>
              <w:top w:val="single" w:sz="4" w:space="0" w:color="000000"/>
              <w:left w:val="single" w:sz="4" w:space="0" w:color="000000"/>
              <w:right w:val="single" w:sz="4" w:space="0" w:color="000000"/>
            </w:tcBorders>
          </w:tcPr>
          <w:p>
            <w:pPr/>
          </w:p>
        </w:tc>
        <w:tc>
          <w:tcPr>
            <w:tcW w:w="720" w:type="dxa"/>
            <w:tcBorders>
              <w:top w:val="single" w:sz="4" w:space="0" w:color="000000"/>
              <w:left w:val="single" w:sz="4" w:space="0" w:color="000000"/>
              <w:right w:val="single" w:sz="4" w:space="0" w:color="000000"/>
            </w:tcBorders>
          </w:tcPr>
          <w:p>
            <w:pPr/>
          </w:p>
        </w:tc>
        <w:tc>
          <w:tcPr>
            <w:tcW w:w="720" w:type="dxa"/>
            <w:tcBorders>
              <w:top w:val="single" w:sz="4" w:space="0" w:color="000000"/>
              <w:left w:val="single" w:sz="4" w:space="0" w:color="000000"/>
              <w:right w:val="single" w:sz="4" w:space="0" w:color="000000"/>
            </w:tcBorders>
          </w:tcPr>
          <w:p>
            <w:pPr/>
          </w:p>
        </w:tc>
        <w:tc>
          <w:tcPr>
            <w:tcW w:w="630" w:type="dxa"/>
            <w:tcBorders>
              <w:top w:val="single" w:sz="4" w:space="0" w:color="000000"/>
              <w:left w:val="single" w:sz="4" w:space="0" w:color="000000"/>
              <w:right w:val="single" w:sz="4" w:space="0" w:color="000000"/>
            </w:tcBorders>
          </w:tcPr>
          <w:p>
            <w:pPr/>
          </w:p>
        </w:tc>
        <w:tc>
          <w:tcPr>
            <w:tcW w:w="630" w:type="dxa"/>
            <w:tcBorders>
              <w:top w:val="single" w:sz="4" w:space="0" w:color="000000"/>
              <w:left w:val="single" w:sz="4" w:space="0" w:color="000000"/>
              <w:right w:val="single" w:sz="4" w:space="0" w:color="000000"/>
            </w:tcBorders>
          </w:tcPr>
          <w:p>
            <w:pPr/>
          </w:p>
        </w:tc>
        <w:tc>
          <w:tcPr>
            <w:tcW w:w="720" w:type="dxa"/>
            <w:tcBorders>
              <w:top w:val="single" w:sz="4" w:space="0" w:color="000000"/>
              <w:left w:val="single" w:sz="4" w:space="0" w:color="000000"/>
              <w:right w:val="single" w:sz="4" w:space="0" w:color="000000"/>
            </w:tcBorders>
          </w:tcPr>
          <w:p>
            <w:pPr/>
          </w:p>
        </w:tc>
        <w:tc>
          <w:tcPr>
            <w:tcW w:w="720" w:type="dxa"/>
            <w:tcBorders>
              <w:top w:val="single" w:sz="4" w:space="0" w:color="000000"/>
              <w:left w:val="single" w:sz="4" w:space="0" w:color="000000"/>
              <w:right w:val="single" w:sz="4" w:space="0" w:color="000000"/>
            </w:tcBorders>
          </w:tcPr>
          <w:p>
            <w:pPr/>
          </w:p>
        </w:tc>
        <w:tc>
          <w:tcPr>
            <w:tcW w:w="900" w:type="dxa"/>
            <w:tcBorders>
              <w:top w:val="single" w:sz="4" w:space="0" w:color="000000"/>
              <w:left w:val="single" w:sz="4" w:space="0" w:color="000000"/>
            </w:tcBorders>
          </w:tcPr>
          <w:p>
            <w:pPr/>
          </w:p>
        </w:tc>
      </w:tr>
    </w:tbl>
    <w:p>
      <w:pPr>
        <w:pStyle w:val="Heading6"/>
        <w:spacing w:line="240" w:lineRule="auto"/>
        <w:ind w:left="139"/>
      </w:pPr>
      <w:r>
        <w:rPr>
          <w:i/>
          <w:color w:val="FF0000"/>
        </w:rPr>
        <w:t>[Table suitable for microbial infectivity/pathogenicity and toxicity testing of the maximum hazard concentration. Modify as </w:t>
      </w:r>
      <w:r>
        <w:rPr>
          <w:color w:val="FF0000"/>
        </w:rPr>
        <w:t>appropriate to accommodate differences in experimental design or delete if acute toxicity test or multiple concentrations are used.]</w:t>
      </w:r>
    </w:p>
    <w:p>
      <w:pPr>
        <w:pStyle w:val="BodyText"/>
        <w:spacing w:before="1"/>
        <w:rPr>
          <w:i/>
          <w:sz w:val="22"/>
        </w:rPr>
      </w:pPr>
    </w:p>
    <w:p>
      <w:pPr>
        <w:tabs>
          <w:tab w:pos="1580" w:val="left" w:leader="none"/>
        </w:tabs>
        <w:spacing w:before="0" w:after="2"/>
        <w:ind w:left="140" w:right="300" w:hanging="1"/>
        <w:jc w:val="left"/>
        <w:rPr>
          <w:sz w:val="22"/>
        </w:rPr>
      </w:pPr>
      <w:r>
        <w:rPr>
          <w:b/>
          <w:sz w:val="22"/>
        </w:rPr>
        <w:t>TABLE</w:t>
      </w:r>
      <w:r>
        <w:rPr>
          <w:b/>
          <w:spacing w:val="-1"/>
          <w:sz w:val="22"/>
        </w:rPr>
        <w:t> </w:t>
      </w:r>
      <w:r>
        <w:rPr>
          <w:b/>
          <w:i/>
          <w:color w:val="FF0000"/>
          <w:sz w:val="22"/>
        </w:rPr>
        <w:t>[#]</w:t>
      </w:r>
      <w:r>
        <w:rPr>
          <w:b/>
          <w:sz w:val="22"/>
        </w:rPr>
        <w:t>.</w:t>
        <w:tab/>
      </w:r>
      <w:r>
        <w:rPr>
          <w:i/>
          <w:color w:val="FF0000"/>
          <w:sz w:val="22"/>
        </w:rPr>
        <w:t>[Dissolved oxygen concentration/Temperature/pH] </w:t>
      </w:r>
      <w:r>
        <w:rPr>
          <w:sz w:val="22"/>
        </w:rPr>
        <w:t>in </w:t>
      </w:r>
      <w:r>
        <w:rPr>
          <w:i/>
          <w:color w:val="FF0000"/>
          <w:sz w:val="22"/>
        </w:rPr>
        <w:t>[units] </w:t>
      </w:r>
      <w:r>
        <w:rPr>
          <w:sz w:val="22"/>
        </w:rPr>
        <w:t>in test suspensions during</w:t>
      </w:r>
      <w:r>
        <w:rPr>
          <w:spacing w:val="-38"/>
          <w:sz w:val="22"/>
        </w:rPr>
        <w:t> </w:t>
      </w:r>
      <w:r>
        <w:rPr>
          <w:sz w:val="22"/>
        </w:rPr>
        <w:t>the</w:t>
      </w:r>
      <w:r>
        <w:rPr>
          <w:spacing w:val="-6"/>
          <w:sz w:val="22"/>
        </w:rPr>
        <w:t> </w:t>
      </w:r>
      <w:r>
        <w:rPr>
          <w:i/>
          <w:color w:val="FF0000"/>
          <w:sz w:val="22"/>
        </w:rPr>
        <w:t>[X]</w:t>
      </w:r>
      <w:r>
        <w:rPr>
          <w:sz w:val="22"/>
        </w:rPr>
        <w:t>-</w:t>
      </w:r>
      <w:r>
        <w:rPr>
          <w:w w:val="99"/>
          <w:sz w:val="22"/>
        </w:rPr>
        <w:t> </w:t>
      </w:r>
      <w:r>
        <w:rPr>
          <w:sz w:val="22"/>
        </w:rPr>
        <w:t>day</w:t>
      </w:r>
      <w:r>
        <w:rPr>
          <w:spacing w:val="-4"/>
          <w:sz w:val="22"/>
        </w:rPr>
        <w:t> </w:t>
      </w:r>
      <w:r>
        <w:rPr>
          <w:sz w:val="22"/>
        </w:rPr>
        <w:t>exposure</w:t>
      </w:r>
      <w:r>
        <w:rPr>
          <w:spacing w:val="-8"/>
          <w:sz w:val="22"/>
        </w:rPr>
        <w:t> </w:t>
      </w:r>
      <w:r>
        <w:rPr>
          <w:sz w:val="22"/>
        </w:rPr>
        <w:t>of</w:t>
      </w:r>
      <w:r>
        <w:rPr>
          <w:spacing w:val="-7"/>
          <w:sz w:val="22"/>
        </w:rPr>
        <w:t> </w:t>
      </w:r>
      <w:r>
        <w:rPr>
          <w:i/>
          <w:color w:val="FF0000"/>
          <w:sz w:val="22"/>
        </w:rPr>
        <w:t>[test</w:t>
      </w:r>
      <w:r>
        <w:rPr>
          <w:i/>
          <w:color w:val="FF0000"/>
          <w:spacing w:val="-6"/>
          <w:sz w:val="22"/>
        </w:rPr>
        <w:t> </w:t>
      </w:r>
      <w:r>
        <w:rPr>
          <w:i/>
          <w:color w:val="FF0000"/>
          <w:sz w:val="22"/>
        </w:rPr>
        <w:t>organism]</w:t>
      </w:r>
      <w:r>
        <w:rPr>
          <w:i/>
          <w:color w:val="FF0000"/>
          <w:spacing w:val="-2"/>
          <w:sz w:val="22"/>
        </w:rPr>
        <w:t> </w:t>
      </w:r>
      <w:r>
        <w:rPr>
          <w:sz w:val="22"/>
        </w:rPr>
        <w:t>to</w:t>
      </w:r>
      <w:r>
        <w:rPr>
          <w:spacing w:val="-6"/>
          <w:sz w:val="22"/>
        </w:rPr>
        <w:t> </w:t>
      </w:r>
      <w:r>
        <w:rPr>
          <w:i/>
          <w:color w:val="FF0000"/>
          <w:sz w:val="22"/>
        </w:rPr>
        <w:t>[test</w:t>
      </w:r>
      <w:r>
        <w:rPr>
          <w:i/>
          <w:color w:val="FF0000"/>
          <w:spacing w:val="-6"/>
          <w:sz w:val="22"/>
        </w:rPr>
        <w:t> </w:t>
      </w:r>
      <w:r>
        <w:rPr>
          <w:i/>
          <w:color w:val="FF0000"/>
          <w:sz w:val="22"/>
        </w:rPr>
        <w:t>substance]</w:t>
      </w:r>
      <w:r>
        <w:rPr>
          <w:i/>
          <w:color w:val="FF0000"/>
          <w:spacing w:val="-3"/>
          <w:sz w:val="22"/>
        </w:rPr>
        <w:t> </w:t>
      </w:r>
      <w:r>
        <w:rPr>
          <w:sz w:val="22"/>
        </w:rPr>
        <w:t>under</w:t>
      </w:r>
      <w:r>
        <w:rPr>
          <w:spacing w:val="-6"/>
          <w:sz w:val="22"/>
        </w:rPr>
        <w:t> </w:t>
      </w:r>
      <w:r>
        <w:rPr>
          <w:i/>
          <w:color w:val="FF0000"/>
          <w:sz w:val="22"/>
        </w:rPr>
        <w:t>[static-</w:t>
      </w:r>
      <w:r>
        <w:rPr>
          <w:i/>
          <w:color w:val="FF0000"/>
          <w:spacing w:val="-6"/>
          <w:sz w:val="22"/>
        </w:rPr>
        <w:t> </w:t>
      </w:r>
      <w:r>
        <w:rPr>
          <w:i/>
          <w:color w:val="FF0000"/>
          <w:sz w:val="22"/>
        </w:rPr>
        <w:t>renewal/flow-through]</w:t>
      </w:r>
      <w:r>
        <w:rPr>
          <w:i/>
          <w:color w:val="FF0000"/>
          <w:spacing w:val="-2"/>
          <w:sz w:val="22"/>
        </w:rPr>
        <w:t> </w:t>
      </w:r>
      <w:r>
        <w:rPr>
          <w:sz w:val="22"/>
        </w:rPr>
        <w:t>conditions.</w:t>
      </w:r>
    </w:p>
    <w:tbl>
      <w:tblPr>
        <w:tblW w:w="0" w:type="auto"/>
        <w:jc w:val="left"/>
        <w:tblInd w:w="48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1260"/>
        <w:gridCol w:w="1153"/>
        <w:gridCol w:w="1154"/>
        <w:gridCol w:w="1154"/>
        <w:gridCol w:w="1153"/>
        <w:gridCol w:w="1154"/>
        <w:gridCol w:w="1164"/>
      </w:tblGrid>
      <w:tr>
        <w:trPr>
          <w:trHeight w:val="394" w:hRule="exact"/>
        </w:trPr>
        <w:tc>
          <w:tcPr>
            <w:tcW w:w="1170" w:type="dxa"/>
            <w:vMerge w:val="restart"/>
            <w:tcBorders>
              <w:right w:val="single" w:sz="4" w:space="0" w:color="000000"/>
            </w:tcBorders>
          </w:tcPr>
          <w:p>
            <w:pPr>
              <w:pStyle w:val="TableParagraph"/>
              <w:rPr>
                <w:sz w:val="22"/>
              </w:rPr>
            </w:pPr>
          </w:p>
          <w:p>
            <w:pPr>
              <w:pStyle w:val="TableParagraph"/>
              <w:spacing w:before="3"/>
              <w:rPr>
                <w:sz w:val="30"/>
              </w:rPr>
            </w:pPr>
          </w:p>
          <w:p>
            <w:pPr>
              <w:pStyle w:val="TableParagraph"/>
              <w:ind w:left="377" w:right="388"/>
              <w:jc w:val="center"/>
              <w:rPr>
                <w:b/>
                <w:sz w:val="20"/>
              </w:rPr>
            </w:pPr>
            <w:r>
              <w:rPr>
                <w:b/>
                <w:sz w:val="20"/>
              </w:rPr>
              <w:t>Day</w:t>
            </w:r>
          </w:p>
        </w:tc>
        <w:tc>
          <w:tcPr>
            <w:tcW w:w="1260" w:type="dxa"/>
            <w:vMerge w:val="restart"/>
            <w:tcBorders>
              <w:left w:val="single" w:sz="4" w:space="0" w:color="000000"/>
              <w:right w:val="single" w:sz="4" w:space="0" w:color="000000"/>
            </w:tcBorders>
          </w:tcPr>
          <w:p>
            <w:pPr>
              <w:pStyle w:val="TableParagraph"/>
              <w:rPr>
                <w:sz w:val="22"/>
              </w:rPr>
            </w:pPr>
          </w:p>
          <w:p>
            <w:pPr>
              <w:pStyle w:val="TableParagraph"/>
              <w:spacing w:before="3"/>
              <w:rPr>
                <w:sz w:val="30"/>
              </w:rPr>
            </w:pPr>
          </w:p>
          <w:p>
            <w:pPr>
              <w:pStyle w:val="TableParagraph"/>
              <w:ind w:left="146"/>
              <w:rPr>
                <w:b/>
                <w:sz w:val="20"/>
              </w:rPr>
            </w:pPr>
            <w:r>
              <w:rPr>
                <w:b/>
                <w:sz w:val="20"/>
              </w:rPr>
              <w:t>Suspension</w:t>
            </w:r>
          </w:p>
        </w:tc>
        <w:tc>
          <w:tcPr>
            <w:tcW w:w="6934" w:type="dxa"/>
            <w:gridSpan w:val="6"/>
            <w:tcBorders>
              <w:left w:val="single" w:sz="4" w:space="0" w:color="000000"/>
              <w:bottom w:val="single" w:sz="4" w:space="0" w:color="000000"/>
            </w:tcBorders>
          </w:tcPr>
          <w:p>
            <w:pPr>
              <w:pStyle w:val="TableParagraph"/>
              <w:spacing w:before="103"/>
              <w:ind w:left="2639" w:right="2640"/>
              <w:jc w:val="center"/>
              <w:rPr>
                <w:b/>
                <w:i/>
                <w:sz w:val="20"/>
              </w:rPr>
            </w:pPr>
            <w:r>
              <w:rPr>
                <w:b/>
                <w:i/>
                <w:color w:val="FF0000"/>
                <w:sz w:val="20"/>
              </w:rPr>
              <w:t>[Parameter (units)]</w:t>
            </w:r>
          </w:p>
        </w:tc>
      </w:tr>
      <w:tr>
        <w:trPr>
          <w:trHeight w:val="383" w:hRule="exact"/>
        </w:trPr>
        <w:tc>
          <w:tcPr>
            <w:tcW w:w="1170" w:type="dxa"/>
            <w:vMerge/>
            <w:tcBorders>
              <w:right w:val="single" w:sz="4" w:space="0" w:color="000000"/>
            </w:tcBorders>
          </w:tcPr>
          <w:p>
            <w:pPr/>
          </w:p>
        </w:tc>
        <w:tc>
          <w:tcPr>
            <w:tcW w:w="1260" w:type="dxa"/>
            <w:vMerge/>
            <w:tcBorders>
              <w:left w:val="single" w:sz="4" w:space="0" w:color="000000"/>
              <w:right w:val="single" w:sz="4" w:space="0" w:color="000000"/>
            </w:tcBorders>
          </w:tcPr>
          <w:p>
            <w:pPr/>
          </w:p>
        </w:tc>
        <w:tc>
          <w:tcPr>
            <w:tcW w:w="6934" w:type="dxa"/>
            <w:gridSpan w:val="6"/>
            <w:tcBorders>
              <w:top w:val="single" w:sz="4" w:space="0" w:color="000000"/>
              <w:left w:val="single" w:sz="4" w:space="0" w:color="000000"/>
              <w:bottom w:val="single" w:sz="4" w:space="0" w:color="000000"/>
            </w:tcBorders>
          </w:tcPr>
          <w:p>
            <w:pPr>
              <w:pStyle w:val="TableParagraph"/>
              <w:spacing w:before="102"/>
              <w:ind w:left="1237"/>
              <w:rPr>
                <w:b/>
                <w:sz w:val="20"/>
              </w:rPr>
            </w:pPr>
            <w:r>
              <w:rPr>
                <w:b/>
                <w:sz w:val="20"/>
              </w:rPr>
              <w:t>Nominal Concentration of Test Suspension (CFU/L)</w:t>
            </w:r>
          </w:p>
        </w:tc>
      </w:tr>
      <w:tr>
        <w:trPr>
          <w:trHeight w:val="623" w:hRule="exact"/>
        </w:trPr>
        <w:tc>
          <w:tcPr>
            <w:tcW w:w="1170" w:type="dxa"/>
            <w:vMerge/>
            <w:tcBorders>
              <w:right w:val="single" w:sz="4" w:space="0" w:color="000000"/>
            </w:tcBorders>
          </w:tcPr>
          <w:p>
            <w:pPr/>
          </w:p>
        </w:tc>
        <w:tc>
          <w:tcPr>
            <w:tcW w:w="1260" w:type="dxa"/>
            <w:vMerge/>
            <w:tcBorders>
              <w:left w:val="single" w:sz="4" w:space="0" w:color="000000"/>
              <w:right w:val="single" w:sz="4" w:space="0" w:color="000000"/>
            </w:tcBorders>
          </w:tcPr>
          <w:p>
            <w:pPr/>
          </w:p>
        </w:tc>
        <w:tc>
          <w:tcPr>
            <w:tcW w:w="1153"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54"/>
              <w:rPr>
                <w:b/>
                <w:i/>
                <w:sz w:val="13"/>
              </w:rPr>
            </w:pPr>
            <w:r>
              <w:rPr>
                <w:b/>
                <w:i/>
                <w:color w:val="FF0000"/>
                <w:sz w:val="20"/>
              </w:rPr>
              <w:t>X × 10</w:t>
            </w:r>
            <w:r>
              <w:rPr>
                <w:b/>
                <w:i/>
                <w:color w:val="FF0000"/>
                <w:position w:val="7"/>
                <w:sz w:val="13"/>
              </w:rPr>
              <w:t>X</w:t>
            </w:r>
          </w:p>
        </w:tc>
        <w:tc>
          <w:tcPr>
            <w:tcW w:w="1154"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55"/>
              <w:rPr>
                <w:b/>
                <w:i/>
                <w:sz w:val="13"/>
              </w:rPr>
            </w:pPr>
            <w:r>
              <w:rPr>
                <w:b/>
                <w:i/>
                <w:color w:val="FF0000"/>
                <w:sz w:val="20"/>
              </w:rPr>
              <w:t>X × 10</w:t>
            </w:r>
            <w:r>
              <w:rPr>
                <w:b/>
                <w:i/>
                <w:color w:val="FF0000"/>
                <w:position w:val="7"/>
                <w:sz w:val="13"/>
              </w:rPr>
              <w:t>X</w:t>
            </w:r>
          </w:p>
        </w:tc>
        <w:tc>
          <w:tcPr>
            <w:tcW w:w="1154"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55"/>
              <w:rPr>
                <w:b/>
                <w:i/>
                <w:sz w:val="13"/>
              </w:rPr>
            </w:pPr>
            <w:r>
              <w:rPr>
                <w:b/>
                <w:i/>
                <w:color w:val="FF0000"/>
                <w:sz w:val="20"/>
              </w:rPr>
              <w:t>X × 10</w:t>
            </w:r>
            <w:r>
              <w:rPr>
                <w:b/>
                <w:i/>
                <w:color w:val="FF0000"/>
                <w:position w:val="7"/>
                <w:sz w:val="13"/>
              </w:rPr>
              <w:t>X</w:t>
            </w:r>
          </w:p>
        </w:tc>
        <w:tc>
          <w:tcPr>
            <w:tcW w:w="1153"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54"/>
              <w:rPr>
                <w:b/>
                <w:i/>
                <w:sz w:val="13"/>
              </w:rPr>
            </w:pPr>
            <w:r>
              <w:rPr>
                <w:b/>
                <w:i/>
                <w:color w:val="FF0000"/>
                <w:sz w:val="20"/>
              </w:rPr>
              <w:t>X × 10</w:t>
            </w:r>
            <w:r>
              <w:rPr>
                <w:b/>
                <w:i/>
                <w:color w:val="FF0000"/>
                <w:position w:val="7"/>
                <w:sz w:val="13"/>
              </w:rPr>
              <w:t>X</w:t>
            </w:r>
          </w:p>
        </w:tc>
        <w:tc>
          <w:tcPr>
            <w:tcW w:w="1154"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55"/>
              <w:rPr>
                <w:b/>
                <w:i/>
                <w:sz w:val="13"/>
              </w:rPr>
            </w:pPr>
            <w:r>
              <w:rPr>
                <w:b/>
                <w:i/>
                <w:color w:val="FF0000"/>
                <w:sz w:val="20"/>
              </w:rPr>
              <w:t>X × 10</w:t>
            </w:r>
            <w:r>
              <w:rPr>
                <w:b/>
                <w:i/>
                <w:color w:val="FF0000"/>
                <w:position w:val="7"/>
                <w:sz w:val="13"/>
              </w:rPr>
              <w:t>X</w:t>
            </w:r>
          </w:p>
        </w:tc>
        <w:tc>
          <w:tcPr>
            <w:tcW w:w="1164" w:type="dxa"/>
            <w:tcBorders>
              <w:top w:val="single" w:sz="4" w:space="0" w:color="000000"/>
              <w:left w:val="single" w:sz="4" w:space="0" w:color="000000"/>
            </w:tcBorders>
          </w:tcPr>
          <w:p>
            <w:pPr>
              <w:pStyle w:val="TableParagraph"/>
              <w:spacing w:before="105"/>
              <w:ind w:left="238" w:right="182" w:hanging="40"/>
              <w:rPr>
                <w:b/>
                <w:sz w:val="20"/>
              </w:rPr>
            </w:pPr>
            <w:r>
              <w:rPr>
                <w:b/>
                <w:sz w:val="20"/>
              </w:rPr>
              <w:t>Negative Control</w:t>
            </w:r>
          </w:p>
        </w:tc>
      </w:tr>
      <w:tr>
        <w:trPr>
          <w:trHeight w:val="394" w:hRule="exact"/>
        </w:trPr>
        <w:tc>
          <w:tcPr>
            <w:tcW w:w="1170" w:type="dxa"/>
            <w:tcBorders>
              <w:bottom w:val="single" w:sz="4" w:space="0" w:color="000000"/>
              <w:right w:val="single" w:sz="4" w:space="0" w:color="000000"/>
            </w:tcBorders>
          </w:tcPr>
          <w:p>
            <w:pPr>
              <w:pStyle w:val="TableParagraph"/>
              <w:spacing w:before="101"/>
              <w:ind w:right="9"/>
              <w:jc w:val="center"/>
              <w:rPr>
                <w:sz w:val="20"/>
              </w:rPr>
            </w:pPr>
            <w:r>
              <w:rPr>
                <w:w w:val="100"/>
                <w:sz w:val="20"/>
              </w:rPr>
              <w:t>0</w:t>
            </w:r>
          </w:p>
        </w:tc>
        <w:tc>
          <w:tcPr>
            <w:tcW w:w="1260" w:type="dxa"/>
            <w:tcBorders>
              <w:left w:val="single" w:sz="4" w:space="0" w:color="000000"/>
              <w:bottom w:val="single" w:sz="4" w:space="0" w:color="000000"/>
              <w:right w:val="single" w:sz="4" w:space="0" w:color="000000"/>
            </w:tcBorders>
          </w:tcPr>
          <w:p>
            <w:pPr>
              <w:pStyle w:val="TableParagraph"/>
              <w:spacing w:before="101"/>
              <w:ind w:left="457"/>
              <w:rPr>
                <w:sz w:val="20"/>
              </w:rPr>
            </w:pPr>
            <w:r>
              <w:rPr>
                <w:sz w:val="20"/>
              </w:rPr>
              <w:t>new</w:t>
            </w:r>
          </w:p>
        </w:tc>
        <w:tc>
          <w:tcPr>
            <w:tcW w:w="1153" w:type="dxa"/>
            <w:tcBorders>
              <w:left w:val="single" w:sz="4" w:space="0" w:color="000000"/>
              <w:bottom w:val="single" w:sz="4" w:space="0" w:color="000000"/>
              <w:right w:val="single" w:sz="4" w:space="0" w:color="000000"/>
            </w:tcBorders>
          </w:tcPr>
          <w:p>
            <w:pPr/>
          </w:p>
        </w:tc>
        <w:tc>
          <w:tcPr>
            <w:tcW w:w="1154" w:type="dxa"/>
            <w:tcBorders>
              <w:left w:val="single" w:sz="4" w:space="0" w:color="000000"/>
              <w:bottom w:val="single" w:sz="4" w:space="0" w:color="000000"/>
              <w:right w:val="single" w:sz="4" w:space="0" w:color="000000"/>
            </w:tcBorders>
          </w:tcPr>
          <w:p>
            <w:pPr/>
          </w:p>
        </w:tc>
        <w:tc>
          <w:tcPr>
            <w:tcW w:w="1154" w:type="dxa"/>
            <w:tcBorders>
              <w:left w:val="single" w:sz="4" w:space="0" w:color="000000"/>
              <w:bottom w:val="single" w:sz="4" w:space="0" w:color="000000"/>
              <w:right w:val="single" w:sz="4" w:space="0" w:color="000000"/>
            </w:tcBorders>
          </w:tcPr>
          <w:p>
            <w:pPr/>
          </w:p>
        </w:tc>
        <w:tc>
          <w:tcPr>
            <w:tcW w:w="1153" w:type="dxa"/>
            <w:tcBorders>
              <w:left w:val="single" w:sz="4" w:space="0" w:color="000000"/>
              <w:bottom w:val="single" w:sz="4" w:space="0" w:color="000000"/>
              <w:right w:val="single" w:sz="4" w:space="0" w:color="000000"/>
            </w:tcBorders>
          </w:tcPr>
          <w:p>
            <w:pPr/>
          </w:p>
        </w:tc>
        <w:tc>
          <w:tcPr>
            <w:tcW w:w="1154" w:type="dxa"/>
            <w:tcBorders>
              <w:left w:val="single" w:sz="4" w:space="0" w:color="000000"/>
              <w:bottom w:val="single" w:sz="4" w:space="0" w:color="000000"/>
              <w:right w:val="single" w:sz="4" w:space="0" w:color="000000"/>
            </w:tcBorders>
          </w:tcPr>
          <w:p>
            <w:pPr/>
          </w:p>
        </w:tc>
        <w:tc>
          <w:tcPr>
            <w:tcW w:w="1164" w:type="dxa"/>
            <w:tcBorders>
              <w:left w:val="single" w:sz="4" w:space="0" w:color="000000"/>
              <w:bottom w:val="single" w:sz="4" w:space="0" w:color="000000"/>
            </w:tcBorders>
          </w:tcPr>
          <w:p>
            <w:pPr/>
          </w:p>
        </w:tc>
      </w:tr>
      <w:tr>
        <w:trPr>
          <w:trHeight w:val="383" w:hRule="exact"/>
        </w:trPr>
        <w:tc>
          <w:tcPr>
            <w:tcW w:w="1170" w:type="dxa"/>
            <w:vMerge w:val="restart"/>
            <w:tcBorders>
              <w:top w:val="single" w:sz="4" w:space="0" w:color="000000"/>
              <w:right w:val="single" w:sz="4" w:space="0" w:color="000000"/>
            </w:tcBorders>
          </w:tcPr>
          <w:p>
            <w:pPr>
              <w:pStyle w:val="TableParagraph"/>
              <w:spacing w:before="4"/>
              <w:rPr>
                <w:sz w:val="25"/>
              </w:rPr>
            </w:pPr>
          </w:p>
          <w:p>
            <w:pPr>
              <w:pStyle w:val="TableParagraph"/>
              <w:ind w:right="9"/>
              <w:jc w:val="center"/>
              <w:rPr>
                <w:sz w:val="20"/>
              </w:rPr>
            </w:pPr>
            <w:r>
              <w:rPr>
                <w:w w:val="100"/>
                <w:sz w:val="20"/>
              </w:rPr>
              <w:t>2</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100"/>
              <w:ind w:left="496"/>
              <w:rPr>
                <w:sz w:val="20"/>
              </w:rPr>
            </w:pPr>
            <w:r>
              <w:rPr>
                <w:sz w:val="20"/>
              </w:rPr>
              <w:t>old</w:t>
            </w:r>
          </w:p>
        </w:tc>
        <w:tc>
          <w:tcPr>
            <w:tcW w:w="1153" w:type="dxa"/>
            <w:tcBorders>
              <w:top w:val="single" w:sz="4" w:space="0" w:color="000000"/>
              <w:left w:val="single" w:sz="4" w:space="0" w:color="000000"/>
              <w:bottom w:val="single" w:sz="4" w:space="0" w:color="000000"/>
              <w:right w:val="single" w:sz="4" w:space="0" w:color="000000"/>
            </w:tcBorders>
          </w:tcPr>
          <w:p>
            <w:pPr/>
          </w:p>
        </w:tc>
        <w:tc>
          <w:tcPr>
            <w:tcW w:w="1154" w:type="dxa"/>
            <w:tcBorders>
              <w:top w:val="single" w:sz="4" w:space="0" w:color="000000"/>
              <w:left w:val="single" w:sz="4" w:space="0" w:color="000000"/>
              <w:bottom w:val="single" w:sz="4" w:space="0" w:color="000000"/>
              <w:right w:val="single" w:sz="4" w:space="0" w:color="000000"/>
            </w:tcBorders>
          </w:tcPr>
          <w:p>
            <w:pPr/>
          </w:p>
        </w:tc>
        <w:tc>
          <w:tcPr>
            <w:tcW w:w="1154" w:type="dxa"/>
            <w:tcBorders>
              <w:top w:val="single" w:sz="4" w:space="0" w:color="000000"/>
              <w:left w:val="single" w:sz="4" w:space="0" w:color="000000"/>
              <w:bottom w:val="single" w:sz="4" w:space="0" w:color="000000"/>
              <w:right w:val="single" w:sz="4" w:space="0" w:color="000000"/>
            </w:tcBorders>
          </w:tcPr>
          <w:p>
            <w:pPr/>
          </w:p>
        </w:tc>
        <w:tc>
          <w:tcPr>
            <w:tcW w:w="1153" w:type="dxa"/>
            <w:tcBorders>
              <w:top w:val="single" w:sz="4" w:space="0" w:color="000000"/>
              <w:left w:val="single" w:sz="4" w:space="0" w:color="000000"/>
              <w:bottom w:val="single" w:sz="4" w:space="0" w:color="000000"/>
              <w:right w:val="single" w:sz="4" w:space="0" w:color="000000"/>
            </w:tcBorders>
          </w:tcPr>
          <w:p>
            <w:pPr/>
          </w:p>
        </w:tc>
        <w:tc>
          <w:tcPr>
            <w:tcW w:w="1154" w:type="dxa"/>
            <w:tcBorders>
              <w:top w:val="single" w:sz="4" w:space="0" w:color="000000"/>
              <w:left w:val="single" w:sz="4" w:space="0" w:color="000000"/>
              <w:bottom w:val="single" w:sz="4" w:space="0" w:color="000000"/>
              <w:right w:val="single" w:sz="4" w:space="0" w:color="000000"/>
            </w:tcBorders>
          </w:tcPr>
          <w:p>
            <w:pPr/>
          </w:p>
        </w:tc>
        <w:tc>
          <w:tcPr>
            <w:tcW w:w="1164" w:type="dxa"/>
            <w:tcBorders>
              <w:top w:val="single" w:sz="4" w:space="0" w:color="000000"/>
              <w:left w:val="single" w:sz="4" w:space="0" w:color="000000"/>
              <w:bottom w:val="single" w:sz="4" w:space="0" w:color="000000"/>
            </w:tcBorders>
          </w:tcPr>
          <w:p>
            <w:pPr/>
          </w:p>
        </w:tc>
      </w:tr>
      <w:tr>
        <w:trPr>
          <w:trHeight w:val="383" w:hRule="exact"/>
        </w:trPr>
        <w:tc>
          <w:tcPr>
            <w:tcW w:w="1170" w:type="dxa"/>
            <w:vMerge/>
            <w:tcBorders>
              <w:bottom w:val="single" w:sz="4" w:space="0" w:color="000000"/>
              <w:right w:val="single" w:sz="4" w:space="0" w:color="000000"/>
            </w:tcBorders>
          </w:tcPr>
          <w:p>
            <w:pP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100"/>
              <w:ind w:left="457"/>
              <w:rPr>
                <w:sz w:val="20"/>
              </w:rPr>
            </w:pPr>
            <w:r>
              <w:rPr>
                <w:sz w:val="20"/>
              </w:rPr>
              <w:t>new</w:t>
            </w:r>
          </w:p>
        </w:tc>
        <w:tc>
          <w:tcPr>
            <w:tcW w:w="1153" w:type="dxa"/>
            <w:tcBorders>
              <w:top w:val="single" w:sz="4" w:space="0" w:color="000000"/>
              <w:left w:val="single" w:sz="4" w:space="0" w:color="000000"/>
              <w:bottom w:val="single" w:sz="4" w:space="0" w:color="000000"/>
              <w:right w:val="single" w:sz="4" w:space="0" w:color="000000"/>
            </w:tcBorders>
          </w:tcPr>
          <w:p>
            <w:pPr/>
          </w:p>
        </w:tc>
        <w:tc>
          <w:tcPr>
            <w:tcW w:w="1154" w:type="dxa"/>
            <w:tcBorders>
              <w:top w:val="single" w:sz="4" w:space="0" w:color="000000"/>
              <w:left w:val="single" w:sz="4" w:space="0" w:color="000000"/>
              <w:bottom w:val="single" w:sz="4" w:space="0" w:color="000000"/>
              <w:right w:val="single" w:sz="4" w:space="0" w:color="000000"/>
            </w:tcBorders>
          </w:tcPr>
          <w:p>
            <w:pPr/>
          </w:p>
        </w:tc>
        <w:tc>
          <w:tcPr>
            <w:tcW w:w="1154" w:type="dxa"/>
            <w:tcBorders>
              <w:top w:val="single" w:sz="4" w:space="0" w:color="000000"/>
              <w:left w:val="single" w:sz="4" w:space="0" w:color="000000"/>
              <w:bottom w:val="single" w:sz="4" w:space="0" w:color="000000"/>
              <w:right w:val="single" w:sz="4" w:space="0" w:color="000000"/>
            </w:tcBorders>
          </w:tcPr>
          <w:p>
            <w:pPr/>
          </w:p>
        </w:tc>
        <w:tc>
          <w:tcPr>
            <w:tcW w:w="1153" w:type="dxa"/>
            <w:tcBorders>
              <w:top w:val="single" w:sz="4" w:space="0" w:color="000000"/>
              <w:left w:val="single" w:sz="4" w:space="0" w:color="000000"/>
              <w:bottom w:val="single" w:sz="4" w:space="0" w:color="000000"/>
              <w:right w:val="single" w:sz="4" w:space="0" w:color="000000"/>
            </w:tcBorders>
          </w:tcPr>
          <w:p>
            <w:pPr/>
          </w:p>
        </w:tc>
        <w:tc>
          <w:tcPr>
            <w:tcW w:w="1154" w:type="dxa"/>
            <w:tcBorders>
              <w:top w:val="single" w:sz="4" w:space="0" w:color="000000"/>
              <w:left w:val="single" w:sz="4" w:space="0" w:color="000000"/>
              <w:bottom w:val="single" w:sz="4" w:space="0" w:color="000000"/>
              <w:right w:val="single" w:sz="4" w:space="0" w:color="000000"/>
            </w:tcBorders>
          </w:tcPr>
          <w:p>
            <w:pPr/>
          </w:p>
        </w:tc>
        <w:tc>
          <w:tcPr>
            <w:tcW w:w="1164" w:type="dxa"/>
            <w:tcBorders>
              <w:top w:val="single" w:sz="4" w:space="0" w:color="000000"/>
              <w:left w:val="single" w:sz="4" w:space="0" w:color="000000"/>
              <w:bottom w:val="single" w:sz="4" w:space="0" w:color="000000"/>
            </w:tcBorders>
          </w:tcPr>
          <w:p>
            <w:pPr/>
          </w:p>
        </w:tc>
      </w:tr>
      <w:tr>
        <w:trPr>
          <w:trHeight w:val="394" w:hRule="exact"/>
        </w:trPr>
        <w:tc>
          <w:tcPr>
            <w:tcW w:w="1170" w:type="dxa"/>
            <w:tcBorders>
              <w:top w:val="single" w:sz="4" w:space="0" w:color="000000"/>
              <w:right w:val="single" w:sz="4" w:space="0" w:color="000000"/>
            </w:tcBorders>
          </w:tcPr>
          <w:p>
            <w:pPr>
              <w:pStyle w:val="TableParagraph"/>
              <w:spacing w:before="100"/>
              <w:ind w:left="377" w:right="386"/>
              <w:jc w:val="center"/>
              <w:rPr>
                <w:i/>
                <w:sz w:val="20"/>
              </w:rPr>
            </w:pPr>
            <w:r>
              <w:rPr>
                <w:i/>
                <w:color w:val="FF0000"/>
                <w:sz w:val="20"/>
              </w:rPr>
              <w:t>–2</w:t>
            </w:r>
          </w:p>
        </w:tc>
        <w:tc>
          <w:tcPr>
            <w:tcW w:w="1260" w:type="dxa"/>
            <w:tcBorders>
              <w:top w:val="single" w:sz="4" w:space="0" w:color="000000"/>
              <w:left w:val="single" w:sz="4" w:space="0" w:color="000000"/>
              <w:right w:val="single" w:sz="4" w:space="0" w:color="000000"/>
            </w:tcBorders>
          </w:tcPr>
          <w:p>
            <w:pPr>
              <w:pStyle w:val="TableParagraph"/>
              <w:spacing w:before="100"/>
              <w:ind w:left="496"/>
              <w:rPr>
                <w:sz w:val="20"/>
              </w:rPr>
            </w:pPr>
            <w:r>
              <w:rPr>
                <w:sz w:val="20"/>
              </w:rPr>
              <w:t>old</w:t>
            </w:r>
          </w:p>
        </w:tc>
        <w:tc>
          <w:tcPr>
            <w:tcW w:w="1153" w:type="dxa"/>
            <w:tcBorders>
              <w:top w:val="single" w:sz="4" w:space="0" w:color="000000"/>
              <w:left w:val="single" w:sz="4" w:space="0" w:color="000000"/>
              <w:right w:val="single" w:sz="4" w:space="0" w:color="000000"/>
            </w:tcBorders>
          </w:tcPr>
          <w:p>
            <w:pPr/>
          </w:p>
        </w:tc>
        <w:tc>
          <w:tcPr>
            <w:tcW w:w="1154" w:type="dxa"/>
            <w:tcBorders>
              <w:top w:val="single" w:sz="4" w:space="0" w:color="000000"/>
              <w:left w:val="single" w:sz="4" w:space="0" w:color="000000"/>
              <w:right w:val="single" w:sz="4" w:space="0" w:color="000000"/>
            </w:tcBorders>
          </w:tcPr>
          <w:p>
            <w:pPr/>
          </w:p>
        </w:tc>
        <w:tc>
          <w:tcPr>
            <w:tcW w:w="1154" w:type="dxa"/>
            <w:tcBorders>
              <w:top w:val="single" w:sz="4" w:space="0" w:color="000000"/>
              <w:left w:val="single" w:sz="4" w:space="0" w:color="000000"/>
              <w:right w:val="single" w:sz="4" w:space="0" w:color="000000"/>
            </w:tcBorders>
          </w:tcPr>
          <w:p>
            <w:pPr/>
          </w:p>
        </w:tc>
        <w:tc>
          <w:tcPr>
            <w:tcW w:w="1153" w:type="dxa"/>
            <w:tcBorders>
              <w:top w:val="single" w:sz="4" w:space="0" w:color="000000"/>
              <w:left w:val="single" w:sz="4" w:space="0" w:color="000000"/>
              <w:right w:val="single" w:sz="4" w:space="0" w:color="000000"/>
            </w:tcBorders>
          </w:tcPr>
          <w:p>
            <w:pPr/>
          </w:p>
        </w:tc>
        <w:tc>
          <w:tcPr>
            <w:tcW w:w="1154" w:type="dxa"/>
            <w:tcBorders>
              <w:top w:val="single" w:sz="4" w:space="0" w:color="000000"/>
              <w:left w:val="single" w:sz="4" w:space="0" w:color="000000"/>
              <w:right w:val="single" w:sz="4" w:space="0" w:color="000000"/>
            </w:tcBorders>
          </w:tcPr>
          <w:p>
            <w:pPr/>
          </w:p>
        </w:tc>
        <w:tc>
          <w:tcPr>
            <w:tcW w:w="1164" w:type="dxa"/>
            <w:tcBorders>
              <w:top w:val="single" w:sz="4" w:space="0" w:color="000000"/>
              <w:left w:val="single" w:sz="4" w:space="0" w:color="000000"/>
            </w:tcBorders>
          </w:tcPr>
          <w:p>
            <w:pPr/>
          </w:p>
        </w:tc>
      </w:tr>
    </w:tbl>
    <w:p>
      <w:pPr>
        <w:spacing w:after="0"/>
        <w:sectPr>
          <w:pgSz w:w="12240" w:h="15840"/>
          <w:pgMar w:header="729" w:footer="1084" w:top="1940" w:bottom="1280" w:left="940" w:right="940"/>
        </w:sectPr>
      </w:pPr>
    </w:p>
    <w:p>
      <w:pPr>
        <w:pStyle w:val="BodyText"/>
        <w:spacing w:before="11"/>
        <w:rPr>
          <w:i w:val="0"/>
          <w:sz w:val="15"/>
        </w:rPr>
      </w:pPr>
    </w:p>
    <w:tbl>
      <w:tblPr>
        <w:tblW w:w="0" w:type="auto"/>
        <w:jc w:val="left"/>
        <w:tblInd w:w="48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1260"/>
        <w:gridCol w:w="1153"/>
        <w:gridCol w:w="1154"/>
        <w:gridCol w:w="1154"/>
        <w:gridCol w:w="1153"/>
        <w:gridCol w:w="1154"/>
        <w:gridCol w:w="1154"/>
      </w:tblGrid>
      <w:tr>
        <w:trPr>
          <w:trHeight w:val="394" w:hRule="exact"/>
        </w:trPr>
        <w:tc>
          <w:tcPr>
            <w:tcW w:w="1170" w:type="dxa"/>
            <w:vMerge w:val="restart"/>
            <w:tcBorders>
              <w:right w:val="single" w:sz="4" w:space="0" w:color="000000"/>
            </w:tcBorders>
          </w:tcPr>
          <w:p>
            <w:pPr>
              <w:pStyle w:val="TableParagraph"/>
              <w:rPr>
                <w:sz w:val="22"/>
              </w:rPr>
            </w:pPr>
          </w:p>
          <w:p>
            <w:pPr>
              <w:pStyle w:val="TableParagraph"/>
              <w:spacing w:before="3"/>
              <w:rPr>
                <w:sz w:val="30"/>
              </w:rPr>
            </w:pPr>
          </w:p>
          <w:p>
            <w:pPr>
              <w:pStyle w:val="TableParagraph"/>
              <w:ind w:left="377" w:right="388"/>
              <w:jc w:val="center"/>
              <w:rPr>
                <w:b/>
                <w:sz w:val="20"/>
              </w:rPr>
            </w:pPr>
            <w:r>
              <w:rPr>
                <w:b/>
                <w:sz w:val="20"/>
              </w:rPr>
              <w:t>Day</w:t>
            </w:r>
          </w:p>
        </w:tc>
        <w:tc>
          <w:tcPr>
            <w:tcW w:w="1260" w:type="dxa"/>
            <w:vMerge w:val="restart"/>
            <w:tcBorders>
              <w:left w:val="single" w:sz="4" w:space="0" w:color="000000"/>
              <w:right w:val="single" w:sz="4" w:space="0" w:color="000000"/>
            </w:tcBorders>
          </w:tcPr>
          <w:p>
            <w:pPr>
              <w:pStyle w:val="TableParagraph"/>
              <w:rPr>
                <w:sz w:val="22"/>
              </w:rPr>
            </w:pPr>
          </w:p>
          <w:p>
            <w:pPr>
              <w:pStyle w:val="TableParagraph"/>
              <w:spacing w:before="3"/>
              <w:rPr>
                <w:sz w:val="30"/>
              </w:rPr>
            </w:pPr>
          </w:p>
          <w:p>
            <w:pPr>
              <w:pStyle w:val="TableParagraph"/>
              <w:ind w:left="146"/>
              <w:rPr>
                <w:b/>
                <w:sz w:val="20"/>
              </w:rPr>
            </w:pPr>
            <w:r>
              <w:rPr>
                <w:b/>
                <w:sz w:val="20"/>
              </w:rPr>
              <w:t>Suspension</w:t>
            </w:r>
          </w:p>
        </w:tc>
        <w:tc>
          <w:tcPr>
            <w:tcW w:w="6924" w:type="dxa"/>
            <w:gridSpan w:val="6"/>
            <w:tcBorders>
              <w:left w:val="single" w:sz="4" w:space="0" w:color="000000"/>
              <w:bottom w:val="single" w:sz="4" w:space="0" w:color="000000"/>
            </w:tcBorders>
          </w:tcPr>
          <w:p>
            <w:pPr>
              <w:pStyle w:val="TableParagraph"/>
              <w:spacing w:before="103"/>
              <w:ind w:left="2638" w:right="2631"/>
              <w:jc w:val="center"/>
              <w:rPr>
                <w:b/>
                <w:i/>
                <w:sz w:val="20"/>
              </w:rPr>
            </w:pPr>
            <w:r>
              <w:rPr>
                <w:b/>
                <w:i/>
                <w:color w:val="FF0000"/>
                <w:sz w:val="20"/>
              </w:rPr>
              <w:t>[Parameter (units)]</w:t>
            </w:r>
          </w:p>
        </w:tc>
      </w:tr>
      <w:tr>
        <w:trPr>
          <w:trHeight w:val="383" w:hRule="exact"/>
        </w:trPr>
        <w:tc>
          <w:tcPr>
            <w:tcW w:w="1170" w:type="dxa"/>
            <w:vMerge/>
            <w:tcBorders>
              <w:right w:val="single" w:sz="4" w:space="0" w:color="000000"/>
            </w:tcBorders>
          </w:tcPr>
          <w:p>
            <w:pPr/>
          </w:p>
        </w:tc>
        <w:tc>
          <w:tcPr>
            <w:tcW w:w="1260" w:type="dxa"/>
            <w:vMerge/>
            <w:tcBorders>
              <w:left w:val="single" w:sz="4" w:space="0" w:color="000000"/>
              <w:right w:val="single" w:sz="4" w:space="0" w:color="000000"/>
            </w:tcBorders>
          </w:tcPr>
          <w:p>
            <w:pPr/>
          </w:p>
        </w:tc>
        <w:tc>
          <w:tcPr>
            <w:tcW w:w="6924" w:type="dxa"/>
            <w:gridSpan w:val="6"/>
            <w:tcBorders>
              <w:top w:val="single" w:sz="4" w:space="0" w:color="000000"/>
              <w:left w:val="single" w:sz="4" w:space="0" w:color="000000"/>
              <w:bottom w:val="single" w:sz="4" w:space="0" w:color="000000"/>
            </w:tcBorders>
          </w:tcPr>
          <w:p>
            <w:pPr>
              <w:pStyle w:val="TableParagraph"/>
              <w:spacing w:before="102"/>
              <w:ind w:left="1237"/>
              <w:rPr>
                <w:b/>
                <w:sz w:val="20"/>
              </w:rPr>
            </w:pPr>
            <w:r>
              <w:rPr>
                <w:b/>
                <w:sz w:val="20"/>
              </w:rPr>
              <w:t>Nominal Concentration of Test Suspension (CFU/L)</w:t>
            </w:r>
          </w:p>
        </w:tc>
      </w:tr>
      <w:tr>
        <w:trPr>
          <w:trHeight w:val="623" w:hRule="exact"/>
        </w:trPr>
        <w:tc>
          <w:tcPr>
            <w:tcW w:w="1170" w:type="dxa"/>
            <w:vMerge/>
            <w:tcBorders>
              <w:right w:val="single" w:sz="4" w:space="0" w:color="000000"/>
            </w:tcBorders>
          </w:tcPr>
          <w:p>
            <w:pPr/>
          </w:p>
        </w:tc>
        <w:tc>
          <w:tcPr>
            <w:tcW w:w="1260" w:type="dxa"/>
            <w:vMerge/>
            <w:tcBorders>
              <w:left w:val="single" w:sz="4" w:space="0" w:color="000000"/>
              <w:right w:val="single" w:sz="4" w:space="0" w:color="000000"/>
            </w:tcBorders>
          </w:tcPr>
          <w:p>
            <w:pPr/>
          </w:p>
        </w:tc>
        <w:tc>
          <w:tcPr>
            <w:tcW w:w="1153"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54"/>
              <w:rPr>
                <w:b/>
                <w:i/>
                <w:sz w:val="13"/>
              </w:rPr>
            </w:pPr>
            <w:r>
              <w:rPr>
                <w:b/>
                <w:i/>
                <w:color w:val="FF0000"/>
                <w:sz w:val="20"/>
              </w:rPr>
              <w:t>X × 10</w:t>
            </w:r>
            <w:r>
              <w:rPr>
                <w:b/>
                <w:i/>
                <w:color w:val="FF0000"/>
                <w:position w:val="7"/>
                <w:sz w:val="13"/>
              </w:rPr>
              <w:t>X</w:t>
            </w:r>
          </w:p>
        </w:tc>
        <w:tc>
          <w:tcPr>
            <w:tcW w:w="1154"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55"/>
              <w:rPr>
                <w:b/>
                <w:i/>
                <w:sz w:val="13"/>
              </w:rPr>
            </w:pPr>
            <w:r>
              <w:rPr>
                <w:b/>
                <w:i/>
                <w:color w:val="FF0000"/>
                <w:sz w:val="20"/>
              </w:rPr>
              <w:t>X × 10</w:t>
            </w:r>
            <w:r>
              <w:rPr>
                <w:b/>
                <w:i/>
                <w:color w:val="FF0000"/>
                <w:position w:val="7"/>
                <w:sz w:val="13"/>
              </w:rPr>
              <w:t>X</w:t>
            </w:r>
          </w:p>
        </w:tc>
        <w:tc>
          <w:tcPr>
            <w:tcW w:w="1154"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55"/>
              <w:rPr>
                <w:b/>
                <w:i/>
                <w:sz w:val="13"/>
              </w:rPr>
            </w:pPr>
            <w:r>
              <w:rPr>
                <w:b/>
                <w:i/>
                <w:color w:val="FF0000"/>
                <w:sz w:val="20"/>
              </w:rPr>
              <w:t>X × 10</w:t>
            </w:r>
            <w:r>
              <w:rPr>
                <w:b/>
                <w:i/>
                <w:color w:val="FF0000"/>
                <w:position w:val="7"/>
                <w:sz w:val="13"/>
              </w:rPr>
              <w:t>X</w:t>
            </w:r>
          </w:p>
        </w:tc>
        <w:tc>
          <w:tcPr>
            <w:tcW w:w="1153"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54"/>
              <w:rPr>
                <w:b/>
                <w:i/>
                <w:sz w:val="13"/>
              </w:rPr>
            </w:pPr>
            <w:r>
              <w:rPr>
                <w:b/>
                <w:i/>
                <w:color w:val="FF0000"/>
                <w:sz w:val="20"/>
              </w:rPr>
              <w:t>X × 10</w:t>
            </w:r>
            <w:r>
              <w:rPr>
                <w:b/>
                <w:i/>
                <w:color w:val="FF0000"/>
                <w:position w:val="7"/>
                <w:sz w:val="13"/>
              </w:rPr>
              <w:t>X</w:t>
            </w:r>
          </w:p>
        </w:tc>
        <w:tc>
          <w:tcPr>
            <w:tcW w:w="1154"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55"/>
              <w:rPr>
                <w:b/>
                <w:i/>
                <w:sz w:val="13"/>
              </w:rPr>
            </w:pPr>
            <w:r>
              <w:rPr>
                <w:b/>
                <w:i/>
                <w:color w:val="FF0000"/>
                <w:sz w:val="20"/>
              </w:rPr>
              <w:t>X × 10</w:t>
            </w:r>
            <w:r>
              <w:rPr>
                <w:b/>
                <w:i/>
                <w:color w:val="FF0000"/>
                <w:position w:val="7"/>
                <w:sz w:val="13"/>
              </w:rPr>
              <w:t>X</w:t>
            </w:r>
          </w:p>
        </w:tc>
        <w:tc>
          <w:tcPr>
            <w:tcW w:w="1154" w:type="dxa"/>
            <w:tcBorders>
              <w:top w:val="single" w:sz="4" w:space="0" w:color="000000"/>
              <w:left w:val="single" w:sz="4" w:space="0" w:color="000000"/>
            </w:tcBorders>
          </w:tcPr>
          <w:p>
            <w:pPr>
              <w:pStyle w:val="TableParagraph"/>
              <w:spacing w:before="103"/>
              <w:ind w:left="238" w:right="173" w:hanging="40"/>
              <w:rPr>
                <w:b/>
                <w:sz w:val="20"/>
              </w:rPr>
            </w:pPr>
            <w:r>
              <w:rPr>
                <w:b/>
                <w:sz w:val="20"/>
              </w:rPr>
              <w:t>Negative Control</w:t>
            </w:r>
          </w:p>
        </w:tc>
      </w:tr>
      <w:tr>
        <w:trPr>
          <w:trHeight w:val="392" w:hRule="exact"/>
        </w:trPr>
        <w:tc>
          <w:tcPr>
            <w:tcW w:w="1170" w:type="dxa"/>
            <w:vMerge/>
            <w:tcBorders>
              <w:bottom w:val="single" w:sz="4" w:space="0" w:color="000000"/>
              <w:right w:val="single" w:sz="4" w:space="0" w:color="000000"/>
            </w:tcBorders>
          </w:tcPr>
          <w:p>
            <w:pPr/>
          </w:p>
        </w:tc>
        <w:tc>
          <w:tcPr>
            <w:tcW w:w="1260" w:type="dxa"/>
            <w:tcBorders>
              <w:left w:val="single" w:sz="4" w:space="0" w:color="000000"/>
              <w:bottom w:val="single" w:sz="4" w:space="0" w:color="000000"/>
              <w:right w:val="single" w:sz="4" w:space="0" w:color="000000"/>
            </w:tcBorders>
          </w:tcPr>
          <w:p>
            <w:pPr>
              <w:pStyle w:val="TableParagraph"/>
              <w:spacing w:before="101"/>
              <w:ind w:left="457"/>
              <w:rPr>
                <w:sz w:val="20"/>
              </w:rPr>
            </w:pPr>
            <w:r>
              <w:rPr>
                <w:sz w:val="20"/>
              </w:rPr>
              <w:t>new</w:t>
            </w:r>
          </w:p>
        </w:tc>
        <w:tc>
          <w:tcPr>
            <w:tcW w:w="1153" w:type="dxa"/>
            <w:tcBorders>
              <w:left w:val="single" w:sz="4" w:space="0" w:color="000000"/>
              <w:bottom w:val="single" w:sz="4" w:space="0" w:color="000000"/>
              <w:right w:val="single" w:sz="4" w:space="0" w:color="000000"/>
            </w:tcBorders>
          </w:tcPr>
          <w:p>
            <w:pPr/>
          </w:p>
        </w:tc>
        <w:tc>
          <w:tcPr>
            <w:tcW w:w="1154" w:type="dxa"/>
            <w:tcBorders>
              <w:left w:val="single" w:sz="4" w:space="0" w:color="000000"/>
              <w:bottom w:val="single" w:sz="4" w:space="0" w:color="000000"/>
              <w:right w:val="single" w:sz="4" w:space="0" w:color="000000"/>
            </w:tcBorders>
          </w:tcPr>
          <w:p>
            <w:pPr/>
          </w:p>
        </w:tc>
        <w:tc>
          <w:tcPr>
            <w:tcW w:w="1154" w:type="dxa"/>
            <w:tcBorders>
              <w:left w:val="single" w:sz="4" w:space="0" w:color="000000"/>
              <w:bottom w:val="single" w:sz="4" w:space="0" w:color="000000"/>
              <w:right w:val="single" w:sz="4" w:space="0" w:color="000000"/>
            </w:tcBorders>
          </w:tcPr>
          <w:p>
            <w:pPr/>
          </w:p>
        </w:tc>
        <w:tc>
          <w:tcPr>
            <w:tcW w:w="1153" w:type="dxa"/>
            <w:tcBorders>
              <w:left w:val="single" w:sz="4" w:space="0" w:color="000000"/>
              <w:bottom w:val="single" w:sz="4" w:space="0" w:color="000000"/>
              <w:right w:val="single" w:sz="4" w:space="0" w:color="000000"/>
            </w:tcBorders>
          </w:tcPr>
          <w:p>
            <w:pPr/>
          </w:p>
        </w:tc>
        <w:tc>
          <w:tcPr>
            <w:tcW w:w="1154" w:type="dxa"/>
            <w:tcBorders>
              <w:left w:val="single" w:sz="4" w:space="0" w:color="000000"/>
              <w:bottom w:val="single" w:sz="4" w:space="0" w:color="000000"/>
              <w:right w:val="single" w:sz="4" w:space="0" w:color="000000"/>
            </w:tcBorders>
          </w:tcPr>
          <w:p>
            <w:pPr/>
          </w:p>
        </w:tc>
        <w:tc>
          <w:tcPr>
            <w:tcW w:w="1154" w:type="dxa"/>
            <w:tcBorders>
              <w:left w:val="single" w:sz="4" w:space="0" w:color="000000"/>
              <w:bottom w:val="single" w:sz="4" w:space="0" w:color="000000"/>
            </w:tcBorders>
          </w:tcPr>
          <w:p>
            <w:pPr/>
          </w:p>
        </w:tc>
      </w:tr>
      <w:tr>
        <w:trPr>
          <w:trHeight w:val="395" w:hRule="exact"/>
        </w:trPr>
        <w:tc>
          <w:tcPr>
            <w:tcW w:w="1170" w:type="dxa"/>
            <w:tcBorders>
              <w:top w:val="single" w:sz="4" w:space="0" w:color="000000"/>
              <w:right w:val="single" w:sz="4" w:space="0" w:color="000000"/>
            </w:tcBorders>
          </w:tcPr>
          <w:p>
            <w:pPr>
              <w:pStyle w:val="TableParagraph"/>
              <w:spacing w:before="101"/>
              <w:ind w:right="9"/>
              <w:jc w:val="center"/>
              <w:rPr>
                <w:i/>
                <w:sz w:val="20"/>
              </w:rPr>
            </w:pPr>
            <w:r>
              <w:rPr>
                <w:i/>
                <w:color w:val="FF0000"/>
                <w:w w:val="100"/>
                <w:sz w:val="20"/>
              </w:rPr>
              <w:t>n</w:t>
            </w:r>
          </w:p>
        </w:tc>
        <w:tc>
          <w:tcPr>
            <w:tcW w:w="1260" w:type="dxa"/>
            <w:tcBorders>
              <w:top w:val="single" w:sz="4" w:space="0" w:color="000000"/>
              <w:left w:val="single" w:sz="4" w:space="0" w:color="000000"/>
              <w:right w:val="single" w:sz="4" w:space="0" w:color="000000"/>
            </w:tcBorders>
          </w:tcPr>
          <w:p>
            <w:pPr>
              <w:pStyle w:val="TableParagraph"/>
              <w:spacing w:before="101"/>
              <w:ind w:left="496"/>
              <w:rPr>
                <w:sz w:val="20"/>
              </w:rPr>
            </w:pPr>
            <w:r>
              <w:rPr>
                <w:sz w:val="20"/>
              </w:rPr>
              <w:t>old</w:t>
            </w:r>
          </w:p>
        </w:tc>
        <w:tc>
          <w:tcPr>
            <w:tcW w:w="1153" w:type="dxa"/>
            <w:tcBorders>
              <w:top w:val="single" w:sz="4" w:space="0" w:color="000000"/>
              <w:left w:val="single" w:sz="4" w:space="0" w:color="000000"/>
              <w:right w:val="single" w:sz="4" w:space="0" w:color="000000"/>
            </w:tcBorders>
          </w:tcPr>
          <w:p>
            <w:pPr/>
          </w:p>
        </w:tc>
        <w:tc>
          <w:tcPr>
            <w:tcW w:w="1154" w:type="dxa"/>
            <w:tcBorders>
              <w:top w:val="single" w:sz="4" w:space="0" w:color="000000"/>
              <w:left w:val="single" w:sz="4" w:space="0" w:color="000000"/>
              <w:right w:val="single" w:sz="4" w:space="0" w:color="000000"/>
            </w:tcBorders>
          </w:tcPr>
          <w:p>
            <w:pPr/>
          </w:p>
        </w:tc>
        <w:tc>
          <w:tcPr>
            <w:tcW w:w="1154" w:type="dxa"/>
            <w:tcBorders>
              <w:top w:val="single" w:sz="4" w:space="0" w:color="000000"/>
              <w:left w:val="single" w:sz="4" w:space="0" w:color="000000"/>
              <w:right w:val="single" w:sz="4" w:space="0" w:color="000000"/>
            </w:tcBorders>
          </w:tcPr>
          <w:p>
            <w:pPr/>
          </w:p>
        </w:tc>
        <w:tc>
          <w:tcPr>
            <w:tcW w:w="1153" w:type="dxa"/>
            <w:tcBorders>
              <w:top w:val="single" w:sz="4" w:space="0" w:color="000000"/>
              <w:left w:val="single" w:sz="4" w:space="0" w:color="000000"/>
              <w:right w:val="single" w:sz="4" w:space="0" w:color="000000"/>
            </w:tcBorders>
          </w:tcPr>
          <w:p>
            <w:pPr/>
          </w:p>
        </w:tc>
        <w:tc>
          <w:tcPr>
            <w:tcW w:w="1154" w:type="dxa"/>
            <w:tcBorders>
              <w:top w:val="single" w:sz="4" w:space="0" w:color="000000"/>
              <w:left w:val="single" w:sz="4" w:space="0" w:color="000000"/>
              <w:right w:val="single" w:sz="4" w:space="0" w:color="000000"/>
            </w:tcBorders>
          </w:tcPr>
          <w:p>
            <w:pPr/>
          </w:p>
        </w:tc>
        <w:tc>
          <w:tcPr>
            <w:tcW w:w="1154" w:type="dxa"/>
            <w:tcBorders>
              <w:top w:val="single" w:sz="4" w:space="0" w:color="000000"/>
              <w:left w:val="single" w:sz="4" w:space="0" w:color="000000"/>
            </w:tcBorders>
          </w:tcPr>
          <w:p>
            <w:pPr/>
          </w:p>
        </w:tc>
      </w:tr>
    </w:tbl>
    <w:p>
      <w:pPr>
        <w:pStyle w:val="Heading6"/>
        <w:ind w:left="139" w:right="169"/>
      </w:pPr>
      <w:r>
        <w:rPr>
          <w:i/>
          <w:color w:val="FF0000"/>
        </w:rPr>
        <w:t>[Table suitable for microbial infectivity/pathogenicity and toxicity testing of multiple concentrations. Modify as appropriate </w:t>
      </w:r>
      <w:r>
        <w:rPr>
          <w:color w:val="FF0000"/>
        </w:rPr>
        <w:t>to accommodate differences in experimental design or delete if acute toxicity test or maximum hazard concentration is used.]</w:t>
      </w:r>
    </w:p>
    <w:p>
      <w:pPr>
        <w:pStyle w:val="BodyText"/>
        <w:rPr>
          <w:i/>
          <w:sz w:val="22"/>
        </w:rPr>
      </w:pPr>
    </w:p>
    <w:p>
      <w:pPr>
        <w:pStyle w:val="BodyText"/>
        <w:rPr>
          <w:i/>
          <w:sz w:val="22"/>
        </w:rPr>
      </w:pPr>
    </w:p>
    <w:p>
      <w:pPr>
        <w:pStyle w:val="ListParagraph"/>
        <w:numPr>
          <w:ilvl w:val="0"/>
          <w:numId w:val="3"/>
        </w:numPr>
        <w:tabs>
          <w:tab w:pos="859" w:val="left" w:leader="none"/>
          <w:tab w:pos="861" w:val="left" w:leader="none"/>
          <w:tab w:pos="5179" w:val="left" w:leader="none"/>
        </w:tabs>
        <w:spacing w:line="240" w:lineRule="auto" w:before="0" w:after="0"/>
        <w:ind w:left="860" w:right="166" w:hanging="720"/>
        <w:jc w:val="left"/>
        <w:rPr>
          <w:i/>
          <w:sz w:val="22"/>
          <w:u w:val="none"/>
        </w:rPr>
      </w:pPr>
      <w:r>
        <w:rPr>
          <w:b/>
          <w:sz w:val="22"/>
          <w:u w:val="thick"/>
        </w:rPr>
        <w:t>VIABILITY OF</w:t>
      </w:r>
      <w:r>
        <w:rPr>
          <w:b/>
          <w:spacing w:val="-6"/>
          <w:sz w:val="22"/>
          <w:u w:val="thick"/>
        </w:rPr>
        <w:t> </w:t>
      </w:r>
      <w:r>
        <w:rPr>
          <w:b/>
          <w:sz w:val="22"/>
          <w:u w:val="thick"/>
        </w:rPr>
        <w:t>TEST</w:t>
      </w:r>
      <w:r>
        <w:rPr>
          <w:b/>
          <w:spacing w:val="-4"/>
          <w:sz w:val="22"/>
          <w:u w:val="thick"/>
        </w:rPr>
        <w:t> </w:t>
      </w:r>
      <w:r>
        <w:rPr>
          <w:b/>
          <w:sz w:val="22"/>
          <w:u w:val="thick"/>
        </w:rPr>
        <w:t>SUSPENSIONS</w:t>
      </w:r>
      <w:r>
        <w:rPr>
          <w:b/>
          <w:sz w:val="22"/>
          <w:u w:val="none"/>
        </w:rPr>
        <w:t>:</w:t>
        <w:tab/>
      </w:r>
      <w:r>
        <w:rPr>
          <w:i/>
          <w:color w:val="FF0000"/>
          <w:sz w:val="22"/>
          <w:u w:val="none"/>
        </w:rPr>
        <w:t>[Summarize the dose verification data and indicate</w:t>
      </w:r>
      <w:r>
        <w:rPr>
          <w:i/>
          <w:color w:val="FF0000"/>
          <w:spacing w:val="-23"/>
          <w:sz w:val="22"/>
          <w:u w:val="none"/>
        </w:rPr>
        <w:t> </w:t>
      </w:r>
      <w:r>
        <w:rPr>
          <w:i/>
          <w:color w:val="FF0000"/>
          <w:sz w:val="22"/>
          <w:u w:val="none"/>
        </w:rPr>
        <w:t>if</w:t>
      </w:r>
      <w:r>
        <w:rPr>
          <w:i/>
          <w:color w:val="FF0000"/>
          <w:spacing w:val="-4"/>
          <w:sz w:val="22"/>
          <w:u w:val="none"/>
        </w:rPr>
        <w:t> </w:t>
      </w:r>
      <w:r>
        <w:rPr>
          <w:i/>
          <w:color w:val="FF0000"/>
          <w:sz w:val="22"/>
          <w:u w:val="none"/>
        </w:rPr>
        <w:t>the</w:t>
      </w:r>
      <w:r>
        <w:rPr>
          <w:i/>
          <w:color w:val="FF0000"/>
          <w:w w:val="99"/>
          <w:sz w:val="22"/>
          <w:u w:val="none"/>
        </w:rPr>
        <w:t> </w:t>
      </w:r>
      <w:r>
        <w:rPr>
          <w:i/>
          <w:color w:val="FF0000"/>
          <w:sz w:val="22"/>
          <w:u w:val="none"/>
        </w:rPr>
        <w:t>tested sample was still</w:t>
      </w:r>
      <w:r>
        <w:rPr>
          <w:i/>
          <w:color w:val="FF0000"/>
          <w:spacing w:val="-18"/>
          <w:sz w:val="22"/>
          <w:u w:val="none"/>
        </w:rPr>
        <w:t> </w:t>
      </w:r>
      <w:r>
        <w:rPr>
          <w:i/>
          <w:color w:val="FF0000"/>
          <w:sz w:val="22"/>
          <w:u w:val="none"/>
        </w:rPr>
        <w:t>viable.]</w:t>
      </w:r>
    </w:p>
    <w:p>
      <w:pPr>
        <w:pStyle w:val="BodyText"/>
        <w:spacing w:before="10"/>
        <w:rPr>
          <w:i/>
          <w:sz w:val="21"/>
        </w:rPr>
      </w:pPr>
    </w:p>
    <w:p>
      <w:pPr>
        <w:tabs>
          <w:tab w:pos="1580" w:val="left" w:leader="none"/>
        </w:tabs>
        <w:spacing w:before="0"/>
        <w:ind w:left="140" w:right="0" w:firstLine="0"/>
        <w:jc w:val="left"/>
        <w:rPr>
          <w:sz w:val="22"/>
        </w:rPr>
      </w:pPr>
      <w:r>
        <w:rPr>
          <w:b/>
          <w:sz w:val="22"/>
        </w:rPr>
        <w:t>TABLE</w:t>
      </w:r>
      <w:r>
        <w:rPr>
          <w:b/>
          <w:spacing w:val="-1"/>
          <w:sz w:val="22"/>
        </w:rPr>
        <w:t> </w:t>
      </w:r>
      <w:r>
        <w:rPr>
          <w:b/>
          <w:i/>
          <w:color w:val="FF0000"/>
          <w:sz w:val="22"/>
        </w:rPr>
        <w:t>[#]</w:t>
      </w:r>
      <w:r>
        <w:rPr>
          <w:color w:val="FF0000"/>
          <w:sz w:val="22"/>
        </w:rPr>
        <w:t>.</w:t>
        <w:tab/>
      </w:r>
      <w:r>
        <w:rPr>
          <w:i/>
          <w:color w:val="FF0000"/>
          <w:sz w:val="22"/>
        </w:rPr>
        <w:t>[Method</w:t>
      </w:r>
      <w:r>
        <w:rPr>
          <w:i/>
          <w:color w:val="FF0000"/>
          <w:spacing w:val="-4"/>
          <w:sz w:val="22"/>
        </w:rPr>
        <w:t> </w:t>
      </w:r>
      <w:r>
        <w:rPr>
          <w:i/>
          <w:color w:val="FF0000"/>
          <w:sz w:val="22"/>
        </w:rPr>
        <w:t>(e.g.,</w:t>
      </w:r>
      <w:r>
        <w:rPr>
          <w:i/>
          <w:color w:val="FF0000"/>
          <w:spacing w:val="-4"/>
          <w:sz w:val="22"/>
        </w:rPr>
        <w:t> </w:t>
      </w:r>
      <w:r>
        <w:rPr>
          <w:i/>
          <w:color w:val="FF0000"/>
          <w:sz w:val="22"/>
        </w:rPr>
        <w:t>Viable</w:t>
      </w:r>
      <w:r>
        <w:rPr>
          <w:i/>
          <w:color w:val="FF0000"/>
          <w:spacing w:val="-5"/>
          <w:sz w:val="22"/>
        </w:rPr>
        <w:t> </w:t>
      </w:r>
      <w:r>
        <w:rPr>
          <w:i/>
          <w:color w:val="FF0000"/>
          <w:sz w:val="22"/>
        </w:rPr>
        <w:t>count)]</w:t>
      </w:r>
      <w:r>
        <w:rPr>
          <w:i/>
          <w:color w:val="FF0000"/>
          <w:spacing w:val="-1"/>
          <w:sz w:val="22"/>
        </w:rPr>
        <w:t> </w:t>
      </w:r>
      <w:r>
        <w:rPr>
          <w:sz w:val="22"/>
        </w:rPr>
        <w:t>verification</w:t>
      </w:r>
      <w:r>
        <w:rPr>
          <w:spacing w:val="-5"/>
          <w:sz w:val="22"/>
        </w:rPr>
        <w:t> </w:t>
      </w:r>
      <w:r>
        <w:rPr>
          <w:sz w:val="22"/>
        </w:rPr>
        <w:t>of</w:t>
      </w:r>
      <w:r>
        <w:rPr>
          <w:spacing w:val="-4"/>
          <w:sz w:val="22"/>
        </w:rPr>
        <w:t> </w:t>
      </w:r>
      <w:r>
        <w:rPr>
          <w:sz w:val="22"/>
        </w:rPr>
        <w:t>test</w:t>
      </w:r>
      <w:r>
        <w:rPr>
          <w:spacing w:val="-4"/>
          <w:sz w:val="22"/>
        </w:rPr>
        <w:t> </w:t>
      </w:r>
      <w:r>
        <w:rPr>
          <w:sz w:val="22"/>
        </w:rPr>
        <w:t>and</w:t>
      </w:r>
      <w:r>
        <w:rPr>
          <w:spacing w:val="-4"/>
          <w:sz w:val="22"/>
        </w:rPr>
        <w:t> </w:t>
      </w:r>
      <w:r>
        <w:rPr>
          <w:sz w:val="22"/>
        </w:rPr>
        <w:t>control</w:t>
      </w:r>
      <w:r>
        <w:rPr>
          <w:spacing w:val="-4"/>
          <w:sz w:val="22"/>
        </w:rPr>
        <w:t> </w:t>
      </w:r>
      <w:r>
        <w:rPr>
          <w:sz w:val="22"/>
        </w:rPr>
        <w:t>suspension</w:t>
      </w:r>
      <w:r>
        <w:rPr>
          <w:spacing w:val="-4"/>
          <w:sz w:val="22"/>
        </w:rPr>
        <w:t> </w:t>
      </w:r>
      <w:r>
        <w:rPr>
          <w:sz w:val="22"/>
        </w:rPr>
        <w:t>concentrations</w:t>
      </w:r>
      <w:r>
        <w:rPr>
          <w:spacing w:val="-5"/>
          <w:sz w:val="22"/>
        </w:rPr>
        <w:t> </w:t>
      </w:r>
      <w:r>
        <w:rPr>
          <w:sz w:val="22"/>
        </w:rPr>
        <w:t>during</w:t>
      </w:r>
      <w:r>
        <w:rPr>
          <w:spacing w:val="-5"/>
          <w:sz w:val="22"/>
        </w:rPr>
        <w:t> </w:t>
      </w:r>
      <w:r>
        <w:rPr>
          <w:sz w:val="22"/>
        </w:rPr>
        <w:t>an</w:t>
      </w:r>
    </w:p>
    <w:p>
      <w:pPr>
        <w:spacing w:before="0" w:after="3"/>
        <w:ind w:left="140" w:right="0" w:firstLine="0"/>
        <w:jc w:val="left"/>
        <w:rPr>
          <w:sz w:val="22"/>
        </w:rPr>
      </w:pPr>
      <w:r>
        <w:rPr>
          <w:i/>
          <w:color w:val="FF0000"/>
          <w:sz w:val="22"/>
        </w:rPr>
        <w:t>[X]</w:t>
      </w:r>
      <w:r>
        <w:rPr>
          <w:sz w:val="22"/>
        </w:rPr>
        <w:t>-day exposure of </w:t>
      </w:r>
      <w:r>
        <w:rPr>
          <w:i/>
          <w:color w:val="FF0000"/>
          <w:sz w:val="22"/>
        </w:rPr>
        <w:t>[test organism] </w:t>
      </w:r>
      <w:r>
        <w:rPr>
          <w:sz w:val="22"/>
        </w:rPr>
        <w:t>to </w:t>
      </w:r>
      <w:r>
        <w:rPr>
          <w:i/>
          <w:color w:val="FF0000"/>
          <w:sz w:val="22"/>
        </w:rPr>
        <w:t>[test substance]</w:t>
      </w:r>
      <w:r>
        <w:rPr>
          <w:sz w:val="22"/>
        </w:rPr>
        <w:t>.</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080"/>
        <w:gridCol w:w="1260"/>
        <w:gridCol w:w="1170"/>
        <w:gridCol w:w="1170"/>
        <w:gridCol w:w="1170"/>
        <w:gridCol w:w="1170"/>
        <w:gridCol w:w="1170"/>
        <w:gridCol w:w="1170"/>
      </w:tblGrid>
      <w:tr>
        <w:trPr>
          <w:trHeight w:val="392" w:hRule="exact"/>
        </w:trPr>
        <w:tc>
          <w:tcPr>
            <w:tcW w:w="1080" w:type="dxa"/>
            <w:vMerge w:val="restart"/>
            <w:tcBorders>
              <w:right w:val="single" w:sz="4" w:space="0" w:color="000000"/>
            </w:tcBorders>
          </w:tcPr>
          <w:p>
            <w:pPr>
              <w:pStyle w:val="TableParagraph"/>
              <w:rPr>
                <w:sz w:val="22"/>
              </w:rPr>
            </w:pPr>
          </w:p>
          <w:p>
            <w:pPr>
              <w:pStyle w:val="TableParagraph"/>
              <w:spacing w:before="3"/>
              <w:rPr>
                <w:sz w:val="30"/>
              </w:rPr>
            </w:pPr>
          </w:p>
          <w:p>
            <w:pPr>
              <w:pStyle w:val="TableParagraph"/>
              <w:ind w:left="335" w:right="341"/>
              <w:jc w:val="center"/>
              <w:rPr>
                <w:b/>
                <w:sz w:val="20"/>
              </w:rPr>
            </w:pPr>
            <w:r>
              <w:rPr>
                <w:b/>
                <w:sz w:val="20"/>
              </w:rPr>
              <w:t>Day</w:t>
            </w:r>
          </w:p>
        </w:tc>
        <w:tc>
          <w:tcPr>
            <w:tcW w:w="1260" w:type="dxa"/>
            <w:vMerge w:val="restart"/>
            <w:tcBorders>
              <w:left w:val="single" w:sz="4" w:space="0" w:color="000000"/>
              <w:right w:val="single" w:sz="4" w:space="0" w:color="000000"/>
            </w:tcBorders>
          </w:tcPr>
          <w:p>
            <w:pPr>
              <w:pStyle w:val="TableParagraph"/>
              <w:rPr>
                <w:sz w:val="22"/>
              </w:rPr>
            </w:pPr>
          </w:p>
          <w:p>
            <w:pPr>
              <w:pStyle w:val="TableParagraph"/>
              <w:spacing w:before="3"/>
              <w:rPr>
                <w:sz w:val="30"/>
              </w:rPr>
            </w:pPr>
          </w:p>
          <w:p>
            <w:pPr>
              <w:pStyle w:val="TableParagraph"/>
              <w:ind w:left="147"/>
              <w:rPr>
                <w:b/>
                <w:sz w:val="20"/>
              </w:rPr>
            </w:pPr>
            <w:r>
              <w:rPr>
                <w:b/>
                <w:sz w:val="20"/>
              </w:rPr>
              <w:t>Suspension</w:t>
            </w:r>
          </w:p>
        </w:tc>
        <w:tc>
          <w:tcPr>
            <w:tcW w:w="7020" w:type="dxa"/>
            <w:gridSpan w:val="6"/>
            <w:tcBorders>
              <w:left w:val="single" w:sz="4" w:space="0" w:color="000000"/>
              <w:bottom w:val="single" w:sz="4" w:space="0" w:color="000000"/>
            </w:tcBorders>
          </w:tcPr>
          <w:p>
            <w:pPr>
              <w:pStyle w:val="TableParagraph"/>
              <w:spacing w:before="103"/>
              <w:ind w:left="1225"/>
              <w:rPr>
                <w:b/>
                <w:sz w:val="20"/>
              </w:rPr>
            </w:pPr>
            <w:r>
              <w:rPr>
                <w:b/>
                <w:sz w:val="20"/>
              </w:rPr>
              <w:t>Measured Concentration of Test Suspension (CFU/L)</w:t>
            </w:r>
          </w:p>
        </w:tc>
      </w:tr>
      <w:tr>
        <w:trPr>
          <w:trHeight w:val="384" w:hRule="exact"/>
        </w:trPr>
        <w:tc>
          <w:tcPr>
            <w:tcW w:w="1080" w:type="dxa"/>
            <w:vMerge/>
            <w:tcBorders>
              <w:right w:val="single" w:sz="4" w:space="0" w:color="000000"/>
            </w:tcBorders>
          </w:tcPr>
          <w:p>
            <w:pPr/>
          </w:p>
        </w:tc>
        <w:tc>
          <w:tcPr>
            <w:tcW w:w="1260" w:type="dxa"/>
            <w:vMerge/>
            <w:tcBorders>
              <w:left w:val="single" w:sz="4" w:space="0" w:color="000000"/>
              <w:right w:val="single" w:sz="4" w:space="0" w:color="000000"/>
            </w:tcBorders>
          </w:tcPr>
          <w:p>
            <w:pPr/>
          </w:p>
        </w:tc>
        <w:tc>
          <w:tcPr>
            <w:tcW w:w="7020" w:type="dxa"/>
            <w:gridSpan w:val="6"/>
            <w:tcBorders>
              <w:top w:val="single" w:sz="4" w:space="0" w:color="000000"/>
              <w:left w:val="single" w:sz="4" w:space="0" w:color="000000"/>
              <w:bottom w:val="single" w:sz="4" w:space="0" w:color="000000"/>
            </w:tcBorders>
          </w:tcPr>
          <w:p>
            <w:pPr>
              <w:pStyle w:val="TableParagraph"/>
              <w:spacing w:before="103"/>
              <w:ind w:left="1286"/>
              <w:rPr>
                <w:b/>
                <w:sz w:val="20"/>
              </w:rPr>
            </w:pPr>
            <w:r>
              <w:rPr>
                <w:b/>
                <w:sz w:val="20"/>
              </w:rPr>
              <w:t>Nominal Concentration of Test Suspension (CFU/L)</w:t>
            </w:r>
          </w:p>
        </w:tc>
      </w:tr>
      <w:tr>
        <w:trPr>
          <w:trHeight w:val="622" w:hRule="exact"/>
        </w:trPr>
        <w:tc>
          <w:tcPr>
            <w:tcW w:w="1080" w:type="dxa"/>
            <w:vMerge/>
            <w:tcBorders>
              <w:right w:val="single" w:sz="4" w:space="0" w:color="000000"/>
            </w:tcBorders>
          </w:tcPr>
          <w:p>
            <w:pPr/>
          </w:p>
        </w:tc>
        <w:tc>
          <w:tcPr>
            <w:tcW w:w="1260" w:type="dxa"/>
            <w:vMerge/>
            <w:tcBorders>
              <w:left w:val="single" w:sz="4" w:space="0" w:color="000000"/>
              <w:right w:val="single" w:sz="4" w:space="0" w:color="000000"/>
            </w:tcBorders>
          </w:tcPr>
          <w:p>
            <w:pPr/>
          </w:p>
        </w:tc>
        <w:tc>
          <w:tcPr>
            <w:tcW w:w="1170"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63"/>
              <w:rPr>
                <w:b/>
                <w:i/>
                <w:sz w:val="13"/>
              </w:rPr>
            </w:pPr>
            <w:r>
              <w:rPr>
                <w:b/>
                <w:i/>
                <w:color w:val="FF0000"/>
                <w:sz w:val="20"/>
              </w:rPr>
              <w:t>X × 10</w:t>
            </w:r>
            <w:r>
              <w:rPr>
                <w:b/>
                <w:i/>
                <w:color w:val="FF0000"/>
                <w:position w:val="7"/>
                <w:sz w:val="13"/>
              </w:rPr>
              <w:t>X</w:t>
            </w:r>
          </w:p>
        </w:tc>
        <w:tc>
          <w:tcPr>
            <w:tcW w:w="1170"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64"/>
              <w:rPr>
                <w:b/>
                <w:i/>
                <w:sz w:val="13"/>
              </w:rPr>
            </w:pPr>
            <w:r>
              <w:rPr>
                <w:b/>
                <w:i/>
                <w:color w:val="FF0000"/>
                <w:sz w:val="20"/>
              </w:rPr>
              <w:t>X × 10</w:t>
            </w:r>
            <w:r>
              <w:rPr>
                <w:b/>
                <w:i/>
                <w:color w:val="FF0000"/>
                <w:position w:val="7"/>
                <w:sz w:val="13"/>
              </w:rPr>
              <w:t>X</w:t>
            </w:r>
          </w:p>
        </w:tc>
        <w:tc>
          <w:tcPr>
            <w:tcW w:w="1170"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64"/>
              <w:rPr>
                <w:b/>
                <w:i/>
                <w:sz w:val="13"/>
              </w:rPr>
            </w:pPr>
            <w:r>
              <w:rPr>
                <w:b/>
                <w:i/>
                <w:color w:val="FF0000"/>
                <w:sz w:val="20"/>
              </w:rPr>
              <w:t>X × 10</w:t>
            </w:r>
            <w:r>
              <w:rPr>
                <w:b/>
                <w:i/>
                <w:color w:val="FF0000"/>
                <w:position w:val="7"/>
                <w:sz w:val="13"/>
              </w:rPr>
              <w:t>X</w:t>
            </w:r>
          </w:p>
        </w:tc>
        <w:tc>
          <w:tcPr>
            <w:tcW w:w="1170"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64"/>
              <w:rPr>
                <w:b/>
                <w:i/>
                <w:sz w:val="13"/>
              </w:rPr>
            </w:pPr>
            <w:r>
              <w:rPr>
                <w:b/>
                <w:i/>
                <w:color w:val="FF0000"/>
                <w:sz w:val="20"/>
              </w:rPr>
              <w:t>X × 10</w:t>
            </w:r>
            <w:r>
              <w:rPr>
                <w:b/>
                <w:i/>
                <w:color w:val="FF0000"/>
                <w:position w:val="7"/>
                <w:sz w:val="13"/>
              </w:rPr>
              <w:t>X</w:t>
            </w:r>
          </w:p>
        </w:tc>
        <w:tc>
          <w:tcPr>
            <w:tcW w:w="1170" w:type="dxa"/>
            <w:tcBorders>
              <w:top w:val="single" w:sz="4" w:space="0" w:color="000000"/>
              <w:left w:val="single" w:sz="4" w:space="0" w:color="000000"/>
              <w:right w:val="single" w:sz="4" w:space="0" w:color="000000"/>
            </w:tcBorders>
          </w:tcPr>
          <w:p>
            <w:pPr>
              <w:pStyle w:val="TableParagraph"/>
              <w:spacing w:before="6"/>
              <w:rPr>
                <w:sz w:val="18"/>
              </w:rPr>
            </w:pPr>
          </w:p>
          <w:p>
            <w:pPr>
              <w:pStyle w:val="TableParagraph"/>
              <w:ind w:left="264"/>
              <w:rPr>
                <w:b/>
                <w:i/>
                <w:sz w:val="13"/>
              </w:rPr>
            </w:pPr>
            <w:r>
              <w:rPr>
                <w:b/>
                <w:i/>
                <w:color w:val="FF0000"/>
                <w:sz w:val="20"/>
              </w:rPr>
              <w:t>X × 10</w:t>
            </w:r>
            <w:r>
              <w:rPr>
                <w:b/>
                <w:i/>
                <w:color w:val="FF0000"/>
                <w:position w:val="7"/>
                <w:sz w:val="13"/>
              </w:rPr>
              <w:t>X</w:t>
            </w:r>
          </w:p>
        </w:tc>
        <w:tc>
          <w:tcPr>
            <w:tcW w:w="1170" w:type="dxa"/>
            <w:tcBorders>
              <w:top w:val="single" w:sz="4" w:space="0" w:color="000000"/>
              <w:left w:val="single" w:sz="4" w:space="0" w:color="000000"/>
            </w:tcBorders>
          </w:tcPr>
          <w:p>
            <w:pPr>
              <w:pStyle w:val="TableParagraph"/>
              <w:spacing w:before="103"/>
              <w:ind w:left="247" w:right="179" w:hanging="40"/>
              <w:rPr>
                <w:b/>
                <w:sz w:val="20"/>
              </w:rPr>
            </w:pPr>
            <w:r>
              <w:rPr>
                <w:b/>
                <w:sz w:val="20"/>
              </w:rPr>
              <w:t>Negative Control</w:t>
            </w:r>
          </w:p>
        </w:tc>
      </w:tr>
      <w:tr>
        <w:trPr>
          <w:trHeight w:val="394" w:hRule="exact"/>
        </w:trPr>
        <w:tc>
          <w:tcPr>
            <w:tcW w:w="1080" w:type="dxa"/>
            <w:tcBorders>
              <w:bottom w:val="single" w:sz="4" w:space="0" w:color="000000"/>
              <w:right w:val="single" w:sz="4" w:space="0" w:color="000000"/>
            </w:tcBorders>
          </w:tcPr>
          <w:p>
            <w:pPr>
              <w:pStyle w:val="TableParagraph"/>
              <w:spacing w:before="101"/>
              <w:ind w:left="476"/>
              <w:rPr>
                <w:sz w:val="20"/>
              </w:rPr>
            </w:pPr>
            <w:r>
              <w:rPr>
                <w:w w:val="100"/>
                <w:sz w:val="20"/>
              </w:rPr>
              <w:t>0</w:t>
            </w:r>
          </w:p>
        </w:tc>
        <w:tc>
          <w:tcPr>
            <w:tcW w:w="1260" w:type="dxa"/>
            <w:tcBorders>
              <w:left w:val="single" w:sz="4" w:space="0" w:color="000000"/>
              <w:bottom w:val="single" w:sz="4" w:space="0" w:color="000000"/>
              <w:right w:val="single" w:sz="4" w:space="0" w:color="000000"/>
            </w:tcBorders>
          </w:tcPr>
          <w:p>
            <w:pPr>
              <w:pStyle w:val="TableParagraph"/>
              <w:spacing w:before="101"/>
              <w:ind w:left="458"/>
              <w:rPr>
                <w:sz w:val="20"/>
              </w:rPr>
            </w:pPr>
            <w:r>
              <w:rPr>
                <w:sz w:val="20"/>
              </w:rPr>
              <w:t>new</w:t>
            </w:r>
          </w:p>
        </w:tc>
        <w:tc>
          <w:tcPr>
            <w:tcW w:w="1170" w:type="dxa"/>
            <w:tcBorders>
              <w:left w:val="single" w:sz="4" w:space="0" w:color="000000"/>
              <w:bottom w:val="single" w:sz="4" w:space="0" w:color="000000"/>
              <w:right w:val="single" w:sz="4" w:space="0" w:color="000000"/>
            </w:tcBorders>
          </w:tcPr>
          <w:p>
            <w:pPr/>
          </w:p>
        </w:tc>
        <w:tc>
          <w:tcPr>
            <w:tcW w:w="1170" w:type="dxa"/>
            <w:tcBorders>
              <w:left w:val="single" w:sz="4" w:space="0" w:color="000000"/>
              <w:bottom w:val="single" w:sz="4" w:space="0" w:color="000000"/>
              <w:right w:val="single" w:sz="4" w:space="0" w:color="000000"/>
            </w:tcBorders>
          </w:tcPr>
          <w:p>
            <w:pPr/>
          </w:p>
        </w:tc>
        <w:tc>
          <w:tcPr>
            <w:tcW w:w="1170" w:type="dxa"/>
            <w:tcBorders>
              <w:left w:val="single" w:sz="4" w:space="0" w:color="000000"/>
              <w:bottom w:val="single" w:sz="4" w:space="0" w:color="000000"/>
              <w:right w:val="single" w:sz="4" w:space="0" w:color="000000"/>
            </w:tcBorders>
          </w:tcPr>
          <w:p>
            <w:pPr/>
          </w:p>
        </w:tc>
        <w:tc>
          <w:tcPr>
            <w:tcW w:w="1170" w:type="dxa"/>
            <w:tcBorders>
              <w:left w:val="single" w:sz="4" w:space="0" w:color="000000"/>
              <w:bottom w:val="single" w:sz="4" w:space="0" w:color="000000"/>
              <w:right w:val="single" w:sz="4" w:space="0" w:color="000000"/>
            </w:tcBorders>
          </w:tcPr>
          <w:p>
            <w:pPr/>
          </w:p>
        </w:tc>
        <w:tc>
          <w:tcPr>
            <w:tcW w:w="1170" w:type="dxa"/>
            <w:tcBorders>
              <w:left w:val="single" w:sz="4" w:space="0" w:color="000000"/>
              <w:bottom w:val="single" w:sz="4" w:space="0" w:color="000000"/>
              <w:right w:val="single" w:sz="4" w:space="0" w:color="000000"/>
            </w:tcBorders>
          </w:tcPr>
          <w:p>
            <w:pPr/>
          </w:p>
        </w:tc>
        <w:tc>
          <w:tcPr>
            <w:tcW w:w="1170" w:type="dxa"/>
            <w:tcBorders>
              <w:left w:val="single" w:sz="4" w:space="0" w:color="000000"/>
              <w:bottom w:val="single" w:sz="4" w:space="0" w:color="000000"/>
            </w:tcBorders>
          </w:tcPr>
          <w:p>
            <w:pPr/>
          </w:p>
        </w:tc>
      </w:tr>
      <w:tr>
        <w:trPr>
          <w:trHeight w:val="383" w:hRule="exact"/>
        </w:trPr>
        <w:tc>
          <w:tcPr>
            <w:tcW w:w="1080" w:type="dxa"/>
            <w:vMerge w:val="restart"/>
            <w:tcBorders>
              <w:top w:val="single" w:sz="4" w:space="0" w:color="000000"/>
              <w:right w:val="single" w:sz="4" w:space="0" w:color="000000"/>
            </w:tcBorders>
          </w:tcPr>
          <w:p>
            <w:pPr>
              <w:pStyle w:val="TableParagraph"/>
              <w:spacing w:before="4"/>
              <w:rPr>
                <w:sz w:val="25"/>
              </w:rPr>
            </w:pPr>
          </w:p>
          <w:p>
            <w:pPr>
              <w:pStyle w:val="TableParagraph"/>
              <w:ind w:right="5"/>
              <w:jc w:val="center"/>
              <w:rPr>
                <w:sz w:val="20"/>
              </w:rPr>
            </w:pPr>
            <w:r>
              <w:rPr>
                <w:w w:val="100"/>
                <w:sz w:val="20"/>
              </w:rPr>
              <w:t>2</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101"/>
              <w:ind w:left="497"/>
              <w:rPr>
                <w:sz w:val="20"/>
              </w:rPr>
            </w:pPr>
            <w:r>
              <w:rPr>
                <w:sz w:val="20"/>
              </w:rPr>
              <w:t>old</w:t>
            </w: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tcBorders>
          </w:tcPr>
          <w:p>
            <w:pPr/>
          </w:p>
        </w:tc>
      </w:tr>
      <w:tr>
        <w:trPr>
          <w:trHeight w:val="384" w:hRule="exact"/>
        </w:trPr>
        <w:tc>
          <w:tcPr>
            <w:tcW w:w="1080" w:type="dxa"/>
            <w:vMerge/>
            <w:tcBorders>
              <w:bottom w:val="single" w:sz="4" w:space="0" w:color="000000"/>
              <w:right w:val="single" w:sz="4" w:space="0" w:color="000000"/>
            </w:tcBorders>
          </w:tcPr>
          <w:p>
            <w:pP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101"/>
              <w:ind w:left="458"/>
              <w:rPr>
                <w:sz w:val="20"/>
              </w:rPr>
            </w:pPr>
            <w:r>
              <w:rPr>
                <w:sz w:val="20"/>
              </w:rPr>
              <w:t>new</w:t>
            </w: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tcBorders>
          </w:tcPr>
          <w:p>
            <w:pPr/>
          </w:p>
        </w:tc>
      </w:tr>
      <w:tr>
        <w:trPr>
          <w:trHeight w:val="383" w:hRule="exact"/>
        </w:trPr>
        <w:tc>
          <w:tcPr>
            <w:tcW w:w="1080" w:type="dxa"/>
            <w:vMerge w:val="restart"/>
            <w:tcBorders>
              <w:top w:val="single" w:sz="4" w:space="0" w:color="000000"/>
              <w:right w:val="single" w:sz="4" w:space="0" w:color="000000"/>
            </w:tcBorders>
          </w:tcPr>
          <w:p>
            <w:pPr>
              <w:pStyle w:val="TableParagraph"/>
              <w:spacing w:before="3"/>
              <w:rPr>
                <w:sz w:val="25"/>
              </w:rPr>
            </w:pPr>
          </w:p>
          <w:p>
            <w:pPr>
              <w:pStyle w:val="TableParagraph"/>
              <w:ind w:left="335" w:right="340"/>
              <w:jc w:val="center"/>
              <w:rPr>
                <w:i/>
                <w:sz w:val="20"/>
              </w:rPr>
            </w:pPr>
            <w:r>
              <w:rPr>
                <w:i/>
                <w:color w:val="FF0000"/>
                <w:sz w:val="20"/>
              </w:rPr>
              <w:t>–2</w:t>
            </w: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100"/>
              <w:ind w:left="498"/>
              <w:rPr>
                <w:sz w:val="20"/>
              </w:rPr>
            </w:pPr>
            <w:r>
              <w:rPr>
                <w:sz w:val="20"/>
              </w:rPr>
              <w:t>old</w:t>
            </w: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tcBorders>
          </w:tcPr>
          <w:p>
            <w:pPr/>
          </w:p>
        </w:tc>
      </w:tr>
      <w:tr>
        <w:trPr>
          <w:trHeight w:val="383" w:hRule="exact"/>
        </w:trPr>
        <w:tc>
          <w:tcPr>
            <w:tcW w:w="1080" w:type="dxa"/>
            <w:vMerge/>
            <w:tcBorders>
              <w:bottom w:val="single" w:sz="4" w:space="0" w:color="000000"/>
              <w:right w:val="single" w:sz="4" w:space="0" w:color="000000"/>
            </w:tcBorders>
          </w:tcPr>
          <w:p>
            <w:pPr/>
          </w:p>
        </w:tc>
        <w:tc>
          <w:tcPr>
            <w:tcW w:w="1260" w:type="dxa"/>
            <w:tcBorders>
              <w:top w:val="single" w:sz="4" w:space="0" w:color="000000"/>
              <w:left w:val="single" w:sz="4" w:space="0" w:color="000000"/>
              <w:bottom w:val="single" w:sz="4" w:space="0" w:color="000000"/>
              <w:right w:val="single" w:sz="4" w:space="0" w:color="000000"/>
            </w:tcBorders>
          </w:tcPr>
          <w:p>
            <w:pPr>
              <w:pStyle w:val="TableParagraph"/>
              <w:spacing w:before="100"/>
              <w:ind w:left="458"/>
              <w:rPr>
                <w:sz w:val="20"/>
              </w:rPr>
            </w:pPr>
            <w:r>
              <w:rPr>
                <w:sz w:val="20"/>
              </w:rPr>
              <w:t>new</w:t>
            </w: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tcBorders>
          </w:tcPr>
          <w:p>
            <w:pPr/>
          </w:p>
        </w:tc>
      </w:tr>
      <w:tr>
        <w:trPr>
          <w:trHeight w:val="394" w:hRule="exact"/>
        </w:trPr>
        <w:tc>
          <w:tcPr>
            <w:tcW w:w="1080" w:type="dxa"/>
            <w:tcBorders>
              <w:top w:val="single" w:sz="4" w:space="0" w:color="000000"/>
              <w:right w:val="single" w:sz="4" w:space="0" w:color="000000"/>
            </w:tcBorders>
          </w:tcPr>
          <w:p>
            <w:pPr>
              <w:pStyle w:val="TableParagraph"/>
              <w:spacing w:before="100"/>
              <w:ind w:left="476"/>
              <w:rPr>
                <w:i/>
                <w:sz w:val="20"/>
              </w:rPr>
            </w:pPr>
            <w:r>
              <w:rPr>
                <w:i/>
                <w:color w:val="FF0000"/>
                <w:w w:val="100"/>
                <w:sz w:val="20"/>
              </w:rPr>
              <w:t>n</w:t>
            </w:r>
          </w:p>
        </w:tc>
        <w:tc>
          <w:tcPr>
            <w:tcW w:w="1260" w:type="dxa"/>
            <w:tcBorders>
              <w:top w:val="single" w:sz="4" w:space="0" w:color="000000"/>
              <w:left w:val="single" w:sz="4" w:space="0" w:color="000000"/>
              <w:right w:val="single" w:sz="4" w:space="0" w:color="000000"/>
            </w:tcBorders>
          </w:tcPr>
          <w:p>
            <w:pPr>
              <w:pStyle w:val="TableParagraph"/>
              <w:spacing w:before="100"/>
              <w:ind w:left="497"/>
              <w:rPr>
                <w:sz w:val="20"/>
              </w:rPr>
            </w:pPr>
            <w:r>
              <w:rPr>
                <w:sz w:val="20"/>
              </w:rPr>
              <w:t>old</w:t>
            </w:r>
          </w:p>
        </w:tc>
        <w:tc>
          <w:tcPr>
            <w:tcW w:w="1170" w:type="dxa"/>
            <w:tcBorders>
              <w:top w:val="single" w:sz="4" w:space="0" w:color="000000"/>
              <w:left w:val="single" w:sz="4" w:space="0" w:color="000000"/>
              <w:right w:val="single" w:sz="4" w:space="0" w:color="000000"/>
            </w:tcBorders>
          </w:tcPr>
          <w:p>
            <w:pPr/>
          </w:p>
        </w:tc>
        <w:tc>
          <w:tcPr>
            <w:tcW w:w="1170" w:type="dxa"/>
            <w:tcBorders>
              <w:top w:val="single" w:sz="4" w:space="0" w:color="000000"/>
              <w:left w:val="single" w:sz="4" w:space="0" w:color="000000"/>
              <w:right w:val="single" w:sz="4" w:space="0" w:color="000000"/>
            </w:tcBorders>
          </w:tcPr>
          <w:p>
            <w:pPr/>
          </w:p>
        </w:tc>
        <w:tc>
          <w:tcPr>
            <w:tcW w:w="1170" w:type="dxa"/>
            <w:tcBorders>
              <w:top w:val="single" w:sz="4" w:space="0" w:color="000000"/>
              <w:left w:val="single" w:sz="4" w:space="0" w:color="000000"/>
              <w:right w:val="single" w:sz="4" w:space="0" w:color="000000"/>
            </w:tcBorders>
          </w:tcPr>
          <w:p>
            <w:pPr/>
          </w:p>
        </w:tc>
        <w:tc>
          <w:tcPr>
            <w:tcW w:w="1170" w:type="dxa"/>
            <w:tcBorders>
              <w:top w:val="single" w:sz="4" w:space="0" w:color="000000"/>
              <w:left w:val="single" w:sz="4" w:space="0" w:color="000000"/>
              <w:right w:val="single" w:sz="4" w:space="0" w:color="000000"/>
            </w:tcBorders>
          </w:tcPr>
          <w:p>
            <w:pPr/>
          </w:p>
        </w:tc>
        <w:tc>
          <w:tcPr>
            <w:tcW w:w="1170" w:type="dxa"/>
            <w:tcBorders>
              <w:top w:val="single" w:sz="4" w:space="0" w:color="000000"/>
              <w:left w:val="single" w:sz="4" w:space="0" w:color="000000"/>
              <w:right w:val="single" w:sz="4" w:space="0" w:color="000000"/>
            </w:tcBorders>
          </w:tcPr>
          <w:p>
            <w:pPr/>
          </w:p>
        </w:tc>
        <w:tc>
          <w:tcPr>
            <w:tcW w:w="1170" w:type="dxa"/>
            <w:tcBorders>
              <w:top w:val="single" w:sz="4" w:space="0" w:color="000000"/>
              <w:left w:val="single" w:sz="4" w:space="0" w:color="000000"/>
            </w:tcBorders>
          </w:tcPr>
          <w:p>
            <w:pPr/>
          </w:p>
        </w:tc>
      </w:tr>
    </w:tbl>
    <w:p>
      <w:pPr>
        <w:pStyle w:val="BodyText"/>
        <w:spacing w:before="10"/>
        <w:rPr>
          <w:i w:val="0"/>
          <w:sz w:val="21"/>
        </w:rPr>
      </w:pPr>
    </w:p>
    <w:p>
      <w:pPr>
        <w:pStyle w:val="Heading5"/>
        <w:numPr>
          <w:ilvl w:val="0"/>
          <w:numId w:val="3"/>
        </w:numPr>
        <w:tabs>
          <w:tab w:pos="859" w:val="left" w:leader="none"/>
          <w:tab w:pos="861" w:val="left" w:leader="none"/>
          <w:tab w:pos="3019" w:val="left" w:leader="none"/>
        </w:tabs>
        <w:spacing w:line="240" w:lineRule="auto" w:before="0" w:after="0"/>
        <w:ind w:left="859" w:right="193" w:hanging="719"/>
        <w:jc w:val="left"/>
      </w:pPr>
      <w:r>
        <w:rPr>
          <w:b/>
          <w:i w:val="0"/>
          <w:u w:val="thick"/>
        </w:rPr>
        <w:t>MORTALITY</w:t>
      </w:r>
      <w:r>
        <w:rPr>
          <w:b/>
          <w:i w:val="0"/>
        </w:rPr>
        <w:t>:</w:t>
        <w:tab/>
      </w:r>
      <w:r>
        <w:rPr>
          <w:i/>
          <w:color w:val="FF0000"/>
        </w:rPr>
        <w:t>[Briefly summarize mortality; indicate if there was a dose-response</w:t>
      </w:r>
      <w:r>
        <w:rPr>
          <w:i/>
          <w:color w:val="FF0000"/>
          <w:spacing w:val="-38"/>
        </w:rPr>
        <w:t> </w:t>
      </w:r>
      <w:r>
        <w:rPr>
          <w:i/>
          <w:color w:val="FF0000"/>
        </w:rPr>
        <w:t>effect;</w:t>
      </w:r>
      <w:r>
        <w:rPr>
          <w:i/>
          <w:color w:val="FF0000"/>
          <w:spacing w:val="-4"/>
        </w:rPr>
        <w:t> </w:t>
      </w:r>
      <w:r>
        <w:rPr>
          <w:i/>
          <w:color w:val="FF0000"/>
        </w:rPr>
        <w:t>slope</w:t>
      </w:r>
      <w:r>
        <w:rPr>
          <w:color w:val="FF0000"/>
          <w:w w:val="99"/>
        </w:rPr>
        <w:t> </w:t>
      </w:r>
      <w:r>
        <w:rPr>
          <w:color w:val="FF0000"/>
        </w:rPr>
        <w:t>values, if provided. Compare the mortality with control treatment and/or the reference chemical (if used). Data may be summarized in a table such as those presented below. Modify tables to accommodate differences in experimental</w:t>
      </w:r>
      <w:r>
        <w:rPr>
          <w:color w:val="FF0000"/>
          <w:spacing w:val="-20"/>
        </w:rPr>
        <w:t> </w:t>
      </w:r>
      <w:r>
        <w:rPr>
          <w:color w:val="FF0000"/>
        </w:rPr>
        <w:t>design.]</w:t>
      </w:r>
    </w:p>
    <w:p>
      <w:pPr>
        <w:pStyle w:val="BodyText"/>
        <w:rPr>
          <w:i/>
          <w:sz w:val="22"/>
        </w:rPr>
      </w:pPr>
    </w:p>
    <w:p>
      <w:pPr>
        <w:pStyle w:val="BodyText"/>
        <w:spacing w:line="235" w:lineRule="auto"/>
        <w:ind w:left="859" w:right="211"/>
      </w:pPr>
      <w:r>
        <w:rPr>
          <w:b/>
          <w:i/>
          <w:color w:val="0070C0"/>
        </w:rPr>
        <w:t>From U.S. EPA OCSPP 885.0001 Overview for Microbial Pest Control Agents </w:t>
      </w:r>
      <w:r>
        <w:rPr>
          <w:i/>
          <w:color w:val="0070C0"/>
        </w:rPr>
        <w:t>The Agency realizes that it would be very difficult to establish </w:t>
      </w:r>
      <w:r>
        <w:rPr>
          <w:color w:val="0070C0"/>
        </w:rPr>
        <w:t>specific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values (e.g. LD</w:t>
      </w:r>
      <w:r>
        <w:rPr>
          <w:color w:val="0070C0"/>
          <w:position w:val="-1"/>
          <w:sz w:val="10"/>
        </w:rPr>
        <w:t>50 </w:t>
      </w:r>
      <w:r>
        <w:rPr>
          <w:color w:val="0070C0"/>
        </w:rPr>
        <w:t>= 1,000 mg/kg) and 95 percent confidence limits for most MPCAs whose mechanism of action is pathogenicity, because test data are not likely to exhibit a log-probit dose-response relationship that is typical of chemical pesticides. Therefore, data that establishes an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that is greater than the maximum hazard dosage level (e.g. LD</w:t>
      </w:r>
      <w:r>
        <w:rPr>
          <w:color w:val="0070C0"/>
          <w:position w:val="-1"/>
          <w:sz w:val="10"/>
        </w:rPr>
        <w:t>50 </w:t>
      </w:r>
      <w:r>
        <w:rPr>
          <w:color w:val="0070C0"/>
        </w:rPr>
        <w:t>&gt;1,000 mg/kg) would often be adequate for the purposes of hazard assessment and reporting in this section.</w:t>
      </w:r>
    </w:p>
    <w:p>
      <w:pPr>
        <w:pStyle w:val="BodyText"/>
        <w:spacing w:before="1"/>
        <w:rPr>
          <w:i/>
          <w:sz w:val="22"/>
        </w:rPr>
      </w:pPr>
    </w:p>
    <w:p>
      <w:pPr>
        <w:tabs>
          <w:tab w:pos="1580" w:val="left" w:leader="none"/>
        </w:tabs>
        <w:spacing w:before="1"/>
        <w:ind w:left="140" w:right="0" w:firstLine="0"/>
        <w:jc w:val="left"/>
        <w:rPr>
          <w:sz w:val="22"/>
        </w:rPr>
      </w:pPr>
      <w:r>
        <w:rPr>
          <w:b/>
          <w:sz w:val="22"/>
        </w:rPr>
        <w:t>TABLE</w:t>
      </w:r>
      <w:r>
        <w:rPr>
          <w:b/>
          <w:spacing w:val="-1"/>
          <w:sz w:val="22"/>
        </w:rPr>
        <w:t> </w:t>
      </w:r>
      <w:r>
        <w:rPr>
          <w:b/>
          <w:i/>
          <w:color w:val="FF0000"/>
          <w:sz w:val="22"/>
        </w:rPr>
        <w:t>[#]</w:t>
      </w:r>
      <w:r>
        <w:rPr>
          <w:sz w:val="22"/>
        </w:rPr>
        <w:t>.</w:t>
        <w:tab/>
        <w:t>Cumulative</w:t>
      </w:r>
      <w:r>
        <w:rPr>
          <w:spacing w:val="-6"/>
          <w:sz w:val="22"/>
        </w:rPr>
        <w:t> </w:t>
      </w:r>
      <w:r>
        <w:rPr>
          <w:sz w:val="22"/>
        </w:rPr>
        <w:t>mortality</w:t>
      </w:r>
      <w:r>
        <w:rPr>
          <w:spacing w:val="-4"/>
          <w:sz w:val="22"/>
        </w:rPr>
        <w:t> </w:t>
      </w:r>
      <w:r>
        <w:rPr>
          <w:i/>
          <w:color w:val="FF0000"/>
          <w:sz w:val="22"/>
        </w:rPr>
        <w:t>[or</w:t>
      </w:r>
      <w:r>
        <w:rPr>
          <w:i/>
          <w:color w:val="FF0000"/>
          <w:spacing w:val="-6"/>
          <w:sz w:val="22"/>
        </w:rPr>
        <w:t> </w:t>
      </w:r>
      <w:r>
        <w:rPr>
          <w:i/>
          <w:color w:val="FF0000"/>
          <w:sz w:val="22"/>
        </w:rPr>
        <w:t>number</w:t>
      </w:r>
      <w:r>
        <w:rPr>
          <w:i/>
          <w:color w:val="FF0000"/>
          <w:spacing w:val="-6"/>
          <w:sz w:val="22"/>
        </w:rPr>
        <w:t> </w:t>
      </w:r>
      <w:r>
        <w:rPr>
          <w:i/>
          <w:color w:val="FF0000"/>
          <w:sz w:val="22"/>
        </w:rPr>
        <w:t>of</w:t>
      </w:r>
      <w:r>
        <w:rPr>
          <w:i/>
          <w:color w:val="FF0000"/>
          <w:spacing w:val="-5"/>
          <w:sz w:val="22"/>
        </w:rPr>
        <w:t> </w:t>
      </w:r>
      <w:r>
        <w:rPr>
          <w:i/>
          <w:color w:val="FF0000"/>
          <w:sz w:val="22"/>
        </w:rPr>
        <w:t>immobilized]</w:t>
      </w:r>
      <w:r>
        <w:rPr>
          <w:i/>
          <w:color w:val="FF0000"/>
          <w:spacing w:val="-1"/>
          <w:sz w:val="22"/>
        </w:rPr>
        <w:t> </w:t>
      </w:r>
      <w:r>
        <w:rPr>
          <w:i/>
          <w:color w:val="FF0000"/>
          <w:sz w:val="22"/>
        </w:rPr>
        <w:t>[test</w:t>
      </w:r>
      <w:r>
        <w:rPr>
          <w:i/>
          <w:color w:val="FF0000"/>
          <w:spacing w:val="-5"/>
          <w:sz w:val="22"/>
        </w:rPr>
        <w:t> </w:t>
      </w:r>
      <w:r>
        <w:rPr>
          <w:i/>
          <w:color w:val="FF0000"/>
          <w:sz w:val="22"/>
        </w:rPr>
        <w:t>organism]</w:t>
      </w:r>
      <w:r>
        <w:rPr>
          <w:i/>
          <w:color w:val="FF0000"/>
          <w:spacing w:val="-3"/>
          <w:sz w:val="22"/>
        </w:rPr>
        <w:t> </w:t>
      </w:r>
      <w:r>
        <w:rPr>
          <w:sz w:val="22"/>
        </w:rPr>
        <w:t>exposed</w:t>
      </w:r>
      <w:r>
        <w:rPr>
          <w:spacing w:val="-5"/>
          <w:sz w:val="22"/>
        </w:rPr>
        <w:t> </w:t>
      </w:r>
      <w:r>
        <w:rPr>
          <w:sz w:val="22"/>
        </w:rPr>
        <w:t>to</w:t>
      </w:r>
      <w:r>
        <w:rPr>
          <w:spacing w:val="-5"/>
          <w:sz w:val="22"/>
        </w:rPr>
        <w:t> </w:t>
      </w:r>
      <w:r>
        <w:rPr>
          <w:i/>
          <w:color w:val="FF0000"/>
          <w:sz w:val="22"/>
        </w:rPr>
        <w:t>[test</w:t>
      </w:r>
      <w:r>
        <w:rPr>
          <w:i/>
          <w:color w:val="FF0000"/>
          <w:spacing w:val="-5"/>
          <w:sz w:val="22"/>
        </w:rPr>
        <w:t> </w:t>
      </w:r>
      <w:r>
        <w:rPr>
          <w:i/>
          <w:color w:val="FF0000"/>
          <w:sz w:val="22"/>
        </w:rPr>
        <w:t>substance]</w:t>
      </w:r>
      <w:r>
        <w:rPr>
          <w:i/>
          <w:color w:val="FF0000"/>
          <w:spacing w:val="-3"/>
          <w:sz w:val="22"/>
        </w:rPr>
        <w:t> </w:t>
      </w:r>
      <w:r>
        <w:rPr>
          <w:sz w:val="22"/>
        </w:rPr>
        <w:t>for</w:t>
      </w:r>
    </w:p>
    <w:p>
      <w:pPr>
        <w:spacing w:before="0" w:after="3"/>
        <w:ind w:left="139" w:right="0" w:firstLine="0"/>
        <w:jc w:val="left"/>
        <w:rPr>
          <w:sz w:val="22"/>
        </w:rPr>
      </w:pPr>
      <w:r>
        <w:rPr>
          <w:i/>
          <w:color w:val="FF0000"/>
          <w:sz w:val="22"/>
        </w:rPr>
        <w:t>[test duration] </w:t>
      </w:r>
      <w:r>
        <w:rPr>
          <w:sz w:val="22"/>
        </w:rPr>
        <w:t>under </w:t>
      </w:r>
      <w:r>
        <w:rPr>
          <w:i/>
          <w:color w:val="FF0000"/>
          <w:sz w:val="22"/>
        </w:rPr>
        <w:t>[static-renewal/flow-through] </w:t>
      </w:r>
      <w:r>
        <w:rPr>
          <w:sz w:val="22"/>
        </w:rPr>
        <w:t>conditions.</w:t>
      </w:r>
    </w:p>
    <w:tbl>
      <w:tblPr>
        <w:tblW w:w="0" w:type="auto"/>
        <w:jc w:val="left"/>
        <w:tblInd w:w="487"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350"/>
        <w:gridCol w:w="8005"/>
      </w:tblGrid>
      <w:tr>
        <w:trPr>
          <w:trHeight w:val="391" w:hRule="exact"/>
        </w:trPr>
        <w:tc>
          <w:tcPr>
            <w:tcW w:w="1350" w:type="dxa"/>
            <w:vMerge w:val="restart"/>
            <w:tcBorders>
              <w:right w:val="single" w:sz="4" w:space="0" w:color="000000"/>
            </w:tcBorders>
          </w:tcPr>
          <w:p>
            <w:pPr>
              <w:pStyle w:val="TableParagraph"/>
              <w:spacing w:before="7"/>
              <w:rPr>
                <w:sz w:val="26"/>
              </w:rPr>
            </w:pPr>
          </w:p>
          <w:p>
            <w:pPr>
              <w:pStyle w:val="TableParagraph"/>
              <w:ind w:left="467" w:right="478"/>
              <w:jc w:val="center"/>
              <w:rPr>
                <w:b/>
                <w:sz w:val="20"/>
              </w:rPr>
            </w:pPr>
            <w:r>
              <w:rPr>
                <w:b/>
                <w:sz w:val="20"/>
              </w:rPr>
              <w:t>Day</w:t>
            </w:r>
          </w:p>
        </w:tc>
        <w:tc>
          <w:tcPr>
            <w:tcW w:w="8005" w:type="dxa"/>
            <w:tcBorders>
              <w:left w:val="single" w:sz="4" w:space="0" w:color="000000"/>
              <w:bottom w:val="single" w:sz="4" w:space="0" w:color="000000"/>
            </w:tcBorders>
          </w:tcPr>
          <w:p>
            <w:pPr>
              <w:pStyle w:val="TableParagraph"/>
              <w:spacing w:before="106"/>
              <w:ind w:left="1207" w:right="1200"/>
              <w:jc w:val="center"/>
              <w:rPr>
                <w:b/>
                <w:i/>
                <w:sz w:val="20"/>
              </w:rPr>
            </w:pPr>
            <w:r>
              <w:rPr>
                <w:b/>
                <w:sz w:val="20"/>
              </w:rPr>
              <w:t>Cumulative Mortality </w:t>
            </w:r>
            <w:r>
              <w:rPr>
                <w:b/>
                <w:i/>
                <w:color w:val="FF0000"/>
                <w:sz w:val="20"/>
              </w:rPr>
              <w:t>or [Number of Immobilized] [test organism]</w:t>
            </w:r>
          </w:p>
        </w:tc>
      </w:tr>
      <w:tr>
        <w:trPr>
          <w:trHeight w:val="402" w:hRule="exact"/>
        </w:trPr>
        <w:tc>
          <w:tcPr>
            <w:tcW w:w="1350" w:type="dxa"/>
            <w:vMerge/>
            <w:tcBorders>
              <w:right w:val="single" w:sz="4" w:space="0" w:color="000000"/>
            </w:tcBorders>
          </w:tcPr>
          <w:p>
            <w:pPr/>
          </w:p>
        </w:tc>
        <w:tc>
          <w:tcPr>
            <w:tcW w:w="8005" w:type="dxa"/>
            <w:tcBorders>
              <w:top w:val="single" w:sz="4" w:space="0" w:color="000000"/>
              <w:left w:val="single" w:sz="4" w:space="0" w:color="000000"/>
              <w:bottom w:val="single" w:sz="4" w:space="0" w:color="000000"/>
            </w:tcBorders>
          </w:tcPr>
          <w:p>
            <w:pPr>
              <w:pStyle w:val="TableParagraph"/>
              <w:spacing w:before="125"/>
              <w:ind w:left="1207" w:right="1199"/>
              <w:jc w:val="center"/>
              <w:rPr>
                <w:b/>
                <w:sz w:val="20"/>
              </w:rPr>
            </w:pPr>
            <w:r>
              <w:rPr>
                <w:b/>
                <w:sz w:val="20"/>
              </w:rPr>
              <w:t>Measured Concentration of Test Suspension (CFU/L)</w:t>
            </w:r>
          </w:p>
        </w:tc>
      </w:tr>
    </w:tbl>
    <w:p>
      <w:pPr>
        <w:spacing w:after="0"/>
        <w:jc w:val="center"/>
        <w:rPr>
          <w:sz w:val="20"/>
        </w:rPr>
        <w:sectPr>
          <w:pgSz w:w="12240" w:h="15840"/>
          <w:pgMar w:header="729" w:footer="1084" w:top="1940" w:bottom="1280" w:left="940" w:right="940"/>
        </w:sectPr>
      </w:pPr>
    </w:p>
    <w:p>
      <w:pPr>
        <w:pStyle w:val="BodyText"/>
        <w:spacing w:before="11"/>
        <w:rPr>
          <w:i w:val="0"/>
          <w:sz w:val="15"/>
        </w:rPr>
      </w:pPr>
    </w:p>
    <w:tbl>
      <w:tblPr>
        <w:tblW w:w="0" w:type="auto"/>
        <w:jc w:val="left"/>
        <w:tblInd w:w="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50"/>
        <w:gridCol w:w="655"/>
        <w:gridCol w:w="667"/>
        <w:gridCol w:w="656"/>
        <w:gridCol w:w="680"/>
        <w:gridCol w:w="667"/>
        <w:gridCol w:w="668"/>
        <w:gridCol w:w="668"/>
        <w:gridCol w:w="667"/>
        <w:gridCol w:w="668"/>
        <w:gridCol w:w="668"/>
        <w:gridCol w:w="668"/>
        <w:gridCol w:w="670"/>
      </w:tblGrid>
      <w:tr>
        <w:trPr>
          <w:trHeight w:val="620" w:hRule="exact"/>
        </w:trPr>
        <w:tc>
          <w:tcPr>
            <w:tcW w:w="1350" w:type="dxa"/>
            <w:vMerge w:val="restart"/>
            <w:tcBorders>
              <w:left w:val="double" w:sz="4" w:space="0" w:color="000000"/>
            </w:tcBorders>
          </w:tcPr>
          <w:p>
            <w:pPr/>
          </w:p>
        </w:tc>
        <w:tc>
          <w:tcPr>
            <w:tcW w:w="1322" w:type="dxa"/>
            <w:gridSpan w:val="2"/>
            <w:tcBorders>
              <w:bottom w:val="double" w:sz="4" w:space="0" w:color="000000"/>
            </w:tcBorders>
          </w:tcPr>
          <w:p>
            <w:pPr>
              <w:pStyle w:val="TableParagraph"/>
              <w:spacing w:before="8"/>
              <w:rPr>
                <w:sz w:val="18"/>
              </w:rPr>
            </w:pPr>
          </w:p>
          <w:p>
            <w:pPr>
              <w:pStyle w:val="TableParagraph"/>
              <w:ind w:left="338"/>
              <w:rPr>
                <w:b/>
                <w:i/>
                <w:sz w:val="13"/>
              </w:rPr>
            </w:pPr>
            <w:r>
              <w:rPr>
                <w:b/>
                <w:i/>
                <w:color w:val="FF0000"/>
                <w:sz w:val="20"/>
              </w:rPr>
              <w:t>X × 10</w:t>
            </w:r>
            <w:r>
              <w:rPr>
                <w:b/>
                <w:i/>
                <w:color w:val="FF0000"/>
                <w:position w:val="7"/>
                <w:sz w:val="13"/>
              </w:rPr>
              <w:t>X</w:t>
            </w:r>
          </w:p>
        </w:tc>
        <w:tc>
          <w:tcPr>
            <w:tcW w:w="1337" w:type="dxa"/>
            <w:gridSpan w:val="2"/>
            <w:tcBorders>
              <w:bottom w:val="double" w:sz="4" w:space="0" w:color="000000"/>
            </w:tcBorders>
          </w:tcPr>
          <w:p>
            <w:pPr>
              <w:pStyle w:val="TableParagraph"/>
              <w:spacing w:before="8"/>
              <w:rPr>
                <w:sz w:val="18"/>
              </w:rPr>
            </w:pPr>
          </w:p>
          <w:p>
            <w:pPr>
              <w:pStyle w:val="TableParagraph"/>
              <w:ind w:left="346"/>
              <w:rPr>
                <w:b/>
                <w:i/>
                <w:sz w:val="13"/>
              </w:rPr>
            </w:pPr>
            <w:r>
              <w:rPr>
                <w:b/>
                <w:i/>
                <w:color w:val="FF0000"/>
                <w:sz w:val="20"/>
              </w:rPr>
              <w:t>X × 10</w:t>
            </w:r>
            <w:r>
              <w:rPr>
                <w:b/>
                <w:i/>
                <w:color w:val="FF0000"/>
                <w:position w:val="7"/>
                <w:sz w:val="13"/>
              </w:rPr>
              <w:t>X</w:t>
            </w:r>
          </w:p>
        </w:tc>
        <w:tc>
          <w:tcPr>
            <w:tcW w:w="1336" w:type="dxa"/>
            <w:gridSpan w:val="2"/>
            <w:tcBorders>
              <w:bottom w:val="double" w:sz="4" w:space="0" w:color="000000"/>
            </w:tcBorders>
          </w:tcPr>
          <w:p>
            <w:pPr>
              <w:pStyle w:val="TableParagraph"/>
              <w:spacing w:before="8"/>
              <w:rPr>
                <w:sz w:val="18"/>
              </w:rPr>
            </w:pPr>
          </w:p>
          <w:p>
            <w:pPr>
              <w:pStyle w:val="TableParagraph"/>
              <w:ind w:left="345"/>
              <w:rPr>
                <w:b/>
                <w:i/>
                <w:sz w:val="13"/>
              </w:rPr>
            </w:pPr>
            <w:r>
              <w:rPr>
                <w:b/>
                <w:i/>
                <w:color w:val="FF0000"/>
                <w:sz w:val="20"/>
              </w:rPr>
              <w:t>X × 10</w:t>
            </w:r>
            <w:r>
              <w:rPr>
                <w:b/>
                <w:i/>
                <w:color w:val="FF0000"/>
                <w:position w:val="7"/>
                <w:sz w:val="13"/>
              </w:rPr>
              <w:t>X</w:t>
            </w:r>
          </w:p>
        </w:tc>
        <w:tc>
          <w:tcPr>
            <w:tcW w:w="1336" w:type="dxa"/>
            <w:gridSpan w:val="2"/>
            <w:tcBorders>
              <w:bottom w:val="double" w:sz="4" w:space="0" w:color="000000"/>
            </w:tcBorders>
          </w:tcPr>
          <w:p>
            <w:pPr>
              <w:pStyle w:val="TableParagraph"/>
              <w:spacing w:before="8"/>
              <w:rPr>
                <w:sz w:val="18"/>
              </w:rPr>
            </w:pPr>
          </w:p>
          <w:p>
            <w:pPr>
              <w:pStyle w:val="TableParagraph"/>
              <w:ind w:left="346"/>
              <w:rPr>
                <w:b/>
                <w:i/>
                <w:sz w:val="13"/>
              </w:rPr>
            </w:pPr>
            <w:r>
              <w:rPr>
                <w:b/>
                <w:i/>
                <w:color w:val="FF0000"/>
                <w:sz w:val="20"/>
              </w:rPr>
              <w:t>X × 10</w:t>
            </w:r>
            <w:r>
              <w:rPr>
                <w:b/>
                <w:i/>
                <w:color w:val="FF0000"/>
                <w:position w:val="7"/>
                <w:sz w:val="13"/>
              </w:rPr>
              <w:t>X</w:t>
            </w:r>
          </w:p>
        </w:tc>
        <w:tc>
          <w:tcPr>
            <w:tcW w:w="1337" w:type="dxa"/>
            <w:gridSpan w:val="2"/>
            <w:tcBorders>
              <w:bottom w:val="double" w:sz="4" w:space="0" w:color="000000"/>
            </w:tcBorders>
          </w:tcPr>
          <w:p>
            <w:pPr>
              <w:pStyle w:val="TableParagraph"/>
              <w:spacing w:before="8"/>
              <w:rPr>
                <w:sz w:val="18"/>
              </w:rPr>
            </w:pPr>
          </w:p>
          <w:p>
            <w:pPr>
              <w:pStyle w:val="TableParagraph"/>
              <w:ind w:left="346"/>
              <w:rPr>
                <w:b/>
                <w:i/>
                <w:sz w:val="13"/>
              </w:rPr>
            </w:pPr>
            <w:r>
              <w:rPr>
                <w:b/>
                <w:i/>
                <w:color w:val="FF0000"/>
                <w:sz w:val="20"/>
              </w:rPr>
              <w:t>X × 10</w:t>
            </w:r>
            <w:r>
              <w:rPr>
                <w:b/>
                <w:i/>
                <w:color w:val="FF0000"/>
                <w:position w:val="7"/>
                <w:sz w:val="13"/>
              </w:rPr>
              <w:t>X</w:t>
            </w:r>
          </w:p>
        </w:tc>
        <w:tc>
          <w:tcPr>
            <w:tcW w:w="1338" w:type="dxa"/>
            <w:gridSpan w:val="2"/>
            <w:tcBorders>
              <w:bottom w:val="double" w:sz="4" w:space="0" w:color="000000"/>
              <w:right w:val="double" w:sz="4" w:space="0" w:color="000000"/>
            </w:tcBorders>
          </w:tcPr>
          <w:p>
            <w:pPr>
              <w:pStyle w:val="TableParagraph"/>
              <w:spacing w:before="105"/>
              <w:ind w:left="330" w:right="264" w:hanging="40"/>
              <w:rPr>
                <w:b/>
                <w:sz w:val="20"/>
              </w:rPr>
            </w:pPr>
            <w:r>
              <w:rPr>
                <w:b/>
                <w:sz w:val="20"/>
              </w:rPr>
              <w:t>Negative Control</w:t>
            </w:r>
          </w:p>
        </w:tc>
      </w:tr>
      <w:tr>
        <w:trPr>
          <w:trHeight w:val="401" w:hRule="exact"/>
        </w:trPr>
        <w:tc>
          <w:tcPr>
            <w:tcW w:w="1350" w:type="dxa"/>
            <w:vMerge/>
            <w:tcBorders>
              <w:left w:val="double" w:sz="4" w:space="0" w:color="000000"/>
              <w:bottom w:val="double" w:sz="4" w:space="0" w:color="000000"/>
            </w:tcBorders>
          </w:tcPr>
          <w:p>
            <w:pPr/>
          </w:p>
        </w:tc>
        <w:tc>
          <w:tcPr>
            <w:tcW w:w="655" w:type="dxa"/>
            <w:tcBorders>
              <w:top w:val="double" w:sz="4" w:space="0" w:color="000000"/>
              <w:bottom w:val="double" w:sz="4" w:space="0" w:color="000000"/>
            </w:tcBorders>
          </w:tcPr>
          <w:p>
            <w:pPr>
              <w:pStyle w:val="TableParagraph"/>
              <w:spacing w:before="106"/>
              <w:ind w:right="1"/>
              <w:jc w:val="center"/>
              <w:rPr>
                <w:b/>
                <w:sz w:val="20"/>
              </w:rPr>
            </w:pPr>
            <w:r>
              <w:rPr>
                <w:b/>
                <w:w w:val="100"/>
                <w:sz w:val="20"/>
              </w:rPr>
              <w:t>A</w:t>
            </w:r>
          </w:p>
        </w:tc>
        <w:tc>
          <w:tcPr>
            <w:tcW w:w="667" w:type="dxa"/>
            <w:tcBorders>
              <w:top w:val="double" w:sz="4" w:space="0" w:color="000000"/>
              <w:bottom w:val="double" w:sz="4" w:space="0" w:color="000000"/>
            </w:tcBorders>
          </w:tcPr>
          <w:p>
            <w:pPr>
              <w:pStyle w:val="TableParagraph"/>
              <w:spacing w:before="106"/>
              <w:jc w:val="center"/>
              <w:rPr>
                <w:b/>
                <w:sz w:val="20"/>
              </w:rPr>
            </w:pPr>
            <w:r>
              <w:rPr>
                <w:b/>
                <w:w w:val="100"/>
                <w:sz w:val="20"/>
              </w:rPr>
              <w:t>B</w:t>
            </w:r>
          </w:p>
        </w:tc>
        <w:tc>
          <w:tcPr>
            <w:tcW w:w="656" w:type="dxa"/>
            <w:tcBorders>
              <w:top w:val="double" w:sz="4" w:space="0" w:color="000000"/>
              <w:bottom w:val="double" w:sz="4" w:space="0" w:color="000000"/>
            </w:tcBorders>
          </w:tcPr>
          <w:p>
            <w:pPr>
              <w:pStyle w:val="TableParagraph"/>
              <w:spacing w:before="106"/>
              <w:jc w:val="center"/>
              <w:rPr>
                <w:b/>
                <w:sz w:val="20"/>
              </w:rPr>
            </w:pPr>
            <w:r>
              <w:rPr>
                <w:b/>
                <w:w w:val="100"/>
                <w:sz w:val="20"/>
              </w:rPr>
              <w:t>A</w:t>
            </w:r>
          </w:p>
        </w:tc>
        <w:tc>
          <w:tcPr>
            <w:tcW w:w="680" w:type="dxa"/>
            <w:tcBorders>
              <w:top w:val="double" w:sz="4" w:space="0" w:color="000000"/>
              <w:bottom w:val="double" w:sz="4" w:space="0" w:color="000000"/>
            </w:tcBorders>
          </w:tcPr>
          <w:p>
            <w:pPr>
              <w:pStyle w:val="TableParagraph"/>
              <w:spacing w:before="106"/>
              <w:ind w:left="1"/>
              <w:jc w:val="center"/>
              <w:rPr>
                <w:b/>
                <w:sz w:val="20"/>
              </w:rPr>
            </w:pPr>
            <w:r>
              <w:rPr>
                <w:b/>
                <w:w w:val="100"/>
                <w:sz w:val="20"/>
              </w:rPr>
              <w:t>B</w:t>
            </w:r>
          </w:p>
        </w:tc>
        <w:tc>
          <w:tcPr>
            <w:tcW w:w="667" w:type="dxa"/>
            <w:tcBorders>
              <w:top w:val="double" w:sz="4" w:space="0" w:color="000000"/>
              <w:bottom w:val="double" w:sz="4" w:space="0" w:color="000000"/>
            </w:tcBorders>
          </w:tcPr>
          <w:p>
            <w:pPr>
              <w:pStyle w:val="TableParagraph"/>
              <w:spacing w:before="106"/>
              <w:jc w:val="center"/>
              <w:rPr>
                <w:b/>
                <w:sz w:val="20"/>
              </w:rPr>
            </w:pPr>
            <w:r>
              <w:rPr>
                <w:b/>
                <w:w w:val="100"/>
                <w:sz w:val="20"/>
              </w:rPr>
              <w:t>A</w:t>
            </w:r>
          </w:p>
        </w:tc>
        <w:tc>
          <w:tcPr>
            <w:tcW w:w="668" w:type="dxa"/>
            <w:tcBorders>
              <w:top w:val="double" w:sz="4" w:space="0" w:color="000000"/>
              <w:bottom w:val="double" w:sz="4" w:space="0" w:color="000000"/>
            </w:tcBorders>
          </w:tcPr>
          <w:p>
            <w:pPr>
              <w:pStyle w:val="TableParagraph"/>
              <w:spacing w:before="106"/>
              <w:ind w:left="1"/>
              <w:jc w:val="center"/>
              <w:rPr>
                <w:b/>
                <w:sz w:val="20"/>
              </w:rPr>
            </w:pPr>
            <w:r>
              <w:rPr>
                <w:b/>
                <w:w w:val="100"/>
                <w:sz w:val="20"/>
              </w:rPr>
              <w:t>B</w:t>
            </w:r>
          </w:p>
        </w:tc>
        <w:tc>
          <w:tcPr>
            <w:tcW w:w="668" w:type="dxa"/>
            <w:tcBorders>
              <w:top w:val="double" w:sz="4" w:space="0" w:color="000000"/>
              <w:bottom w:val="double" w:sz="4" w:space="0" w:color="000000"/>
            </w:tcBorders>
          </w:tcPr>
          <w:p>
            <w:pPr>
              <w:pStyle w:val="TableParagraph"/>
              <w:spacing w:before="106"/>
              <w:ind w:left="1"/>
              <w:jc w:val="center"/>
              <w:rPr>
                <w:b/>
                <w:sz w:val="20"/>
              </w:rPr>
            </w:pPr>
            <w:r>
              <w:rPr>
                <w:b/>
                <w:w w:val="100"/>
                <w:sz w:val="20"/>
              </w:rPr>
              <w:t>A</w:t>
            </w:r>
          </w:p>
        </w:tc>
        <w:tc>
          <w:tcPr>
            <w:tcW w:w="667" w:type="dxa"/>
            <w:tcBorders>
              <w:top w:val="double" w:sz="4" w:space="0" w:color="000000"/>
              <w:bottom w:val="double" w:sz="4" w:space="0" w:color="000000"/>
            </w:tcBorders>
          </w:tcPr>
          <w:p>
            <w:pPr>
              <w:pStyle w:val="TableParagraph"/>
              <w:spacing w:before="106"/>
              <w:ind w:left="1"/>
              <w:jc w:val="center"/>
              <w:rPr>
                <w:b/>
                <w:sz w:val="20"/>
              </w:rPr>
            </w:pPr>
            <w:r>
              <w:rPr>
                <w:b/>
                <w:w w:val="100"/>
                <w:sz w:val="20"/>
              </w:rPr>
              <w:t>B</w:t>
            </w:r>
          </w:p>
        </w:tc>
        <w:tc>
          <w:tcPr>
            <w:tcW w:w="668" w:type="dxa"/>
            <w:tcBorders>
              <w:top w:val="double" w:sz="4" w:space="0" w:color="000000"/>
              <w:bottom w:val="double" w:sz="4" w:space="0" w:color="000000"/>
            </w:tcBorders>
          </w:tcPr>
          <w:p>
            <w:pPr>
              <w:pStyle w:val="TableParagraph"/>
              <w:spacing w:before="106"/>
              <w:ind w:left="1"/>
              <w:jc w:val="center"/>
              <w:rPr>
                <w:b/>
                <w:sz w:val="20"/>
              </w:rPr>
            </w:pPr>
            <w:r>
              <w:rPr>
                <w:b/>
                <w:w w:val="100"/>
                <w:sz w:val="20"/>
              </w:rPr>
              <w:t>A</w:t>
            </w:r>
          </w:p>
        </w:tc>
        <w:tc>
          <w:tcPr>
            <w:tcW w:w="668" w:type="dxa"/>
            <w:tcBorders>
              <w:top w:val="double" w:sz="4" w:space="0" w:color="000000"/>
              <w:bottom w:val="double" w:sz="4" w:space="0" w:color="000000"/>
            </w:tcBorders>
          </w:tcPr>
          <w:p>
            <w:pPr>
              <w:pStyle w:val="TableParagraph"/>
              <w:spacing w:before="106"/>
              <w:ind w:left="2"/>
              <w:jc w:val="center"/>
              <w:rPr>
                <w:b/>
                <w:sz w:val="20"/>
              </w:rPr>
            </w:pPr>
            <w:r>
              <w:rPr>
                <w:b/>
                <w:w w:val="100"/>
                <w:sz w:val="20"/>
              </w:rPr>
              <w:t>B</w:t>
            </w:r>
          </w:p>
        </w:tc>
        <w:tc>
          <w:tcPr>
            <w:tcW w:w="668" w:type="dxa"/>
            <w:tcBorders>
              <w:top w:val="double" w:sz="4" w:space="0" w:color="000000"/>
              <w:bottom w:val="double" w:sz="4" w:space="0" w:color="000000"/>
            </w:tcBorders>
          </w:tcPr>
          <w:p>
            <w:pPr>
              <w:pStyle w:val="TableParagraph"/>
              <w:spacing w:before="106"/>
              <w:ind w:left="2"/>
              <w:jc w:val="center"/>
              <w:rPr>
                <w:b/>
                <w:sz w:val="20"/>
              </w:rPr>
            </w:pPr>
            <w:r>
              <w:rPr>
                <w:b/>
                <w:w w:val="100"/>
                <w:sz w:val="20"/>
              </w:rPr>
              <w:t>A</w:t>
            </w:r>
          </w:p>
        </w:tc>
        <w:tc>
          <w:tcPr>
            <w:tcW w:w="670" w:type="dxa"/>
            <w:tcBorders>
              <w:top w:val="double" w:sz="4" w:space="0" w:color="000000"/>
              <w:bottom w:val="double" w:sz="4" w:space="0" w:color="000000"/>
              <w:right w:val="double" w:sz="4" w:space="0" w:color="000000"/>
            </w:tcBorders>
          </w:tcPr>
          <w:p>
            <w:pPr>
              <w:pStyle w:val="TableParagraph"/>
              <w:spacing w:before="106"/>
              <w:ind w:left="11"/>
              <w:jc w:val="center"/>
              <w:rPr>
                <w:b/>
                <w:sz w:val="20"/>
              </w:rPr>
            </w:pPr>
            <w:r>
              <w:rPr>
                <w:b/>
                <w:w w:val="100"/>
                <w:sz w:val="20"/>
              </w:rPr>
              <w:t>B</w:t>
            </w:r>
          </w:p>
        </w:tc>
      </w:tr>
      <w:tr>
        <w:trPr>
          <w:trHeight w:val="391" w:hRule="exact"/>
        </w:trPr>
        <w:tc>
          <w:tcPr>
            <w:tcW w:w="1350" w:type="dxa"/>
            <w:tcBorders>
              <w:top w:val="double" w:sz="4" w:space="0" w:color="000000"/>
              <w:left w:val="double" w:sz="4" w:space="0" w:color="000000"/>
            </w:tcBorders>
          </w:tcPr>
          <w:p>
            <w:pPr>
              <w:pStyle w:val="TableParagraph"/>
              <w:spacing w:before="103"/>
              <w:ind w:right="9"/>
              <w:jc w:val="center"/>
              <w:rPr>
                <w:sz w:val="20"/>
              </w:rPr>
            </w:pPr>
            <w:r>
              <w:rPr>
                <w:w w:val="100"/>
                <w:sz w:val="20"/>
              </w:rPr>
              <w:t>1</w:t>
            </w:r>
          </w:p>
        </w:tc>
        <w:tc>
          <w:tcPr>
            <w:tcW w:w="655" w:type="dxa"/>
            <w:tcBorders>
              <w:top w:val="double" w:sz="4" w:space="0" w:color="000000"/>
            </w:tcBorders>
          </w:tcPr>
          <w:p>
            <w:pPr>
              <w:pStyle w:val="TableParagraph"/>
              <w:spacing w:before="103"/>
              <w:ind w:left="157" w:right="158"/>
              <w:jc w:val="center"/>
              <w:rPr>
                <w:i/>
                <w:sz w:val="20"/>
              </w:rPr>
            </w:pPr>
            <w:r>
              <w:rPr>
                <w:i/>
                <w:color w:val="FF0000"/>
                <w:sz w:val="20"/>
              </w:rPr>
              <w:t>X/Y</w:t>
            </w:r>
          </w:p>
        </w:tc>
        <w:tc>
          <w:tcPr>
            <w:tcW w:w="667" w:type="dxa"/>
            <w:tcBorders>
              <w:top w:val="double" w:sz="4" w:space="0" w:color="000000"/>
            </w:tcBorders>
          </w:tcPr>
          <w:p>
            <w:pPr/>
          </w:p>
        </w:tc>
        <w:tc>
          <w:tcPr>
            <w:tcW w:w="656" w:type="dxa"/>
            <w:tcBorders>
              <w:top w:val="double" w:sz="4" w:space="0" w:color="000000"/>
            </w:tcBorders>
          </w:tcPr>
          <w:p>
            <w:pPr/>
          </w:p>
        </w:tc>
        <w:tc>
          <w:tcPr>
            <w:tcW w:w="680" w:type="dxa"/>
            <w:tcBorders>
              <w:top w:val="double" w:sz="4" w:space="0" w:color="000000"/>
            </w:tcBorders>
          </w:tcPr>
          <w:p>
            <w:pPr/>
          </w:p>
        </w:tc>
        <w:tc>
          <w:tcPr>
            <w:tcW w:w="667" w:type="dxa"/>
            <w:tcBorders>
              <w:top w:val="double" w:sz="4" w:space="0" w:color="000000"/>
            </w:tcBorders>
          </w:tcPr>
          <w:p>
            <w:pPr/>
          </w:p>
        </w:tc>
        <w:tc>
          <w:tcPr>
            <w:tcW w:w="668" w:type="dxa"/>
            <w:tcBorders>
              <w:top w:val="double" w:sz="4" w:space="0" w:color="000000"/>
            </w:tcBorders>
          </w:tcPr>
          <w:p>
            <w:pPr/>
          </w:p>
        </w:tc>
        <w:tc>
          <w:tcPr>
            <w:tcW w:w="668" w:type="dxa"/>
            <w:tcBorders>
              <w:top w:val="double" w:sz="4" w:space="0" w:color="000000"/>
            </w:tcBorders>
          </w:tcPr>
          <w:p>
            <w:pPr/>
          </w:p>
        </w:tc>
        <w:tc>
          <w:tcPr>
            <w:tcW w:w="667" w:type="dxa"/>
            <w:tcBorders>
              <w:top w:val="double" w:sz="4" w:space="0" w:color="000000"/>
            </w:tcBorders>
          </w:tcPr>
          <w:p>
            <w:pPr/>
          </w:p>
        </w:tc>
        <w:tc>
          <w:tcPr>
            <w:tcW w:w="668" w:type="dxa"/>
            <w:tcBorders>
              <w:top w:val="double" w:sz="4" w:space="0" w:color="000000"/>
            </w:tcBorders>
          </w:tcPr>
          <w:p>
            <w:pPr/>
          </w:p>
        </w:tc>
        <w:tc>
          <w:tcPr>
            <w:tcW w:w="668" w:type="dxa"/>
            <w:tcBorders>
              <w:top w:val="double" w:sz="4" w:space="0" w:color="000000"/>
            </w:tcBorders>
          </w:tcPr>
          <w:p>
            <w:pPr/>
          </w:p>
        </w:tc>
        <w:tc>
          <w:tcPr>
            <w:tcW w:w="668" w:type="dxa"/>
            <w:tcBorders>
              <w:top w:val="double" w:sz="4" w:space="0" w:color="000000"/>
            </w:tcBorders>
          </w:tcPr>
          <w:p>
            <w:pPr/>
          </w:p>
        </w:tc>
        <w:tc>
          <w:tcPr>
            <w:tcW w:w="670" w:type="dxa"/>
            <w:tcBorders>
              <w:top w:val="double" w:sz="4" w:space="0" w:color="000000"/>
              <w:right w:val="double" w:sz="4" w:space="0" w:color="000000"/>
            </w:tcBorders>
          </w:tcPr>
          <w:p>
            <w:pPr/>
          </w:p>
        </w:tc>
      </w:tr>
      <w:tr>
        <w:trPr>
          <w:trHeight w:val="382" w:hRule="exact"/>
        </w:trPr>
        <w:tc>
          <w:tcPr>
            <w:tcW w:w="1350" w:type="dxa"/>
            <w:tcBorders>
              <w:left w:val="double" w:sz="4" w:space="0" w:color="000000"/>
            </w:tcBorders>
          </w:tcPr>
          <w:p>
            <w:pPr>
              <w:pStyle w:val="TableParagraph"/>
              <w:spacing w:before="103"/>
              <w:ind w:right="9"/>
              <w:jc w:val="center"/>
              <w:rPr>
                <w:sz w:val="20"/>
              </w:rPr>
            </w:pPr>
            <w:r>
              <w:rPr>
                <w:w w:val="100"/>
                <w:sz w:val="20"/>
              </w:rPr>
              <w:t>2</w:t>
            </w:r>
          </w:p>
        </w:tc>
        <w:tc>
          <w:tcPr>
            <w:tcW w:w="655" w:type="dxa"/>
          </w:tcPr>
          <w:p>
            <w:pPr/>
          </w:p>
        </w:tc>
        <w:tc>
          <w:tcPr>
            <w:tcW w:w="667" w:type="dxa"/>
          </w:tcPr>
          <w:p>
            <w:pPr/>
          </w:p>
        </w:tc>
        <w:tc>
          <w:tcPr>
            <w:tcW w:w="656" w:type="dxa"/>
          </w:tcPr>
          <w:p>
            <w:pPr/>
          </w:p>
        </w:tc>
        <w:tc>
          <w:tcPr>
            <w:tcW w:w="680" w:type="dxa"/>
          </w:tcPr>
          <w:p>
            <w:pPr/>
          </w:p>
        </w:tc>
        <w:tc>
          <w:tcPr>
            <w:tcW w:w="667" w:type="dxa"/>
          </w:tcPr>
          <w:p>
            <w:pPr/>
          </w:p>
        </w:tc>
        <w:tc>
          <w:tcPr>
            <w:tcW w:w="668" w:type="dxa"/>
          </w:tcPr>
          <w:p>
            <w:pPr/>
          </w:p>
        </w:tc>
        <w:tc>
          <w:tcPr>
            <w:tcW w:w="668" w:type="dxa"/>
          </w:tcPr>
          <w:p>
            <w:pPr/>
          </w:p>
        </w:tc>
        <w:tc>
          <w:tcPr>
            <w:tcW w:w="667" w:type="dxa"/>
          </w:tcPr>
          <w:p>
            <w:pPr/>
          </w:p>
        </w:tc>
        <w:tc>
          <w:tcPr>
            <w:tcW w:w="668" w:type="dxa"/>
          </w:tcPr>
          <w:p>
            <w:pPr/>
          </w:p>
        </w:tc>
        <w:tc>
          <w:tcPr>
            <w:tcW w:w="668" w:type="dxa"/>
          </w:tcPr>
          <w:p>
            <w:pPr/>
          </w:p>
        </w:tc>
        <w:tc>
          <w:tcPr>
            <w:tcW w:w="668" w:type="dxa"/>
          </w:tcPr>
          <w:p>
            <w:pPr/>
          </w:p>
        </w:tc>
        <w:tc>
          <w:tcPr>
            <w:tcW w:w="670" w:type="dxa"/>
            <w:tcBorders>
              <w:right w:val="double" w:sz="4" w:space="0" w:color="000000"/>
            </w:tcBorders>
          </w:tcPr>
          <w:p>
            <w:pPr/>
          </w:p>
        </w:tc>
      </w:tr>
      <w:tr>
        <w:trPr>
          <w:trHeight w:val="380" w:hRule="exact"/>
        </w:trPr>
        <w:tc>
          <w:tcPr>
            <w:tcW w:w="1350" w:type="dxa"/>
            <w:tcBorders>
              <w:left w:val="double" w:sz="4" w:space="0" w:color="000000"/>
            </w:tcBorders>
          </w:tcPr>
          <w:p>
            <w:pPr>
              <w:pStyle w:val="TableParagraph"/>
              <w:spacing w:before="102"/>
              <w:ind w:right="9"/>
              <w:jc w:val="center"/>
              <w:rPr>
                <w:sz w:val="20"/>
              </w:rPr>
            </w:pPr>
            <w:r>
              <w:rPr>
                <w:w w:val="100"/>
                <w:sz w:val="20"/>
              </w:rPr>
              <w:t>3</w:t>
            </w:r>
          </w:p>
        </w:tc>
        <w:tc>
          <w:tcPr>
            <w:tcW w:w="655" w:type="dxa"/>
          </w:tcPr>
          <w:p>
            <w:pPr/>
          </w:p>
        </w:tc>
        <w:tc>
          <w:tcPr>
            <w:tcW w:w="667" w:type="dxa"/>
          </w:tcPr>
          <w:p>
            <w:pPr/>
          </w:p>
        </w:tc>
        <w:tc>
          <w:tcPr>
            <w:tcW w:w="656" w:type="dxa"/>
          </w:tcPr>
          <w:p>
            <w:pPr/>
          </w:p>
        </w:tc>
        <w:tc>
          <w:tcPr>
            <w:tcW w:w="680" w:type="dxa"/>
          </w:tcPr>
          <w:p>
            <w:pPr/>
          </w:p>
        </w:tc>
        <w:tc>
          <w:tcPr>
            <w:tcW w:w="667" w:type="dxa"/>
          </w:tcPr>
          <w:p>
            <w:pPr/>
          </w:p>
        </w:tc>
        <w:tc>
          <w:tcPr>
            <w:tcW w:w="668" w:type="dxa"/>
          </w:tcPr>
          <w:p>
            <w:pPr/>
          </w:p>
        </w:tc>
        <w:tc>
          <w:tcPr>
            <w:tcW w:w="668" w:type="dxa"/>
          </w:tcPr>
          <w:p>
            <w:pPr/>
          </w:p>
        </w:tc>
        <w:tc>
          <w:tcPr>
            <w:tcW w:w="667" w:type="dxa"/>
          </w:tcPr>
          <w:p>
            <w:pPr/>
          </w:p>
        </w:tc>
        <w:tc>
          <w:tcPr>
            <w:tcW w:w="668" w:type="dxa"/>
          </w:tcPr>
          <w:p>
            <w:pPr/>
          </w:p>
        </w:tc>
        <w:tc>
          <w:tcPr>
            <w:tcW w:w="668" w:type="dxa"/>
          </w:tcPr>
          <w:p>
            <w:pPr/>
          </w:p>
        </w:tc>
        <w:tc>
          <w:tcPr>
            <w:tcW w:w="668" w:type="dxa"/>
          </w:tcPr>
          <w:p>
            <w:pPr/>
          </w:p>
        </w:tc>
        <w:tc>
          <w:tcPr>
            <w:tcW w:w="670" w:type="dxa"/>
            <w:tcBorders>
              <w:right w:val="double" w:sz="4" w:space="0" w:color="000000"/>
            </w:tcBorders>
          </w:tcPr>
          <w:p>
            <w:pPr/>
          </w:p>
        </w:tc>
      </w:tr>
      <w:tr>
        <w:trPr>
          <w:trHeight w:val="391" w:hRule="exact"/>
        </w:trPr>
        <w:tc>
          <w:tcPr>
            <w:tcW w:w="1350" w:type="dxa"/>
            <w:tcBorders>
              <w:left w:val="double" w:sz="4" w:space="0" w:color="000000"/>
              <w:bottom w:val="double" w:sz="4" w:space="0" w:color="000000"/>
            </w:tcBorders>
          </w:tcPr>
          <w:p>
            <w:pPr>
              <w:pStyle w:val="TableParagraph"/>
              <w:spacing w:before="103"/>
              <w:ind w:right="9"/>
              <w:jc w:val="center"/>
              <w:rPr>
                <w:i/>
                <w:sz w:val="20"/>
              </w:rPr>
            </w:pPr>
            <w:r>
              <w:rPr>
                <w:i/>
                <w:color w:val="FF0000"/>
                <w:w w:val="100"/>
                <w:sz w:val="20"/>
              </w:rPr>
              <w:t>N</w:t>
            </w:r>
          </w:p>
        </w:tc>
        <w:tc>
          <w:tcPr>
            <w:tcW w:w="655" w:type="dxa"/>
            <w:tcBorders>
              <w:bottom w:val="double" w:sz="4" w:space="0" w:color="000000"/>
            </w:tcBorders>
          </w:tcPr>
          <w:p>
            <w:pPr/>
          </w:p>
        </w:tc>
        <w:tc>
          <w:tcPr>
            <w:tcW w:w="667" w:type="dxa"/>
            <w:tcBorders>
              <w:bottom w:val="double" w:sz="4" w:space="0" w:color="000000"/>
            </w:tcBorders>
          </w:tcPr>
          <w:p>
            <w:pPr/>
          </w:p>
        </w:tc>
        <w:tc>
          <w:tcPr>
            <w:tcW w:w="656" w:type="dxa"/>
            <w:tcBorders>
              <w:bottom w:val="double" w:sz="4" w:space="0" w:color="000000"/>
            </w:tcBorders>
          </w:tcPr>
          <w:p>
            <w:pPr/>
          </w:p>
        </w:tc>
        <w:tc>
          <w:tcPr>
            <w:tcW w:w="680" w:type="dxa"/>
            <w:tcBorders>
              <w:bottom w:val="double" w:sz="4" w:space="0" w:color="000000"/>
            </w:tcBorders>
          </w:tcPr>
          <w:p>
            <w:pPr/>
          </w:p>
        </w:tc>
        <w:tc>
          <w:tcPr>
            <w:tcW w:w="667" w:type="dxa"/>
            <w:tcBorders>
              <w:bottom w:val="double" w:sz="4" w:space="0" w:color="000000"/>
            </w:tcBorders>
          </w:tcPr>
          <w:p>
            <w:pPr/>
          </w:p>
        </w:tc>
        <w:tc>
          <w:tcPr>
            <w:tcW w:w="668" w:type="dxa"/>
            <w:tcBorders>
              <w:bottom w:val="double" w:sz="4" w:space="0" w:color="000000"/>
            </w:tcBorders>
          </w:tcPr>
          <w:p>
            <w:pPr/>
          </w:p>
        </w:tc>
        <w:tc>
          <w:tcPr>
            <w:tcW w:w="668" w:type="dxa"/>
            <w:tcBorders>
              <w:bottom w:val="double" w:sz="4" w:space="0" w:color="000000"/>
            </w:tcBorders>
          </w:tcPr>
          <w:p>
            <w:pPr/>
          </w:p>
        </w:tc>
        <w:tc>
          <w:tcPr>
            <w:tcW w:w="667" w:type="dxa"/>
            <w:tcBorders>
              <w:bottom w:val="double" w:sz="4" w:space="0" w:color="000000"/>
            </w:tcBorders>
          </w:tcPr>
          <w:p>
            <w:pPr/>
          </w:p>
        </w:tc>
        <w:tc>
          <w:tcPr>
            <w:tcW w:w="668" w:type="dxa"/>
            <w:tcBorders>
              <w:bottom w:val="double" w:sz="4" w:space="0" w:color="000000"/>
            </w:tcBorders>
          </w:tcPr>
          <w:p>
            <w:pPr/>
          </w:p>
        </w:tc>
        <w:tc>
          <w:tcPr>
            <w:tcW w:w="668" w:type="dxa"/>
            <w:tcBorders>
              <w:bottom w:val="double" w:sz="4" w:space="0" w:color="000000"/>
            </w:tcBorders>
          </w:tcPr>
          <w:p>
            <w:pPr/>
          </w:p>
        </w:tc>
        <w:tc>
          <w:tcPr>
            <w:tcW w:w="668" w:type="dxa"/>
            <w:tcBorders>
              <w:bottom w:val="double" w:sz="4" w:space="0" w:color="000000"/>
            </w:tcBorders>
          </w:tcPr>
          <w:p>
            <w:pPr/>
          </w:p>
        </w:tc>
        <w:tc>
          <w:tcPr>
            <w:tcW w:w="670" w:type="dxa"/>
            <w:tcBorders>
              <w:bottom w:val="double" w:sz="4" w:space="0" w:color="000000"/>
              <w:right w:val="double" w:sz="4" w:space="0" w:color="000000"/>
            </w:tcBorders>
          </w:tcPr>
          <w:p>
            <w:pPr/>
          </w:p>
        </w:tc>
      </w:tr>
      <w:tr>
        <w:trPr>
          <w:trHeight w:val="1072" w:hRule="exact"/>
        </w:trPr>
        <w:tc>
          <w:tcPr>
            <w:tcW w:w="1350" w:type="dxa"/>
            <w:tcBorders>
              <w:top w:val="double" w:sz="4" w:space="0" w:color="000000"/>
              <w:left w:val="double" w:sz="4" w:space="0" w:color="000000"/>
              <w:bottom w:val="double" w:sz="4" w:space="0" w:color="000000"/>
            </w:tcBorders>
          </w:tcPr>
          <w:p>
            <w:pPr>
              <w:pStyle w:val="TableParagraph"/>
              <w:spacing w:line="350" w:lineRule="auto" w:before="106"/>
              <w:ind w:left="115" w:right="124" w:firstLine="1"/>
              <w:jc w:val="center"/>
              <w:rPr>
                <w:b/>
                <w:sz w:val="20"/>
              </w:rPr>
            </w:pPr>
            <w:r>
              <w:rPr>
                <w:b/>
                <w:sz w:val="20"/>
              </w:rPr>
              <w:t>Total Mortality </w:t>
            </w:r>
            <w:r>
              <w:rPr>
                <w:b/>
                <w:color w:val="FF0000"/>
                <w:sz w:val="20"/>
              </w:rPr>
              <w:t>[Immobility]</w:t>
            </w:r>
          </w:p>
        </w:tc>
        <w:tc>
          <w:tcPr>
            <w:tcW w:w="1322" w:type="dxa"/>
            <w:gridSpan w:val="2"/>
            <w:tcBorders>
              <w:top w:val="double" w:sz="4" w:space="0" w:color="000000"/>
              <w:bottom w:val="double" w:sz="4" w:space="0" w:color="000000"/>
            </w:tcBorders>
          </w:tcPr>
          <w:p>
            <w:pPr/>
          </w:p>
        </w:tc>
        <w:tc>
          <w:tcPr>
            <w:tcW w:w="1337" w:type="dxa"/>
            <w:gridSpan w:val="2"/>
            <w:tcBorders>
              <w:top w:val="double" w:sz="4" w:space="0" w:color="000000"/>
              <w:bottom w:val="double" w:sz="4" w:space="0" w:color="000000"/>
            </w:tcBorders>
          </w:tcPr>
          <w:p>
            <w:pPr/>
          </w:p>
        </w:tc>
        <w:tc>
          <w:tcPr>
            <w:tcW w:w="1336" w:type="dxa"/>
            <w:gridSpan w:val="2"/>
            <w:tcBorders>
              <w:top w:val="double" w:sz="4" w:space="0" w:color="000000"/>
              <w:bottom w:val="double" w:sz="4" w:space="0" w:color="000000"/>
            </w:tcBorders>
          </w:tcPr>
          <w:p>
            <w:pPr/>
          </w:p>
        </w:tc>
        <w:tc>
          <w:tcPr>
            <w:tcW w:w="1336" w:type="dxa"/>
            <w:gridSpan w:val="2"/>
            <w:tcBorders>
              <w:top w:val="double" w:sz="4" w:space="0" w:color="000000"/>
              <w:bottom w:val="double" w:sz="4" w:space="0" w:color="000000"/>
            </w:tcBorders>
          </w:tcPr>
          <w:p>
            <w:pPr/>
          </w:p>
        </w:tc>
        <w:tc>
          <w:tcPr>
            <w:tcW w:w="1337" w:type="dxa"/>
            <w:gridSpan w:val="2"/>
            <w:tcBorders>
              <w:top w:val="double" w:sz="4" w:space="0" w:color="000000"/>
              <w:bottom w:val="double" w:sz="4" w:space="0" w:color="000000"/>
            </w:tcBorders>
          </w:tcPr>
          <w:p>
            <w:pPr/>
          </w:p>
        </w:tc>
        <w:tc>
          <w:tcPr>
            <w:tcW w:w="1338" w:type="dxa"/>
            <w:gridSpan w:val="2"/>
            <w:tcBorders>
              <w:top w:val="double" w:sz="4" w:space="0" w:color="000000"/>
              <w:bottom w:val="double" w:sz="4" w:space="0" w:color="000000"/>
              <w:right w:val="double" w:sz="4" w:space="0" w:color="000000"/>
            </w:tcBorders>
          </w:tcPr>
          <w:p>
            <w:pPr/>
          </w:p>
        </w:tc>
      </w:tr>
    </w:tbl>
    <w:p>
      <w:pPr>
        <w:pStyle w:val="Heading6"/>
        <w:spacing w:line="227" w:lineRule="exact"/>
        <w:rPr>
          <w:i/>
        </w:rPr>
      </w:pPr>
      <w:r>
        <w:rPr>
          <w:i/>
          <w:color w:val="FF0000"/>
        </w:rPr>
        <w:t>[</w:t>
      </w:r>
      <w:r>
        <w:rPr>
          <w:i/>
          <w:color w:val="FF0000"/>
          <w:position w:val="7"/>
          <w:sz w:val="13"/>
        </w:rPr>
        <w:t>a </w:t>
      </w:r>
      <w:r>
        <w:rPr>
          <w:i/>
          <w:color w:val="FF0000"/>
        </w:rPr>
        <w:t>Use superscript and footnote to indicate values that are statistically significantly different from control.]</w:t>
      </w:r>
    </w:p>
    <w:p>
      <w:pPr>
        <w:pStyle w:val="BodyText"/>
        <w:spacing w:before="1"/>
        <w:rPr>
          <w:i/>
          <w:sz w:val="22"/>
        </w:rPr>
      </w:pPr>
    </w:p>
    <w:p>
      <w:pPr>
        <w:tabs>
          <w:tab w:pos="1580" w:val="left" w:leader="none"/>
        </w:tabs>
        <w:spacing w:before="0"/>
        <w:ind w:left="140" w:right="0" w:firstLine="0"/>
        <w:jc w:val="left"/>
        <w:rPr>
          <w:sz w:val="22"/>
        </w:rPr>
      </w:pPr>
      <w:r>
        <w:rPr>
          <w:b/>
          <w:sz w:val="22"/>
        </w:rPr>
        <w:t>TABLE</w:t>
      </w:r>
      <w:r>
        <w:rPr>
          <w:b/>
          <w:spacing w:val="-1"/>
          <w:sz w:val="22"/>
        </w:rPr>
        <w:t> </w:t>
      </w:r>
      <w:r>
        <w:rPr>
          <w:b/>
          <w:i/>
          <w:color w:val="FF0000"/>
          <w:sz w:val="22"/>
        </w:rPr>
        <w:t>[#]</w:t>
      </w:r>
      <w:r>
        <w:rPr>
          <w:b/>
          <w:sz w:val="22"/>
        </w:rPr>
        <w:t>.</w:t>
        <w:tab/>
      </w:r>
      <w:r>
        <w:rPr>
          <w:sz w:val="22"/>
        </w:rPr>
        <w:t>Mean</w:t>
      </w:r>
      <w:r>
        <w:rPr>
          <w:spacing w:val="-5"/>
          <w:sz w:val="22"/>
        </w:rPr>
        <w:t> </w:t>
      </w:r>
      <w:r>
        <w:rPr>
          <w:sz w:val="22"/>
        </w:rPr>
        <w:t>percent</w:t>
      </w:r>
      <w:r>
        <w:rPr>
          <w:spacing w:val="-4"/>
          <w:sz w:val="22"/>
        </w:rPr>
        <w:t> </w:t>
      </w:r>
      <w:r>
        <w:rPr>
          <w:sz w:val="22"/>
        </w:rPr>
        <w:t>survival</w:t>
      </w:r>
      <w:r>
        <w:rPr>
          <w:spacing w:val="-5"/>
          <w:sz w:val="22"/>
        </w:rPr>
        <w:t> </w:t>
      </w:r>
      <w:r>
        <w:rPr>
          <w:sz w:val="22"/>
        </w:rPr>
        <w:t>in</w:t>
      </w:r>
      <w:r>
        <w:rPr>
          <w:spacing w:val="-5"/>
          <w:sz w:val="22"/>
        </w:rPr>
        <w:t> </w:t>
      </w:r>
      <w:r>
        <w:rPr>
          <w:i/>
          <w:color w:val="FF0000"/>
          <w:sz w:val="22"/>
        </w:rPr>
        <w:t>[test</w:t>
      </w:r>
      <w:r>
        <w:rPr>
          <w:i/>
          <w:color w:val="FF0000"/>
          <w:spacing w:val="-5"/>
          <w:sz w:val="22"/>
        </w:rPr>
        <w:t> </w:t>
      </w:r>
      <w:r>
        <w:rPr>
          <w:i/>
          <w:color w:val="FF0000"/>
          <w:sz w:val="22"/>
        </w:rPr>
        <w:t>organism]</w:t>
      </w:r>
      <w:r>
        <w:rPr>
          <w:i/>
          <w:color w:val="FF0000"/>
          <w:spacing w:val="-3"/>
          <w:sz w:val="22"/>
        </w:rPr>
        <w:t> </w:t>
      </w:r>
      <w:r>
        <w:rPr>
          <w:sz w:val="22"/>
        </w:rPr>
        <w:t>exposed</w:t>
      </w:r>
      <w:r>
        <w:rPr>
          <w:spacing w:val="-5"/>
          <w:sz w:val="22"/>
        </w:rPr>
        <w:t> </w:t>
      </w:r>
      <w:r>
        <w:rPr>
          <w:sz w:val="22"/>
        </w:rPr>
        <w:t>to</w:t>
      </w:r>
      <w:r>
        <w:rPr>
          <w:spacing w:val="-5"/>
          <w:sz w:val="22"/>
        </w:rPr>
        <w:t> </w:t>
      </w:r>
      <w:r>
        <w:rPr>
          <w:i/>
          <w:color w:val="FF0000"/>
          <w:sz w:val="22"/>
        </w:rPr>
        <w:t>[test</w:t>
      </w:r>
      <w:r>
        <w:rPr>
          <w:i/>
          <w:color w:val="FF0000"/>
          <w:spacing w:val="-5"/>
          <w:sz w:val="22"/>
        </w:rPr>
        <w:t> </w:t>
      </w:r>
      <w:r>
        <w:rPr>
          <w:i/>
          <w:color w:val="FF0000"/>
          <w:sz w:val="22"/>
        </w:rPr>
        <w:t>substance]</w:t>
      </w:r>
      <w:r>
        <w:rPr>
          <w:i/>
          <w:color w:val="FF0000"/>
          <w:spacing w:val="-3"/>
          <w:sz w:val="22"/>
        </w:rPr>
        <w:t> </w:t>
      </w:r>
      <w:r>
        <w:rPr>
          <w:sz w:val="22"/>
        </w:rPr>
        <w:t>for</w:t>
      </w:r>
      <w:r>
        <w:rPr>
          <w:spacing w:val="-5"/>
          <w:sz w:val="22"/>
        </w:rPr>
        <w:t> </w:t>
      </w:r>
      <w:r>
        <w:rPr>
          <w:i/>
          <w:color w:val="FF0000"/>
          <w:sz w:val="22"/>
        </w:rPr>
        <w:t>[test</w:t>
      </w:r>
      <w:r>
        <w:rPr>
          <w:i/>
          <w:color w:val="FF0000"/>
          <w:spacing w:val="-5"/>
          <w:sz w:val="22"/>
        </w:rPr>
        <w:t> </w:t>
      </w:r>
      <w:r>
        <w:rPr>
          <w:i/>
          <w:color w:val="FF0000"/>
          <w:sz w:val="22"/>
        </w:rPr>
        <w:t>duration]</w:t>
      </w:r>
      <w:r>
        <w:rPr>
          <w:i/>
          <w:color w:val="FF0000"/>
          <w:spacing w:val="-2"/>
          <w:sz w:val="22"/>
        </w:rPr>
        <w:t> </w:t>
      </w:r>
      <w:r>
        <w:rPr>
          <w:sz w:val="22"/>
        </w:rPr>
        <w:t>under</w:t>
      </w:r>
    </w:p>
    <w:p>
      <w:pPr>
        <w:spacing w:before="0"/>
        <w:ind w:left="140" w:right="0" w:firstLine="0"/>
        <w:jc w:val="left"/>
        <w:rPr>
          <w:sz w:val="22"/>
        </w:rPr>
      </w:pPr>
      <w:r>
        <w:rPr>
          <w:i/>
          <w:color w:val="FF0000"/>
          <w:sz w:val="22"/>
        </w:rPr>
        <w:t>[static-renewal/flow-through] </w:t>
      </w:r>
      <w:r>
        <w:rPr>
          <w:sz w:val="22"/>
        </w:rPr>
        <w:t>conditions.</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4680"/>
        <w:gridCol w:w="4680"/>
      </w:tblGrid>
      <w:tr>
        <w:trPr>
          <w:trHeight w:val="407" w:hRule="exact"/>
        </w:trPr>
        <w:tc>
          <w:tcPr>
            <w:tcW w:w="4680" w:type="dxa"/>
            <w:tcBorders>
              <w:right w:val="single" w:sz="4" w:space="0" w:color="000000"/>
            </w:tcBorders>
          </w:tcPr>
          <w:p>
            <w:pPr>
              <w:pStyle w:val="TableParagraph"/>
              <w:spacing w:before="102"/>
              <w:ind w:left="1226" w:right="1231"/>
              <w:jc w:val="center"/>
              <w:rPr>
                <w:b/>
                <w:sz w:val="20"/>
              </w:rPr>
            </w:pPr>
            <w:r>
              <w:rPr>
                <w:b/>
                <w:sz w:val="20"/>
              </w:rPr>
              <w:t>Treatment (CFU/L)</w:t>
            </w:r>
          </w:p>
        </w:tc>
        <w:tc>
          <w:tcPr>
            <w:tcW w:w="4680" w:type="dxa"/>
            <w:tcBorders>
              <w:left w:val="single" w:sz="4" w:space="0" w:color="000000"/>
            </w:tcBorders>
          </w:tcPr>
          <w:p>
            <w:pPr>
              <w:pStyle w:val="TableParagraph"/>
              <w:spacing w:before="102"/>
              <w:ind w:left="1160"/>
              <w:rPr>
                <w:b/>
                <w:sz w:val="20"/>
              </w:rPr>
            </w:pPr>
            <w:r>
              <w:rPr>
                <w:b/>
                <w:sz w:val="20"/>
              </w:rPr>
              <w:t>Mean Percent Survival (%)</w:t>
            </w:r>
          </w:p>
        </w:tc>
      </w:tr>
      <w:tr>
        <w:trPr>
          <w:trHeight w:val="398" w:hRule="exact"/>
        </w:trPr>
        <w:tc>
          <w:tcPr>
            <w:tcW w:w="4680" w:type="dxa"/>
            <w:tcBorders>
              <w:bottom w:val="single" w:sz="4" w:space="0" w:color="000000"/>
              <w:right w:val="single" w:sz="4" w:space="0" w:color="000000"/>
            </w:tcBorders>
          </w:tcPr>
          <w:p>
            <w:pPr>
              <w:pStyle w:val="TableParagraph"/>
              <w:spacing w:before="100"/>
              <w:ind w:left="1226" w:right="1234"/>
              <w:jc w:val="center"/>
              <w:rPr>
                <w:i/>
                <w:sz w:val="20"/>
              </w:rPr>
            </w:pPr>
            <w:r>
              <w:rPr>
                <w:i/>
                <w:color w:val="FF0000"/>
                <w:sz w:val="20"/>
              </w:rPr>
              <w:t>Test concentration 1</w:t>
            </w:r>
          </w:p>
        </w:tc>
        <w:tc>
          <w:tcPr>
            <w:tcW w:w="4680" w:type="dxa"/>
            <w:tcBorders>
              <w:left w:val="single" w:sz="4" w:space="0" w:color="000000"/>
              <w:bottom w:val="single" w:sz="4" w:space="0" w:color="000000"/>
            </w:tcBorders>
          </w:tcPr>
          <w:p>
            <w:pPr/>
          </w:p>
        </w:tc>
      </w:tr>
      <w:tr>
        <w:trPr>
          <w:trHeight w:val="386" w:hRule="exact"/>
        </w:trPr>
        <w:tc>
          <w:tcPr>
            <w:tcW w:w="4680" w:type="dxa"/>
            <w:tcBorders>
              <w:top w:val="single" w:sz="4" w:space="0" w:color="000000"/>
              <w:bottom w:val="single" w:sz="4" w:space="0" w:color="000000"/>
              <w:right w:val="single" w:sz="4" w:space="0" w:color="000000"/>
            </w:tcBorders>
          </w:tcPr>
          <w:p>
            <w:pPr>
              <w:pStyle w:val="TableParagraph"/>
              <w:spacing w:before="99"/>
              <w:ind w:left="1226" w:right="1234"/>
              <w:jc w:val="center"/>
              <w:rPr>
                <w:i/>
                <w:sz w:val="20"/>
              </w:rPr>
            </w:pPr>
            <w:r>
              <w:rPr>
                <w:i/>
                <w:color w:val="FF0000"/>
                <w:sz w:val="20"/>
              </w:rPr>
              <w:t>Test concentration 2</w:t>
            </w:r>
          </w:p>
        </w:tc>
        <w:tc>
          <w:tcPr>
            <w:tcW w:w="4680" w:type="dxa"/>
            <w:tcBorders>
              <w:top w:val="single" w:sz="4" w:space="0" w:color="000000"/>
              <w:left w:val="single" w:sz="4" w:space="0" w:color="000000"/>
              <w:bottom w:val="single" w:sz="4" w:space="0" w:color="000000"/>
            </w:tcBorders>
          </w:tcPr>
          <w:p>
            <w:pPr/>
          </w:p>
        </w:tc>
      </w:tr>
      <w:tr>
        <w:trPr>
          <w:trHeight w:val="388" w:hRule="exact"/>
        </w:trPr>
        <w:tc>
          <w:tcPr>
            <w:tcW w:w="4680" w:type="dxa"/>
            <w:tcBorders>
              <w:top w:val="single" w:sz="4" w:space="0" w:color="000000"/>
              <w:bottom w:val="single" w:sz="4" w:space="0" w:color="000000"/>
              <w:right w:val="single" w:sz="4" w:space="0" w:color="000000"/>
            </w:tcBorders>
          </w:tcPr>
          <w:p>
            <w:pPr>
              <w:pStyle w:val="TableParagraph"/>
              <w:spacing w:before="99"/>
              <w:ind w:left="1226" w:right="1234"/>
              <w:jc w:val="center"/>
              <w:rPr>
                <w:i/>
                <w:sz w:val="20"/>
              </w:rPr>
            </w:pPr>
            <w:r>
              <w:rPr>
                <w:i/>
                <w:color w:val="FF0000"/>
                <w:sz w:val="20"/>
              </w:rPr>
              <w:t>Test concentration 3</w:t>
            </w:r>
          </w:p>
        </w:tc>
        <w:tc>
          <w:tcPr>
            <w:tcW w:w="4680" w:type="dxa"/>
            <w:tcBorders>
              <w:top w:val="single" w:sz="4" w:space="0" w:color="000000"/>
              <w:left w:val="single" w:sz="4" w:space="0" w:color="000000"/>
              <w:bottom w:val="single" w:sz="4" w:space="0" w:color="000000"/>
            </w:tcBorders>
          </w:tcPr>
          <w:p>
            <w:pPr/>
          </w:p>
        </w:tc>
      </w:tr>
      <w:tr>
        <w:trPr>
          <w:trHeight w:val="386" w:hRule="exact"/>
        </w:trPr>
        <w:tc>
          <w:tcPr>
            <w:tcW w:w="4680" w:type="dxa"/>
            <w:tcBorders>
              <w:top w:val="single" w:sz="4" w:space="0" w:color="000000"/>
              <w:bottom w:val="single" w:sz="4" w:space="0" w:color="000000"/>
              <w:right w:val="single" w:sz="4" w:space="0" w:color="000000"/>
            </w:tcBorders>
          </w:tcPr>
          <w:p>
            <w:pPr>
              <w:pStyle w:val="TableParagraph"/>
              <w:spacing w:before="99"/>
              <w:ind w:left="1226" w:right="1234"/>
              <w:jc w:val="center"/>
              <w:rPr>
                <w:i/>
                <w:sz w:val="20"/>
              </w:rPr>
            </w:pPr>
            <w:r>
              <w:rPr>
                <w:i/>
                <w:color w:val="FF0000"/>
                <w:sz w:val="20"/>
              </w:rPr>
              <w:t>Test concentration 4</w:t>
            </w:r>
          </w:p>
        </w:tc>
        <w:tc>
          <w:tcPr>
            <w:tcW w:w="4680" w:type="dxa"/>
            <w:tcBorders>
              <w:top w:val="single" w:sz="4" w:space="0" w:color="000000"/>
              <w:left w:val="single" w:sz="4" w:space="0" w:color="000000"/>
              <w:bottom w:val="single" w:sz="4" w:space="0" w:color="000000"/>
            </w:tcBorders>
          </w:tcPr>
          <w:p>
            <w:pPr/>
          </w:p>
        </w:tc>
      </w:tr>
      <w:tr>
        <w:trPr>
          <w:trHeight w:val="388" w:hRule="exact"/>
        </w:trPr>
        <w:tc>
          <w:tcPr>
            <w:tcW w:w="4680" w:type="dxa"/>
            <w:tcBorders>
              <w:top w:val="single" w:sz="4" w:space="0" w:color="000000"/>
              <w:bottom w:val="single" w:sz="4" w:space="0" w:color="000000"/>
              <w:right w:val="single" w:sz="4" w:space="0" w:color="000000"/>
            </w:tcBorders>
          </w:tcPr>
          <w:p>
            <w:pPr>
              <w:pStyle w:val="TableParagraph"/>
              <w:spacing w:before="99"/>
              <w:ind w:left="1226" w:right="1234"/>
              <w:jc w:val="center"/>
              <w:rPr>
                <w:i/>
                <w:sz w:val="20"/>
              </w:rPr>
            </w:pPr>
            <w:r>
              <w:rPr>
                <w:i/>
                <w:color w:val="FF0000"/>
                <w:sz w:val="20"/>
              </w:rPr>
              <w:t>Test concentration n</w:t>
            </w:r>
          </w:p>
        </w:tc>
        <w:tc>
          <w:tcPr>
            <w:tcW w:w="4680" w:type="dxa"/>
            <w:tcBorders>
              <w:top w:val="single" w:sz="4" w:space="0" w:color="000000"/>
              <w:left w:val="single" w:sz="4" w:space="0" w:color="000000"/>
              <w:bottom w:val="single" w:sz="4" w:space="0" w:color="000000"/>
            </w:tcBorders>
          </w:tcPr>
          <w:p>
            <w:pPr/>
          </w:p>
        </w:tc>
      </w:tr>
      <w:tr>
        <w:trPr>
          <w:trHeight w:val="396" w:hRule="exact"/>
        </w:trPr>
        <w:tc>
          <w:tcPr>
            <w:tcW w:w="4680" w:type="dxa"/>
            <w:tcBorders>
              <w:top w:val="single" w:sz="4" w:space="0" w:color="000000"/>
              <w:right w:val="single" w:sz="4" w:space="0" w:color="000000"/>
            </w:tcBorders>
          </w:tcPr>
          <w:p>
            <w:pPr>
              <w:pStyle w:val="TableParagraph"/>
              <w:spacing w:before="99"/>
              <w:ind w:left="1226" w:right="1232"/>
              <w:jc w:val="center"/>
              <w:rPr>
                <w:sz w:val="20"/>
              </w:rPr>
            </w:pPr>
            <w:r>
              <w:rPr>
                <w:sz w:val="20"/>
              </w:rPr>
              <w:t>Negative control</w:t>
            </w:r>
          </w:p>
        </w:tc>
        <w:tc>
          <w:tcPr>
            <w:tcW w:w="4680" w:type="dxa"/>
            <w:tcBorders>
              <w:top w:val="single" w:sz="4" w:space="0" w:color="000000"/>
              <w:left w:val="single" w:sz="4" w:space="0" w:color="000000"/>
            </w:tcBorders>
          </w:tcPr>
          <w:p>
            <w:pPr/>
          </w:p>
        </w:tc>
      </w:tr>
      <w:tr>
        <w:trPr>
          <w:trHeight w:val="739" w:hRule="exact"/>
        </w:trPr>
        <w:tc>
          <w:tcPr>
            <w:tcW w:w="4680" w:type="dxa"/>
            <w:tcBorders>
              <w:right w:val="single" w:sz="4" w:space="0" w:color="000000"/>
            </w:tcBorders>
          </w:tcPr>
          <w:p>
            <w:pPr>
              <w:pStyle w:val="TableParagraph"/>
              <w:spacing w:before="100"/>
              <w:ind w:left="1226" w:right="1232"/>
              <w:jc w:val="center"/>
              <w:rPr>
                <w:sz w:val="13"/>
              </w:rPr>
            </w:pPr>
            <w:r>
              <w:rPr>
                <w:sz w:val="20"/>
              </w:rPr>
              <w:t>LC</w:t>
            </w:r>
            <w:r>
              <w:rPr>
                <w:position w:val="-1"/>
                <w:sz w:val="13"/>
              </w:rPr>
              <w:t>50</w:t>
            </w:r>
          </w:p>
          <w:p>
            <w:pPr>
              <w:pStyle w:val="TableParagraph"/>
              <w:spacing w:before="96"/>
              <w:ind w:left="1225" w:right="1236"/>
              <w:jc w:val="center"/>
              <w:rPr>
                <w:i/>
                <w:sz w:val="20"/>
              </w:rPr>
            </w:pPr>
            <w:r>
              <w:rPr>
                <w:i/>
                <w:color w:val="FF0000"/>
                <w:sz w:val="20"/>
              </w:rPr>
              <w:t>[insert [&gt;] if greater than]</w:t>
            </w:r>
          </w:p>
        </w:tc>
        <w:tc>
          <w:tcPr>
            <w:tcW w:w="4680" w:type="dxa"/>
            <w:tcBorders>
              <w:left w:val="single" w:sz="4" w:space="0" w:color="000000"/>
            </w:tcBorders>
          </w:tcPr>
          <w:p>
            <w:pPr/>
          </w:p>
        </w:tc>
      </w:tr>
      <w:tr>
        <w:trPr>
          <w:trHeight w:val="740" w:hRule="exact"/>
        </w:trPr>
        <w:tc>
          <w:tcPr>
            <w:tcW w:w="4680" w:type="dxa"/>
            <w:tcBorders>
              <w:right w:val="single" w:sz="4" w:space="0" w:color="000000"/>
            </w:tcBorders>
          </w:tcPr>
          <w:p>
            <w:pPr>
              <w:pStyle w:val="TableParagraph"/>
              <w:spacing w:before="100"/>
              <w:ind w:left="1226" w:right="1232"/>
              <w:jc w:val="center"/>
              <w:rPr>
                <w:sz w:val="20"/>
              </w:rPr>
            </w:pPr>
            <w:r>
              <w:rPr>
                <w:sz w:val="20"/>
              </w:rPr>
              <w:t>NOEC</w:t>
            </w:r>
          </w:p>
          <w:p>
            <w:pPr>
              <w:pStyle w:val="TableParagraph"/>
              <w:spacing w:before="101"/>
              <w:ind w:left="1226" w:right="1236"/>
              <w:jc w:val="center"/>
              <w:rPr>
                <w:i/>
                <w:sz w:val="20"/>
              </w:rPr>
            </w:pPr>
            <w:r>
              <w:rPr>
                <w:i/>
                <w:color w:val="FF0000"/>
                <w:sz w:val="20"/>
              </w:rPr>
              <w:t>[insert [&gt;] if greater than]</w:t>
            </w:r>
          </w:p>
        </w:tc>
        <w:tc>
          <w:tcPr>
            <w:tcW w:w="4680" w:type="dxa"/>
            <w:tcBorders>
              <w:left w:val="single" w:sz="4" w:space="0" w:color="000000"/>
            </w:tcBorders>
          </w:tcPr>
          <w:p>
            <w:pPr/>
          </w:p>
        </w:tc>
      </w:tr>
    </w:tbl>
    <w:p>
      <w:pPr>
        <w:pStyle w:val="Heading6"/>
        <w:spacing w:line="240" w:lineRule="auto"/>
        <w:ind w:right="773"/>
      </w:pPr>
      <w:r>
        <w:rPr>
          <w:i/>
          <w:color w:val="FF0000"/>
        </w:rPr>
        <w:t>[Table suitable for maximum hazard dose testing. Modify as appropriate to accommodate differences in experimental </w:t>
      </w:r>
      <w:r>
        <w:rPr>
          <w:color w:val="FF0000"/>
        </w:rPr>
        <w:t>design.]</w:t>
      </w:r>
    </w:p>
    <w:p>
      <w:pPr>
        <w:spacing w:line="230" w:lineRule="exact" w:before="0"/>
        <w:ind w:left="140" w:right="0" w:firstLine="0"/>
        <w:jc w:val="left"/>
        <w:rPr>
          <w:i/>
          <w:sz w:val="20"/>
        </w:rPr>
      </w:pPr>
      <w:r>
        <w:rPr>
          <w:i/>
          <w:color w:val="FF0000"/>
          <w:sz w:val="20"/>
        </w:rPr>
        <w:t>[</w:t>
      </w:r>
      <w:r>
        <w:rPr>
          <w:i/>
          <w:color w:val="FF0000"/>
          <w:position w:val="7"/>
          <w:sz w:val="13"/>
        </w:rPr>
        <w:t>a </w:t>
      </w:r>
      <w:r>
        <w:rPr>
          <w:i/>
          <w:color w:val="FF0000"/>
          <w:sz w:val="20"/>
        </w:rPr>
        <w:t>Use superscript and footnote to indicate values that are statistically significantly different from control.]</w:t>
      </w:r>
    </w:p>
    <w:p>
      <w:pPr>
        <w:pStyle w:val="BodyText"/>
        <w:spacing w:before="1"/>
        <w:rPr>
          <w:i/>
          <w:sz w:val="22"/>
        </w:rPr>
      </w:pPr>
    </w:p>
    <w:p>
      <w:pPr>
        <w:pStyle w:val="ListParagraph"/>
        <w:numPr>
          <w:ilvl w:val="0"/>
          <w:numId w:val="3"/>
        </w:numPr>
        <w:tabs>
          <w:tab w:pos="859" w:val="left" w:leader="none"/>
          <w:tab w:pos="861" w:val="left" w:leader="none"/>
          <w:tab w:pos="5179" w:val="left" w:leader="none"/>
        </w:tabs>
        <w:spacing w:line="240" w:lineRule="auto" w:before="0" w:after="0"/>
        <w:ind w:left="859" w:right="204" w:hanging="719"/>
        <w:jc w:val="left"/>
        <w:rPr>
          <w:i/>
          <w:sz w:val="22"/>
          <w:u w:val="none"/>
        </w:rPr>
      </w:pPr>
      <w:r>
        <w:rPr>
          <w:b/>
          <w:sz w:val="22"/>
          <w:u w:val="thick"/>
        </w:rPr>
        <w:t>SUBLETHAL</w:t>
      </w:r>
      <w:r>
        <w:rPr>
          <w:b/>
          <w:spacing w:val="-4"/>
          <w:sz w:val="22"/>
          <w:u w:val="thick"/>
        </w:rPr>
        <w:t> </w:t>
      </w:r>
      <w:r>
        <w:rPr>
          <w:b/>
          <w:sz w:val="22"/>
          <w:u w:val="thick"/>
        </w:rPr>
        <w:t>TOXICITY</w:t>
      </w:r>
      <w:r>
        <w:rPr>
          <w:b/>
          <w:spacing w:val="-5"/>
          <w:sz w:val="22"/>
          <w:u w:val="thick"/>
        </w:rPr>
        <w:t> </w:t>
      </w:r>
      <w:r>
        <w:rPr>
          <w:b/>
          <w:sz w:val="22"/>
          <w:u w:val="thick"/>
        </w:rPr>
        <w:t>ENDPOINTS</w:t>
      </w:r>
      <w:r>
        <w:rPr>
          <w:b/>
          <w:sz w:val="22"/>
          <w:u w:val="none"/>
        </w:rPr>
        <w:t>:</w:t>
        <w:tab/>
      </w:r>
      <w:r>
        <w:rPr>
          <w:i/>
          <w:color w:val="FF0000"/>
          <w:sz w:val="22"/>
          <w:u w:val="none"/>
        </w:rPr>
        <w:t>[Include if study design used subchronic</w:t>
      </w:r>
      <w:r>
        <w:rPr>
          <w:i/>
          <w:color w:val="FF0000"/>
          <w:spacing w:val="-28"/>
          <w:sz w:val="22"/>
          <w:u w:val="none"/>
        </w:rPr>
        <w:t> </w:t>
      </w:r>
      <w:r>
        <w:rPr>
          <w:i/>
          <w:color w:val="FF0000"/>
          <w:sz w:val="22"/>
          <w:u w:val="none"/>
        </w:rPr>
        <w:t>assessment</w:t>
      </w:r>
      <w:r>
        <w:rPr>
          <w:i/>
          <w:color w:val="FF0000"/>
          <w:spacing w:val="-4"/>
          <w:sz w:val="22"/>
          <w:u w:val="none"/>
        </w:rPr>
        <w:t> </w:t>
      </w:r>
      <w:r>
        <w:rPr>
          <w:i/>
          <w:color w:val="FF0000"/>
          <w:sz w:val="22"/>
          <w:u w:val="none"/>
        </w:rPr>
        <w:t>test</w:t>
      </w:r>
      <w:r>
        <w:rPr>
          <w:i/>
          <w:color w:val="FF0000"/>
          <w:spacing w:val="-1"/>
          <w:w w:val="99"/>
          <w:sz w:val="22"/>
          <w:u w:val="none"/>
        </w:rPr>
        <w:t> </w:t>
      </w:r>
      <w:r>
        <w:rPr>
          <w:i/>
          <w:color w:val="FF0000"/>
          <w:sz w:val="22"/>
          <w:u w:val="none"/>
        </w:rPr>
        <w:t>end-points and/or if any sublethal effects are observed (e.g. abnormal observations of offspring produced by female and/or effects on fecundity). Briefly summarize behavioral abnormalities or other signs of toxicity. Indicate effects that were related to the test-material. Compare the sublethal observations with control treatment and/or the reference chemical. Data may be summarized in a table such as those presented below. Modify tables to accommodate differences in experimental design. For acute oral and dietary, provide information about palatability of the treated diet, rate of consumption of diet in treated and untreated</w:t>
      </w:r>
      <w:r>
        <w:rPr>
          <w:i/>
          <w:color w:val="FF0000"/>
          <w:spacing w:val="-15"/>
          <w:sz w:val="22"/>
          <w:u w:val="none"/>
        </w:rPr>
        <w:t> </w:t>
      </w:r>
      <w:r>
        <w:rPr>
          <w:i/>
          <w:color w:val="FF0000"/>
          <w:sz w:val="22"/>
          <w:u w:val="none"/>
        </w:rPr>
        <w:t>groups.]</w:t>
      </w:r>
    </w:p>
    <w:p>
      <w:pPr>
        <w:spacing w:after="0" w:line="240" w:lineRule="auto"/>
        <w:jc w:val="left"/>
        <w:rPr>
          <w:sz w:val="22"/>
        </w:rPr>
        <w:sectPr>
          <w:pgSz w:w="12240" w:h="15840"/>
          <w:pgMar w:header="729" w:footer="1084" w:top="1940" w:bottom="1280" w:left="940" w:right="940"/>
        </w:sectPr>
      </w:pPr>
    </w:p>
    <w:p>
      <w:pPr>
        <w:pStyle w:val="BodyText"/>
        <w:spacing w:before="10"/>
        <w:rPr>
          <w:i/>
          <w:sz w:val="29"/>
        </w:rPr>
      </w:pPr>
    </w:p>
    <w:p>
      <w:pPr>
        <w:tabs>
          <w:tab w:pos="1580" w:val="left" w:leader="none"/>
        </w:tabs>
        <w:spacing w:before="90"/>
        <w:ind w:left="140" w:right="155" w:hanging="1"/>
        <w:jc w:val="left"/>
        <w:rPr>
          <w:sz w:val="22"/>
        </w:rPr>
      </w:pPr>
      <w:r>
        <w:rPr>
          <w:b/>
          <w:sz w:val="22"/>
        </w:rPr>
        <w:t>TABLE</w:t>
      </w:r>
      <w:r>
        <w:rPr>
          <w:b/>
          <w:spacing w:val="-1"/>
          <w:sz w:val="22"/>
        </w:rPr>
        <w:t> </w:t>
      </w:r>
      <w:r>
        <w:rPr>
          <w:b/>
          <w:i/>
          <w:color w:val="FF0000"/>
          <w:sz w:val="22"/>
        </w:rPr>
        <w:t>[#]</w:t>
      </w:r>
      <w:r>
        <w:rPr>
          <w:b/>
          <w:sz w:val="22"/>
        </w:rPr>
        <w:t>.</w:t>
        <w:tab/>
      </w:r>
      <w:r>
        <w:rPr>
          <w:sz w:val="22"/>
        </w:rPr>
        <w:t>Mean</w:t>
      </w:r>
      <w:r>
        <w:rPr>
          <w:spacing w:val="-4"/>
          <w:sz w:val="22"/>
        </w:rPr>
        <w:t> </w:t>
      </w:r>
      <w:r>
        <w:rPr>
          <w:sz w:val="22"/>
        </w:rPr>
        <w:t>cumulative</w:t>
      </w:r>
      <w:r>
        <w:rPr>
          <w:spacing w:val="-5"/>
          <w:sz w:val="22"/>
        </w:rPr>
        <w:t> </w:t>
      </w:r>
      <w:r>
        <w:rPr>
          <w:sz w:val="22"/>
        </w:rPr>
        <w:t>number</w:t>
      </w:r>
      <w:r>
        <w:rPr>
          <w:spacing w:val="-4"/>
          <w:sz w:val="22"/>
        </w:rPr>
        <w:t> </w:t>
      </w:r>
      <w:r>
        <w:rPr>
          <w:sz w:val="22"/>
        </w:rPr>
        <w:t>of</w:t>
      </w:r>
      <w:r>
        <w:rPr>
          <w:spacing w:val="-4"/>
          <w:sz w:val="22"/>
        </w:rPr>
        <w:t> </w:t>
      </w:r>
      <w:r>
        <w:rPr>
          <w:sz w:val="22"/>
        </w:rPr>
        <w:t>offspring</w:t>
      </w:r>
      <w:r>
        <w:rPr>
          <w:spacing w:val="-5"/>
          <w:sz w:val="22"/>
        </w:rPr>
        <w:t> </w:t>
      </w:r>
      <w:r>
        <w:rPr>
          <w:sz w:val="22"/>
        </w:rPr>
        <w:t>produced</w:t>
      </w:r>
      <w:r>
        <w:rPr>
          <w:spacing w:val="-4"/>
          <w:sz w:val="22"/>
        </w:rPr>
        <w:t> </w:t>
      </w:r>
      <w:r>
        <w:rPr>
          <w:sz w:val="22"/>
        </w:rPr>
        <w:t>per</w:t>
      </w:r>
      <w:r>
        <w:rPr>
          <w:spacing w:val="-4"/>
          <w:sz w:val="22"/>
        </w:rPr>
        <w:t> </w:t>
      </w:r>
      <w:r>
        <w:rPr>
          <w:sz w:val="22"/>
        </w:rPr>
        <w:t>female</w:t>
      </w:r>
      <w:r>
        <w:rPr>
          <w:spacing w:val="-4"/>
          <w:sz w:val="22"/>
        </w:rPr>
        <w:t> </w:t>
      </w:r>
      <w:r>
        <w:rPr>
          <w:i/>
          <w:color w:val="FF0000"/>
          <w:sz w:val="22"/>
        </w:rPr>
        <w:t>[test</w:t>
      </w:r>
      <w:r>
        <w:rPr>
          <w:i/>
          <w:color w:val="FF0000"/>
          <w:spacing w:val="-4"/>
          <w:sz w:val="22"/>
        </w:rPr>
        <w:t> </w:t>
      </w:r>
      <w:r>
        <w:rPr>
          <w:i/>
          <w:color w:val="FF0000"/>
          <w:sz w:val="22"/>
        </w:rPr>
        <w:t>organism]</w:t>
      </w:r>
      <w:r>
        <w:rPr>
          <w:i/>
          <w:color w:val="FF0000"/>
          <w:spacing w:val="-1"/>
          <w:sz w:val="22"/>
        </w:rPr>
        <w:t> </w:t>
      </w:r>
      <w:r>
        <w:rPr>
          <w:i/>
          <w:sz w:val="22"/>
        </w:rPr>
        <w:t>during</w:t>
      </w:r>
      <w:r>
        <w:rPr>
          <w:i/>
          <w:spacing w:val="-4"/>
          <w:sz w:val="22"/>
        </w:rPr>
        <w:t> </w:t>
      </w:r>
      <w:r>
        <w:rPr>
          <w:i/>
          <w:color w:val="FF0000"/>
          <w:sz w:val="22"/>
        </w:rPr>
        <w:t>[test</w:t>
      </w:r>
      <w:r>
        <w:rPr>
          <w:i/>
          <w:color w:val="FF0000"/>
          <w:spacing w:val="-4"/>
          <w:sz w:val="22"/>
        </w:rPr>
        <w:t> </w:t>
      </w:r>
      <w:r>
        <w:rPr>
          <w:i/>
          <w:color w:val="FF0000"/>
          <w:sz w:val="22"/>
        </w:rPr>
        <w:t>duration]</w:t>
      </w:r>
      <w:r>
        <w:rPr>
          <w:i/>
          <w:color w:val="FF0000"/>
          <w:w w:val="99"/>
          <w:sz w:val="22"/>
        </w:rPr>
        <w:t> </w:t>
      </w:r>
      <w:r>
        <w:rPr>
          <w:i/>
          <w:color w:val="FF0000"/>
          <w:sz w:val="22"/>
        </w:rPr>
        <w:t>[acute/chronic]</w:t>
      </w:r>
      <w:r>
        <w:rPr>
          <w:i/>
          <w:color w:val="FF0000"/>
          <w:spacing w:val="-4"/>
          <w:sz w:val="22"/>
        </w:rPr>
        <w:t> </w:t>
      </w:r>
      <w:r>
        <w:rPr>
          <w:sz w:val="22"/>
        </w:rPr>
        <w:t>exposure</w:t>
      </w:r>
      <w:r>
        <w:rPr>
          <w:spacing w:val="-9"/>
          <w:sz w:val="22"/>
        </w:rPr>
        <w:t> </w:t>
      </w:r>
      <w:r>
        <w:rPr>
          <w:sz w:val="22"/>
        </w:rPr>
        <w:t>to</w:t>
      </w:r>
      <w:r>
        <w:rPr>
          <w:spacing w:val="-8"/>
          <w:sz w:val="22"/>
        </w:rPr>
        <w:t> </w:t>
      </w:r>
      <w:r>
        <w:rPr>
          <w:i/>
          <w:color w:val="FF0000"/>
          <w:sz w:val="22"/>
        </w:rPr>
        <w:t>[test</w:t>
      </w:r>
      <w:r>
        <w:rPr>
          <w:i/>
          <w:color w:val="FF0000"/>
          <w:spacing w:val="-7"/>
          <w:sz w:val="22"/>
        </w:rPr>
        <w:t> </w:t>
      </w:r>
      <w:r>
        <w:rPr>
          <w:i/>
          <w:color w:val="FF0000"/>
          <w:sz w:val="22"/>
        </w:rPr>
        <w:t>substance]</w:t>
      </w:r>
      <w:r>
        <w:rPr>
          <w:i/>
          <w:color w:val="FF0000"/>
          <w:spacing w:val="-5"/>
          <w:sz w:val="22"/>
        </w:rPr>
        <w:t> </w:t>
      </w:r>
      <w:r>
        <w:rPr>
          <w:sz w:val="22"/>
        </w:rPr>
        <w:t>under</w:t>
      </w:r>
      <w:r>
        <w:rPr>
          <w:spacing w:val="-8"/>
          <w:sz w:val="22"/>
        </w:rPr>
        <w:t> </w:t>
      </w:r>
      <w:r>
        <w:rPr>
          <w:i/>
          <w:color w:val="FF0000"/>
          <w:sz w:val="22"/>
        </w:rPr>
        <w:t>[static-renewal/flow-through]</w:t>
      </w:r>
      <w:r>
        <w:rPr>
          <w:i/>
          <w:color w:val="FF0000"/>
          <w:spacing w:val="-6"/>
          <w:sz w:val="22"/>
        </w:rPr>
        <w:t> </w:t>
      </w:r>
      <w:r>
        <w:rPr>
          <w:sz w:val="22"/>
        </w:rPr>
        <w:t>conditions.</w:t>
      </w:r>
    </w:p>
    <w:tbl>
      <w:tblPr>
        <w:tblW w:w="0" w:type="auto"/>
        <w:jc w:val="left"/>
        <w:tblInd w:w="107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1170"/>
        <w:gridCol w:w="1170"/>
        <w:gridCol w:w="1170"/>
        <w:gridCol w:w="1170"/>
        <w:gridCol w:w="1170"/>
        <w:gridCol w:w="1170"/>
      </w:tblGrid>
      <w:tr>
        <w:trPr>
          <w:trHeight w:val="397" w:hRule="exact"/>
        </w:trPr>
        <w:tc>
          <w:tcPr>
            <w:tcW w:w="1170" w:type="dxa"/>
            <w:vMerge w:val="restart"/>
            <w:tcBorders>
              <w:right w:val="single" w:sz="4" w:space="0" w:color="000000"/>
            </w:tcBorders>
          </w:tcPr>
          <w:p>
            <w:pPr>
              <w:pStyle w:val="TableParagraph"/>
              <w:rPr>
                <w:sz w:val="22"/>
              </w:rPr>
            </w:pPr>
          </w:p>
          <w:p>
            <w:pPr>
              <w:pStyle w:val="TableParagraph"/>
              <w:spacing w:before="8"/>
              <w:rPr>
                <w:sz w:val="30"/>
              </w:rPr>
            </w:pPr>
          </w:p>
          <w:p>
            <w:pPr>
              <w:pStyle w:val="TableParagraph"/>
              <w:ind w:left="377" w:right="388"/>
              <w:jc w:val="center"/>
              <w:rPr>
                <w:b/>
                <w:sz w:val="20"/>
              </w:rPr>
            </w:pPr>
            <w:r>
              <w:rPr>
                <w:b/>
                <w:sz w:val="20"/>
              </w:rPr>
              <w:t>Day</w:t>
            </w:r>
          </w:p>
        </w:tc>
        <w:tc>
          <w:tcPr>
            <w:tcW w:w="7020" w:type="dxa"/>
            <w:gridSpan w:val="6"/>
            <w:tcBorders>
              <w:left w:val="single" w:sz="4" w:space="0" w:color="000000"/>
              <w:bottom w:val="single" w:sz="4" w:space="0" w:color="000000"/>
            </w:tcBorders>
          </w:tcPr>
          <w:p>
            <w:pPr>
              <w:pStyle w:val="TableParagraph"/>
              <w:spacing w:before="105"/>
              <w:ind w:left="864"/>
              <w:rPr>
                <w:b/>
                <w:sz w:val="20"/>
              </w:rPr>
            </w:pPr>
            <w:r>
              <w:rPr>
                <w:b/>
                <w:sz w:val="20"/>
              </w:rPr>
              <w:t>Mean Cumulative Number of Offspring Produced per Female</w:t>
            </w:r>
          </w:p>
        </w:tc>
      </w:tr>
      <w:tr>
        <w:trPr>
          <w:trHeight w:val="385" w:hRule="exact"/>
        </w:trPr>
        <w:tc>
          <w:tcPr>
            <w:tcW w:w="1170" w:type="dxa"/>
            <w:vMerge/>
            <w:tcBorders>
              <w:right w:val="single" w:sz="4" w:space="0" w:color="000000"/>
            </w:tcBorders>
          </w:tcPr>
          <w:p>
            <w:pPr/>
          </w:p>
        </w:tc>
        <w:tc>
          <w:tcPr>
            <w:tcW w:w="7020" w:type="dxa"/>
            <w:gridSpan w:val="6"/>
            <w:tcBorders>
              <w:top w:val="single" w:sz="4" w:space="0" w:color="000000"/>
              <w:left w:val="single" w:sz="4" w:space="0" w:color="000000"/>
              <w:bottom w:val="single" w:sz="4" w:space="0" w:color="000000"/>
            </w:tcBorders>
          </w:tcPr>
          <w:p>
            <w:pPr>
              <w:pStyle w:val="TableParagraph"/>
              <w:spacing w:before="103"/>
              <w:ind w:left="1773"/>
              <w:rPr>
                <w:b/>
                <w:sz w:val="20"/>
              </w:rPr>
            </w:pPr>
            <w:r>
              <w:rPr>
                <w:b/>
                <w:sz w:val="20"/>
              </w:rPr>
              <w:t>Mean Measured Concentration (CFU/L)</w:t>
            </w:r>
          </w:p>
        </w:tc>
      </w:tr>
      <w:tr>
        <w:trPr>
          <w:trHeight w:val="626" w:hRule="exact"/>
        </w:trPr>
        <w:tc>
          <w:tcPr>
            <w:tcW w:w="1170" w:type="dxa"/>
            <w:vMerge/>
            <w:tcBorders>
              <w:right w:val="single" w:sz="4" w:space="0" w:color="000000"/>
            </w:tcBorders>
          </w:tcPr>
          <w:p>
            <w:pPr/>
          </w:p>
        </w:tc>
        <w:tc>
          <w:tcPr>
            <w:tcW w:w="1170" w:type="dxa"/>
            <w:tcBorders>
              <w:top w:val="single" w:sz="4" w:space="0" w:color="000000"/>
              <w:left w:val="single" w:sz="4" w:space="0" w:color="000000"/>
              <w:right w:val="single" w:sz="4" w:space="0" w:color="000000"/>
            </w:tcBorders>
          </w:tcPr>
          <w:p>
            <w:pPr>
              <w:pStyle w:val="TableParagraph"/>
              <w:spacing w:before="7"/>
              <w:rPr>
                <w:sz w:val="18"/>
              </w:rPr>
            </w:pPr>
          </w:p>
          <w:p>
            <w:pPr>
              <w:pStyle w:val="TableParagraph"/>
              <w:ind w:left="104"/>
              <w:rPr>
                <w:b/>
                <w:i/>
                <w:sz w:val="13"/>
              </w:rPr>
            </w:pPr>
            <w:r>
              <w:rPr>
                <w:b/>
                <w:i/>
                <w:color w:val="FF0000"/>
                <w:sz w:val="20"/>
              </w:rPr>
              <w:t>X.XX × 10</w:t>
            </w:r>
            <w:r>
              <w:rPr>
                <w:b/>
                <w:i/>
                <w:color w:val="FF0000"/>
                <w:position w:val="7"/>
                <w:sz w:val="13"/>
              </w:rPr>
              <w:t>X</w:t>
            </w:r>
          </w:p>
        </w:tc>
        <w:tc>
          <w:tcPr>
            <w:tcW w:w="1170" w:type="dxa"/>
            <w:tcBorders>
              <w:top w:val="single" w:sz="4" w:space="0" w:color="000000"/>
              <w:left w:val="single" w:sz="4" w:space="0" w:color="000000"/>
              <w:right w:val="single" w:sz="4" w:space="0" w:color="000000"/>
            </w:tcBorders>
          </w:tcPr>
          <w:p>
            <w:pPr>
              <w:pStyle w:val="TableParagraph"/>
              <w:spacing w:before="7"/>
              <w:rPr>
                <w:sz w:val="18"/>
              </w:rPr>
            </w:pPr>
          </w:p>
          <w:p>
            <w:pPr>
              <w:pStyle w:val="TableParagraph"/>
              <w:ind w:left="104"/>
              <w:rPr>
                <w:b/>
                <w:i/>
                <w:sz w:val="13"/>
              </w:rPr>
            </w:pPr>
            <w:r>
              <w:rPr>
                <w:b/>
                <w:i/>
                <w:color w:val="FF0000"/>
                <w:sz w:val="20"/>
              </w:rPr>
              <w:t>X.XX × 10</w:t>
            </w:r>
            <w:r>
              <w:rPr>
                <w:b/>
                <w:i/>
                <w:color w:val="FF0000"/>
                <w:position w:val="7"/>
                <w:sz w:val="13"/>
              </w:rPr>
              <w:t>X</w:t>
            </w:r>
          </w:p>
        </w:tc>
        <w:tc>
          <w:tcPr>
            <w:tcW w:w="1170" w:type="dxa"/>
            <w:tcBorders>
              <w:top w:val="single" w:sz="4" w:space="0" w:color="000000"/>
              <w:left w:val="single" w:sz="4" w:space="0" w:color="000000"/>
              <w:right w:val="single" w:sz="4" w:space="0" w:color="000000"/>
            </w:tcBorders>
          </w:tcPr>
          <w:p>
            <w:pPr>
              <w:pStyle w:val="TableParagraph"/>
              <w:spacing w:before="7"/>
              <w:rPr>
                <w:sz w:val="18"/>
              </w:rPr>
            </w:pPr>
          </w:p>
          <w:p>
            <w:pPr>
              <w:pStyle w:val="TableParagraph"/>
              <w:ind w:left="104"/>
              <w:rPr>
                <w:b/>
                <w:i/>
                <w:sz w:val="13"/>
              </w:rPr>
            </w:pPr>
            <w:r>
              <w:rPr>
                <w:b/>
                <w:i/>
                <w:color w:val="FF0000"/>
                <w:sz w:val="20"/>
              </w:rPr>
              <w:t>X.XX × 10</w:t>
            </w:r>
            <w:r>
              <w:rPr>
                <w:b/>
                <w:i/>
                <w:color w:val="FF0000"/>
                <w:position w:val="7"/>
                <w:sz w:val="13"/>
              </w:rPr>
              <w:t>X</w:t>
            </w:r>
          </w:p>
        </w:tc>
        <w:tc>
          <w:tcPr>
            <w:tcW w:w="1170" w:type="dxa"/>
            <w:tcBorders>
              <w:top w:val="single" w:sz="4" w:space="0" w:color="000000"/>
              <w:left w:val="single" w:sz="4" w:space="0" w:color="000000"/>
              <w:right w:val="single" w:sz="4" w:space="0" w:color="000000"/>
            </w:tcBorders>
          </w:tcPr>
          <w:p>
            <w:pPr>
              <w:pStyle w:val="TableParagraph"/>
              <w:spacing w:before="7"/>
              <w:rPr>
                <w:sz w:val="18"/>
              </w:rPr>
            </w:pPr>
          </w:p>
          <w:p>
            <w:pPr>
              <w:pStyle w:val="TableParagraph"/>
              <w:ind w:left="104"/>
              <w:rPr>
                <w:b/>
                <w:i/>
                <w:sz w:val="13"/>
              </w:rPr>
            </w:pPr>
            <w:r>
              <w:rPr>
                <w:b/>
                <w:i/>
                <w:color w:val="FF0000"/>
                <w:sz w:val="20"/>
              </w:rPr>
              <w:t>X.XX × 10</w:t>
            </w:r>
            <w:r>
              <w:rPr>
                <w:b/>
                <w:i/>
                <w:color w:val="FF0000"/>
                <w:position w:val="7"/>
                <w:sz w:val="13"/>
              </w:rPr>
              <w:t>X</w:t>
            </w:r>
          </w:p>
        </w:tc>
        <w:tc>
          <w:tcPr>
            <w:tcW w:w="1170" w:type="dxa"/>
            <w:tcBorders>
              <w:top w:val="single" w:sz="4" w:space="0" w:color="000000"/>
              <w:left w:val="single" w:sz="4" w:space="0" w:color="000000"/>
              <w:right w:val="single" w:sz="4" w:space="0" w:color="000000"/>
            </w:tcBorders>
          </w:tcPr>
          <w:p>
            <w:pPr>
              <w:pStyle w:val="TableParagraph"/>
              <w:spacing w:before="7"/>
              <w:rPr>
                <w:sz w:val="18"/>
              </w:rPr>
            </w:pPr>
          </w:p>
          <w:p>
            <w:pPr>
              <w:pStyle w:val="TableParagraph"/>
              <w:ind w:left="104"/>
              <w:rPr>
                <w:b/>
                <w:i/>
                <w:sz w:val="13"/>
              </w:rPr>
            </w:pPr>
            <w:r>
              <w:rPr>
                <w:b/>
                <w:i/>
                <w:color w:val="FF0000"/>
                <w:sz w:val="20"/>
              </w:rPr>
              <w:t>X.XX × 10</w:t>
            </w:r>
            <w:r>
              <w:rPr>
                <w:b/>
                <w:i/>
                <w:color w:val="FF0000"/>
                <w:position w:val="7"/>
                <w:sz w:val="13"/>
              </w:rPr>
              <w:t>X</w:t>
            </w:r>
          </w:p>
        </w:tc>
        <w:tc>
          <w:tcPr>
            <w:tcW w:w="1170" w:type="dxa"/>
            <w:tcBorders>
              <w:top w:val="single" w:sz="4" w:space="0" w:color="000000"/>
              <w:left w:val="single" w:sz="4" w:space="0" w:color="000000"/>
            </w:tcBorders>
          </w:tcPr>
          <w:p>
            <w:pPr>
              <w:pStyle w:val="TableParagraph"/>
              <w:spacing w:before="105"/>
              <w:ind w:left="246" w:right="180" w:hanging="40"/>
              <w:rPr>
                <w:b/>
                <w:sz w:val="20"/>
              </w:rPr>
            </w:pPr>
            <w:r>
              <w:rPr>
                <w:b/>
                <w:sz w:val="20"/>
              </w:rPr>
              <w:t>Negative Control</w:t>
            </w:r>
          </w:p>
        </w:tc>
      </w:tr>
      <w:tr>
        <w:trPr>
          <w:trHeight w:val="396" w:hRule="exact"/>
        </w:trPr>
        <w:tc>
          <w:tcPr>
            <w:tcW w:w="1170" w:type="dxa"/>
            <w:tcBorders>
              <w:bottom w:val="single" w:sz="4" w:space="0" w:color="000000"/>
              <w:right w:val="single" w:sz="4" w:space="0" w:color="000000"/>
            </w:tcBorders>
          </w:tcPr>
          <w:p>
            <w:pPr>
              <w:pStyle w:val="TableParagraph"/>
              <w:spacing w:before="102"/>
              <w:ind w:right="9"/>
              <w:jc w:val="center"/>
              <w:rPr>
                <w:sz w:val="20"/>
              </w:rPr>
            </w:pPr>
            <w:r>
              <w:rPr>
                <w:w w:val="100"/>
                <w:sz w:val="20"/>
              </w:rPr>
              <w:t>1</w:t>
            </w:r>
          </w:p>
        </w:tc>
        <w:tc>
          <w:tcPr>
            <w:tcW w:w="1170" w:type="dxa"/>
            <w:tcBorders>
              <w:left w:val="single" w:sz="4" w:space="0" w:color="000000"/>
              <w:bottom w:val="single" w:sz="4" w:space="0" w:color="000000"/>
              <w:right w:val="single" w:sz="4" w:space="0" w:color="000000"/>
            </w:tcBorders>
          </w:tcPr>
          <w:p>
            <w:pPr/>
          </w:p>
        </w:tc>
        <w:tc>
          <w:tcPr>
            <w:tcW w:w="1170" w:type="dxa"/>
            <w:tcBorders>
              <w:left w:val="single" w:sz="4" w:space="0" w:color="000000"/>
              <w:bottom w:val="single" w:sz="4" w:space="0" w:color="000000"/>
              <w:right w:val="single" w:sz="4" w:space="0" w:color="000000"/>
            </w:tcBorders>
          </w:tcPr>
          <w:p>
            <w:pPr/>
          </w:p>
        </w:tc>
        <w:tc>
          <w:tcPr>
            <w:tcW w:w="1170" w:type="dxa"/>
            <w:tcBorders>
              <w:left w:val="single" w:sz="4" w:space="0" w:color="000000"/>
              <w:bottom w:val="single" w:sz="4" w:space="0" w:color="000000"/>
              <w:right w:val="single" w:sz="4" w:space="0" w:color="000000"/>
            </w:tcBorders>
          </w:tcPr>
          <w:p>
            <w:pPr/>
          </w:p>
        </w:tc>
        <w:tc>
          <w:tcPr>
            <w:tcW w:w="1170" w:type="dxa"/>
            <w:tcBorders>
              <w:left w:val="single" w:sz="4" w:space="0" w:color="000000"/>
              <w:bottom w:val="single" w:sz="4" w:space="0" w:color="000000"/>
              <w:right w:val="single" w:sz="4" w:space="0" w:color="000000"/>
            </w:tcBorders>
          </w:tcPr>
          <w:p>
            <w:pPr/>
          </w:p>
        </w:tc>
        <w:tc>
          <w:tcPr>
            <w:tcW w:w="1170" w:type="dxa"/>
            <w:tcBorders>
              <w:left w:val="single" w:sz="4" w:space="0" w:color="000000"/>
              <w:bottom w:val="single" w:sz="4" w:space="0" w:color="000000"/>
              <w:right w:val="single" w:sz="4" w:space="0" w:color="000000"/>
            </w:tcBorders>
          </w:tcPr>
          <w:p>
            <w:pPr/>
          </w:p>
        </w:tc>
        <w:tc>
          <w:tcPr>
            <w:tcW w:w="1170" w:type="dxa"/>
            <w:tcBorders>
              <w:left w:val="single" w:sz="4" w:space="0" w:color="000000"/>
              <w:bottom w:val="single" w:sz="4" w:space="0" w:color="000000"/>
            </w:tcBorders>
          </w:tcPr>
          <w:p>
            <w:pPr/>
          </w:p>
        </w:tc>
      </w:tr>
      <w:tr>
        <w:trPr>
          <w:trHeight w:val="386" w:hRule="exact"/>
        </w:trPr>
        <w:tc>
          <w:tcPr>
            <w:tcW w:w="1170" w:type="dxa"/>
            <w:tcBorders>
              <w:top w:val="single" w:sz="4" w:space="0" w:color="000000"/>
              <w:bottom w:val="single" w:sz="4" w:space="0" w:color="000000"/>
              <w:right w:val="single" w:sz="4" w:space="0" w:color="000000"/>
            </w:tcBorders>
          </w:tcPr>
          <w:p>
            <w:pPr>
              <w:pStyle w:val="TableParagraph"/>
              <w:spacing w:before="101"/>
              <w:ind w:right="9"/>
              <w:jc w:val="center"/>
              <w:rPr>
                <w:sz w:val="20"/>
              </w:rPr>
            </w:pPr>
            <w:r>
              <w:rPr>
                <w:w w:val="100"/>
                <w:sz w:val="20"/>
              </w:rPr>
              <w:t>2</w:t>
            </w: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tcBorders>
          </w:tcPr>
          <w:p>
            <w:pPr/>
          </w:p>
        </w:tc>
      </w:tr>
      <w:tr>
        <w:trPr>
          <w:trHeight w:val="385" w:hRule="exact"/>
        </w:trPr>
        <w:tc>
          <w:tcPr>
            <w:tcW w:w="1170" w:type="dxa"/>
            <w:tcBorders>
              <w:top w:val="single" w:sz="4" w:space="0" w:color="000000"/>
              <w:bottom w:val="single" w:sz="4" w:space="0" w:color="000000"/>
              <w:right w:val="single" w:sz="4" w:space="0" w:color="000000"/>
            </w:tcBorders>
          </w:tcPr>
          <w:p>
            <w:pPr>
              <w:pStyle w:val="TableParagraph"/>
              <w:spacing w:before="101"/>
              <w:ind w:right="9"/>
              <w:jc w:val="center"/>
              <w:rPr>
                <w:sz w:val="20"/>
              </w:rPr>
            </w:pPr>
            <w:r>
              <w:rPr>
                <w:w w:val="100"/>
                <w:sz w:val="20"/>
              </w:rPr>
              <w:t>3</w:t>
            </w: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tcBorders>
          </w:tcPr>
          <w:p>
            <w:pPr/>
          </w:p>
        </w:tc>
      </w:tr>
      <w:tr>
        <w:trPr>
          <w:trHeight w:val="386" w:hRule="exact"/>
        </w:trPr>
        <w:tc>
          <w:tcPr>
            <w:tcW w:w="1170" w:type="dxa"/>
            <w:tcBorders>
              <w:top w:val="single" w:sz="4" w:space="0" w:color="000000"/>
              <w:bottom w:val="single" w:sz="4" w:space="0" w:color="000000"/>
              <w:right w:val="single" w:sz="4" w:space="0" w:color="000000"/>
            </w:tcBorders>
          </w:tcPr>
          <w:p>
            <w:pPr>
              <w:pStyle w:val="TableParagraph"/>
              <w:spacing w:before="102"/>
              <w:ind w:right="9"/>
              <w:jc w:val="center"/>
              <w:rPr>
                <w:sz w:val="20"/>
              </w:rPr>
            </w:pPr>
            <w:r>
              <w:rPr>
                <w:w w:val="100"/>
                <w:sz w:val="20"/>
              </w:rPr>
              <w:t>4</w:t>
            </w: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tcBorders>
          </w:tcPr>
          <w:p>
            <w:pPr/>
          </w:p>
        </w:tc>
      </w:tr>
      <w:tr>
        <w:trPr>
          <w:trHeight w:val="386" w:hRule="exact"/>
        </w:trPr>
        <w:tc>
          <w:tcPr>
            <w:tcW w:w="1170" w:type="dxa"/>
            <w:tcBorders>
              <w:top w:val="single" w:sz="4" w:space="0" w:color="000000"/>
              <w:bottom w:val="single" w:sz="4" w:space="0" w:color="000000"/>
              <w:right w:val="single" w:sz="4" w:space="0" w:color="000000"/>
            </w:tcBorders>
          </w:tcPr>
          <w:p>
            <w:pPr>
              <w:pStyle w:val="TableParagraph"/>
              <w:spacing w:before="101"/>
              <w:ind w:right="9"/>
              <w:jc w:val="center"/>
              <w:rPr>
                <w:sz w:val="20"/>
              </w:rPr>
            </w:pPr>
            <w:r>
              <w:rPr>
                <w:w w:val="100"/>
                <w:sz w:val="20"/>
              </w:rPr>
              <w:t>5</w:t>
            </w: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tcBorders>
          </w:tcPr>
          <w:p>
            <w:pPr/>
          </w:p>
        </w:tc>
      </w:tr>
      <w:tr>
        <w:trPr>
          <w:trHeight w:val="385" w:hRule="exact"/>
        </w:trPr>
        <w:tc>
          <w:tcPr>
            <w:tcW w:w="1170" w:type="dxa"/>
            <w:tcBorders>
              <w:top w:val="single" w:sz="4" w:space="0" w:color="000000"/>
              <w:bottom w:val="single" w:sz="4" w:space="0" w:color="000000"/>
              <w:right w:val="single" w:sz="4" w:space="0" w:color="000000"/>
            </w:tcBorders>
          </w:tcPr>
          <w:p>
            <w:pPr>
              <w:pStyle w:val="TableParagraph"/>
              <w:spacing w:before="101"/>
              <w:ind w:right="9"/>
              <w:jc w:val="center"/>
              <w:rPr>
                <w:sz w:val="20"/>
              </w:rPr>
            </w:pPr>
            <w:r>
              <w:rPr>
                <w:w w:val="100"/>
                <w:sz w:val="20"/>
              </w:rPr>
              <w:t>6</w:t>
            </w: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right w:val="single" w:sz="4" w:space="0" w:color="000000"/>
            </w:tcBorders>
          </w:tcPr>
          <w:p>
            <w:pPr/>
          </w:p>
        </w:tc>
        <w:tc>
          <w:tcPr>
            <w:tcW w:w="1170" w:type="dxa"/>
            <w:tcBorders>
              <w:top w:val="single" w:sz="4" w:space="0" w:color="000000"/>
              <w:left w:val="single" w:sz="4" w:space="0" w:color="000000"/>
              <w:bottom w:val="single" w:sz="4" w:space="0" w:color="000000"/>
            </w:tcBorders>
          </w:tcPr>
          <w:p>
            <w:pPr/>
          </w:p>
        </w:tc>
      </w:tr>
      <w:tr>
        <w:trPr>
          <w:trHeight w:val="397" w:hRule="exact"/>
        </w:trPr>
        <w:tc>
          <w:tcPr>
            <w:tcW w:w="1170" w:type="dxa"/>
            <w:tcBorders>
              <w:top w:val="single" w:sz="4" w:space="0" w:color="000000"/>
              <w:right w:val="single" w:sz="4" w:space="0" w:color="000000"/>
            </w:tcBorders>
          </w:tcPr>
          <w:p>
            <w:pPr>
              <w:pStyle w:val="TableParagraph"/>
              <w:spacing w:before="102"/>
              <w:ind w:right="9"/>
              <w:jc w:val="center"/>
              <w:rPr>
                <w:i/>
                <w:sz w:val="20"/>
              </w:rPr>
            </w:pPr>
            <w:r>
              <w:rPr>
                <w:i/>
                <w:color w:val="FF0000"/>
                <w:w w:val="100"/>
                <w:sz w:val="20"/>
              </w:rPr>
              <w:t>n</w:t>
            </w:r>
          </w:p>
        </w:tc>
        <w:tc>
          <w:tcPr>
            <w:tcW w:w="1170" w:type="dxa"/>
            <w:tcBorders>
              <w:top w:val="single" w:sz="4" w:space="0" w:color="000000"/>
              <w:left w:val="single" w:sz="4" w:space="0" w:color="000000"/>
              <w:right w:val="single" w:sz="4" w:space="0" w:color="000000"/>
            </w:tcBorders>
          </w:tcPr>
          <w:p>
            <w:pPr/>
          </w:p>
        </w:tc>
        <w:tc>
          <w:tcPr>
            <w:tcW w:w="1170" w:type="dxa"/>
            <w:tcBorders>
              <w:top w:val="single" w:sz="4" w:space="0" w:color="000000"/>
              <w:left w:val="single" w:sz="4" w:space="0" w:color="000000"/>
              <w:right w:val="single" w:sz="4" w:space="0" w:color="000000"/>
            </w:tcBorders>
          </w:tcPr>
          <w:p>
            <w:pPr/>
          </w:p>
        </w:tc>
        <w:tc>
          <w:tcPr>
            <w:tcW w:w="1170" w:type="dxa"/>
            <w:tcBorders>
              <w:top w:val="single" w:sz="4" w:space="0" w:color="000000"/>
              <w:left w:val="single" w:sz="4" w:space="0" w:color="000000"/>
              <w:right w:val="single" w:sz="4" w:space="0" w:color="000000"/>
            </w:tcBorders>
          </w:tcPr>
          <w:p>
            <w:pPr/>
          </w:p>
        </w:tc>
        <w:tc>
          <w:tcPr>
            <w:tcW w:w="1170" w:type="dxa"/>
            <w:tcBorders>
              <w:top w:val="single" w:sz="4" w:space="0" w:color="000000"/>
              <w:left w:val="single" w:sz="4" w:space="0" w:color="000000"/>
              <w:right w:val="single" w:sz="4" w:space="0" w:color="000000"/>
            </w:tcBorders>
          </w:tcPr>
          <w:p>
            <w:pPr/>
          </w:p>
        </w:tc>
        <w:tc>
          <w:tcPr>
            <w:tcW w:w="1170" w:type="dxa"/>
            <w:tcBorders>
              <w:top w:val="single" w:sz="4" w:space="0" w:color="000000"/>
              <w:left w:val="single" w:sz="4" w:space="0" w:color="000000"/>
              <w:right w:val="single" w:sz="4" w:space="0" w:color="000000"/>
            </w:tcBorders>
          </w:tcPr>
          <w:p>
            <w:pPr/>
          </w:p>
        </w:tc>
        <w:tc>
          <w:tcPr>
            <w:tcW w:w="1170" w:type="dxa"/>
            <w:tcBorders>
              <w:top w:val="single" w:sz="4" w:space="0" w:color="000000"/>
              <w:left w:val="single" w:sz="4" w:space="0" w:color="000000"/>
            </w:tcBorders>
          </w:tcPr>
          <w:p>
            <w:pPr/>
          </w:p>
        </w:tc>
      </w:tr>
    </w:tbl>
    <w:p>
      <w:pPr>
        <w:pStyle w:val="Heading6"/>
        <w:spacing w:line="240" w:lineRule="auto"/>
        <w:ind w:right="473"/>
      </w:pPr>
      <w:r>
        <w:rPr>
          <w:i/>
          <w:color w:val="FF0000"/>
        </w:rPr>
        <w:t>[Table suitable for testing at multiple concentrations. Modify as appropriate to accommodate differences in experimental </w:t>
      </w:r>
      <w:r>
        <w:rPr>
          <w:color w:val="FF0000"/>
        </w:rPr>
        <w:t>design, otherwise delete if maximum hazard concentration was used.]</w:t>
      </w:r>
    </w:p>
    <w:p>
      <w:pPr>
        <w:spacing w:line="230" w:lineRule="exact" w:before="0"/>
        <w:ind w:left="140" w:right="0" w:firstLine="0"/>
        <w:jc w:val="left"/>
        <w:rPr>
          <w:i/>
          <w:sz w:val="20"/>
        </w:rPr>
      </w:pPr>
      <w:r>
        <w:rPr>
          <w:i/>
          <w:color w:val="FF0000"/>
          <w:sz w:val="20"/>
        </w:rPr>
        <w:t>[</w:t>
      </w:r>
      <w:r>
        <w:rPr>
          <w:i/>
          <w:color w:val="FF0000"/>
          <w:position w:val="7"/>
          <w:sz w:val="13"/>
        </w:rPr>
        <w:t>a </w:t>
      </w:r>
      <w:r>
        <w:rPr>
          <w:i/>
          <w:color w:val="FF0000"/>
          <w:sz w:val="20"/>
        </w:rPr>
        <w:t>Use superscript and footnote to indicate values that are statistically significantly different from control.]</w:t>
      </w:r>
    </w:p>
    <w:p>
      <w:pPr>
        <w:pStyle w:val="BodyText"/>
        <w:spacing w:before="1"/>
        <w:rPr>
          <w:i/>
          <w:sz w:val="22"/>
        </w:rPr>
      </w:pPr>
    </w:p>
    <w:p>
      <w:pPr>
        <w:tabs>
          <w:tab w:pos="1580" w:val="left" w:leader="none"/>
        </w:tabs>
        <w:spacing w:before="0" w:after="2"/>
        <w:ind w:left="140" w:right="1080" w:firstLine="0"/>
        <w:jc w:val="left"/>
        <w:rPr>
          <w:sz w:val="22"/>
        </w:rPr>
      </w:pPr>
      <w:r>
        <w:rPr>
          <w:b/>
          <w:sz w:val="22"/>
        </w:rPr>
        <w:t>TABLE</w:t>
      </w:r>
      <w:r>
        <w:rPr>
          <w:b/>
          <w:spacing w:val="-1"/>
          <w:sz w:val="22"/>
        </w:rPr>
        <w:t> </w:t>
      </w:r>
      <w:r>
        <w:rPr>
          <w:b/>
          <w:i/>
          <w:color w:val="FF0000"/>
          <w:sz w:val="22"/>
        </w:rPr>
        <w:t>[#]</w:t>
      </w:r>
      <w:r>
        <w:rPr>
          <w:b/>
          <w:sz w:val="22"/>
        </w:rPr>
        <w:t>.</w:t>
        <w:tab/>
      </w:r>
      <w:r>
        <w:rPr>
          <w:sz w:val="22"/>
        </w:rPr>
        <w:t>Sublethal effects </w:t>
      </w:r>
      <w:r>
        <w:rPr>
          <w:i/>
          <w:color w:val="FF0000"/>
          <w:sz w:val="22"/>
        </w:rPr>
        <w:t>(e.g., growth, ephippia, etc.)  </w:t>
      </w:r>
      <w:r>
        <w:rPr>
          <w:sz w:val="22"/>
        </w:rPr>
        <w:t>in </w:t>
      </w:r>
      <w:r>
        <w:rPr>
          <w:i/>
          <w:color w:val="FF0000"/>
          <w:sz w:val="22"/>
        </w:rPr>
        <w:t>[test organism] </w:t>
      </w:r>
      <w:r>
        <w:rPr>
          <w:sz w:val="22"/>
        </w:rPr>
        <w:t>during</w:t>
      </w:r>
      <w:r>
        <w:rPr>
          <w:spacing w:val="-38"/>
          <w:sz w:val="22"/>
        </w:rPr>
        <w:t> </w:t>
      </w:r>
      <w:r>
        <w:rPr>
          <w:i/>
          <w:color w:val="FF0000"/>
          <w:sz w:val="22"/>
        </w:rPr>
        <w:t>[test</w:t>
      </w:r>
      <w:r>
        <w:rPr>
          <w:i/>
          <w:color w:val="FF0000"/>
          <w:spacing w:val="-4"/>
          <w:sz w:val="22"/>
        </w:rPr>
        <w:t> </w:t>
      </w:r>
      <w:r>
        <w:rPr>
          <w:i/>
          <w:color w:val="FF0000"/>
          <w:sz w:val="22"/>
        </w:rPr>
        <w:t>duration]</w:t>
      </w:r>
      <w:r>
        <w:rPr>
          <w:i/>
          <w:color w:val="FF0000"/>
          <w:w w:val="99"/>
          <w:sz w:val="22"/>
        </w:rPr>
        <w:t> </w:t>
      </w:r>
      <w:r>
        <w:rPr>
          <w:i/>
          <w:color w:val="FF0000"/>
          <w:sz w:val="22"/>
        </w:rPr>
        <w:t>[acute/chronic]</w:t>
      </w:r>
      <w:r>
        <w:rPr>
          <w:i/>
          <w:color w:val="FF0000"/>
          <w:spacing w:val="-4"/>
          <w:sz w:val="22"/>
        </w:rPr>
        <w:t> </w:t>
      </w:r>
      <w:r>
        <w:rPr>
          <w:sz w:val="22"/>
        </w:rPr>
        <w:t>exposure</w:t>
      </w:r>
      <w:r>
        <w:rPr>
          <w:spacing w:val="-9"/>
          <w:sz w:val="22"/>
        </w:rPr>
        <w:t> </w:t>
      </w:r>
      <w:r>
        <w:rPr>
          <w:sz w:val="22"/>
        </w:rPr>
        <w:t>to</w:t>
      </w:r>
      <w:r>
        <w:rPr>
          <w:spacing w:val="-8"/>
          <w:sz w:val="22"/>
        </w:rPr>
        <w:t> </w:t>
      </w:r>
      <w:r>
        <w:rPr>
          <w:i/>
          <w:color w:val="FF0000"/>
          <w:sz w:val="22"/>
        </w:rPr>
        <w:t>[test</w:t>
      </w:r>
      <w:r>
        <w:rPr>
          <w:i/>
          <w:color w:val="FF0000"/>
          <w:spacing w:val="-7"/>
          <w:sz w:val="22"/>
        </w:rPr>
        <w:t> </w:t>
      </w:r>
      <w:r>
        <w:rPr>
          <w:i/>
          <w:color w:val="FF0000"/>
          <w:sz w:val="22"/>
        </w:rPr>
        <w:t>substance]</w:t>
      </w:r>
      <w:r>
        <w:rPr>
          <w:i/>
          <w:color w:val="FF0000"/>
          <w:spacing w:val="-5"/>
          <w:sz w:val="22"/>
        </w:rPr>
        <w:t> </w:t>
      </w:r>
      <w:r>
        <w:rPr>
          <w:sz w:val="22"/>
        </w:rPr>
        <w:t>under</w:t>
      </w:r>
      <w:r>
        <w:rPr>
          <w:spacing w:val="-8"/>
          <w:sz w:val="22"/>
        </w:rPr>
        <w:t> </w:t>
      </w:r>
      <w:r>
        <w:rPr>
          <w:i/>
          <w:color w:val="FF0000"/>
          <w:sz w:val="22"/>
        </w:rPr>
        <w:t>[static-renewal/flow-through]</w:t>
      </w:r>
      <w:r>
        <w:rPr>
          <w:i/>
          <w:color w:val="FF0000"/>
          <w:spacing w:val="-6"/>
          <w:sz w:val="22"/>
        </w:rPr>
        <w:t> </w:t>
      </w:r>
      <w:r>
        <w:rPr>
          <w:sz w:val="22"/>
        </w:rPr>
        <w:t>conditions.</w:t>
      </w:r>
    </w:p>
    <w:tbl>
      <w:tblPr>
        <w:tblW w:w="0" w:type="auto"/>
        <w:jc w:val="left"/>
        <w:tblInd w:w="50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00"/>
        <w:gridCol w:w="2274"/>
        <w:gridCol w:w="2275"/>
        <w:gridCol w:w="2275"/>
      </w:tblGrid>
      <w:tr>
        <w:trPr>
          <w:trHeight w:val="392" w:hRule="exact"/>
        </w:trPr>
        <w:tc>
          <w:tcPr>
            <w:tcW w:w="2500" w:type="dxa"/>
            <w:vMerge w:val="restart"/>
            <w:tcBorders>
              <w:right w:val="single" w:sz="4" w:space="0" w:color="000000"/>
            </w:tcBorders>
          </w:tcPr>
          <w:p>
            <w:pPr>
              <w:pStyle w:val="TableParagraph"/>
              <w:spacing w:before="10"/>
              <w:rPr>
                <w:sz w:val="31"/>
              </w:rPr>
            </w:pPr>
          </w:p>
          <w:p>
            <w:pPr>
              <w:pStyle w:val="TableParagraph"/>
              <w:ind w:left="617" w:right="530" w:hanging="81"/>
              <w:rPr>
                <w:b/>
                <w:sz w:val="20"/>
              </w:rPr>
            </w:pPr>
            <w:r>
              <w:rPr>
                <w:b/>
                <w:sz w:val="20"/>
              </w:rPr>
              <w:t>Mean Measured Concentration</w:t>
            </w:r>
          </w:p>
        </w:tc>
        <w:tc>
          <w:tcPr>
            <w:tcW w:w="6824" w:type="dxa"/>
            <w:gridSpan w:val="3"/>
            <w:tcBorders>
              <w:left w:val="single" w:sz="4" w:space="0" w:color="000000"/>
              <w:bottom w:val="single" w:sz="4" w:space="0" w:color="000000"/>
            </w:tcBorders>
          </w:tcPr>
          <w:p>
            <w:pPr>
              <w:pStyle w:val="TableParagraph"/>
              <w:spacing w:before="97"/>
              <w:ind w:left="2550" w:right="2542"/>
              <w:jc w:val="center"/>
              <w:rPr>
                <w:b/>
                <w:sz w:val="20"/>
              </w:rPr>
            </w:pPr>
            <w:r>
              <w:rPr>
                <w:b/>
                <w:sz w:val="20"/>
              </w:rPr>
              <w:t>Observation Period</w:t>
            </w:r>
          </w:p>
        </w:tc>
      </w:tr>
      <w:tr>
        <w:trPr>
          <w:trHeight w:val="383" w:hRule="exact"/>
        </w:trPr>
        <w:tc>
          <w:tcPr>
            <w:tcW w:w="2500" w:type="dxa"/>
            <w:vMerge/>
            <w:tcBorders>
              <w:right w:val="single" w:sz="4" w:space="0" w:color="000000"/>
            </w:tcBorders>
          </w:tcPr>
          <w:p>
            <w:pPr/>
          </w:p>
        </w:tc>
        <w:tc>
          <w:tcPr>
            <w:tcW w:w="2274" w:type="dxa"/>
            <w:tcBorders>
              <w:top w:val="single" w:sz="4" w:space="0" w:color="000000"/>
              <w:left w:val="single" w:sz="4" w:space="0" w:color="000000"/>
              <w:bottom w:val="single" w:sz="4" w:space="0" w:color="000000"/>
              <w:right w:val="single" w:sz="4" w:space="0" w:color="000000"/>
            </w:tcBorders>
          </w:tcPr>
          <w:p>
            <w:pPr>
              <w:pStyle w:val="TableParagraph"/>
              <w:spacing w:before="97"/>
              <w:ind w:left="251" w:right="251"/>
              <w:jc w:val="center"/>
              <w:rPr>
                <w:b/>
                <w:i/>
                <w:sz w:val="20"/>
              </w:rPr>
            </w:pPr>
            <w:r>
              <w:rPr>
                <w:b/>
                <w:i/>
                <w:color w:val="FF0000"/>
                <w:sz w:val="20"/>
              </w:rPr>
              <w:t>endpoint 1 </w:t>
            </w:r>
            <w:r>
              <w:rPr>
                <w:b/>
                <w:sz w:val="20"/>
              </w:rPr>
              <w:t>at </w:t>
            </w:r>
            <w:r>
              <w:rPr>
                <w:b/>
                <w:i/>
                <w:color w:val="FF0000"/>
                <w:sz w:val="20"/>
              </w:rPr>
              <w:t>Day x1</w:t>
            </w:r>
          </w:p>
        </w:tc>
        <w:tc>
          <w:tcPr>
            <w:tcW w:w="2275" w:type="dxa"/>
            <w:tcBorders>
              <w:top w:val="single" w:sz="4" w:space="0" w:color="000000"/>
              <w:left w:val="single" w:sz="4" w:space="0" w:color="000000"/>
              <w:bottom w:val="single" w:sz="4" w:space="0" w:color="000000"/>
              <w:right w:val="single" w:sz="4" w:space="0" w:color="000000"/>
            </w:tcBorders>
          </w:tcPr>
          <w:p>
            <w:pPr>
              <w:pStyle w:val="TableParagraph"/>
              <w:spacing w:before="97"/>
              <w:ind w:left="252" w:right="251"/>
              <w:jc w:val="center"/>
              <w:rPr>
                <w:b/>
                <w:i/>
                <w:sz w:val="20"/>
              </w:rPr>
            </w:pPr>
            <w:r>
              <w:rPr>
                <w:b/>
                <w:i/>
                <w:color w:val="FF0000"/>
                <w:sz w:val="20"/>
              </w:rPr>
              <w:t>endpoint 2 </w:t>
            </w:r>
            <w:r>
              <w:rPr>
                <w:b/>
                <w:sz w:val="20"/>
              </w:rPr>
              <w:t>at </w:t>
            </w:r>
            <w:r>
              <w:rPr>
                <w:b/>
                <w:i/>
                <w:color w:val="FF0000"/>
                <w:sz w:val="20"/>
              </w:rPr>
              <w:t>Day x2</w:t>
            </w:r>
          </w:p>
        </w:tc>
        <w:tc>
          <w:tcPr>
            <w:tcW w:w="2275" w:type="dxa"/>
            <w:tcBorders>
              <w:top w:val="single" w:sz="4" w:space="0" w:color="000000"/>
              <w:left w:val="single" w:sz="4" w:space="0" w:color="000000"/>
              <w:bottom w:val="single" w:sz="4" w:space="0" w:color="000000"/>
            </w:tcBorders>
          </w:tcPr>
          <w:p>
            <w:pPr>
              <w:pStyle w:val="TableParagraph"/>
              <w:spacing w:before="97"/>
              <w:ind w:left="216" w:right="205"/>
              <w:jc w:val="center"/>
              <w:rPr>
                <w:b/>
                <w:i/>
                <w:sz w:val="20"/>
              </w:rPr>
            </w:pPr>
            <w:r>
              <w:rPr>
                <w:b/>
                <w:i/>
                <w:color w:val="FF0000"/>
                <w:sz w:val="20"/>
              </w:rPr>
              <w:t>endpoint n </w:t>
            </w:r>
            <w:r>
              <w:rPr>
                <w:b/>
                <w:sz w:val="20"/>
              </w:rPr>
              <w:t>at </w:t>
            </w:r>
            <w:r>
              <w:rPr>
                <w:b/>
                <w:i/>
                <w:color w:val="FF0000"/>
                <w:sz w:val="20"/>
              </w:rPr>
              <w:t>Day x n</w:t>
            </w:r>
          </w:p>
        </w:tc>
      </w:tr>
      <w:tr>
        <w:trPr>
          <w:trHeight w:val="391" w:hRule="exact"/>
        </w:trPr>
        <w:tc>
          <w:tcPr>
            <w:tcW w:w="2500" w:type="dxa"/>
            <w:vMerge/>
            <w:tcBorders>
              <w:right w:val="single" w:sz="4" w:space="0" w:color="000000"/>
            </w:tcBorders>
          </w:tcPr>
          <w:p>
            <w:pPr/>
          </w:p>
        </w:tc>
        <w:tc>
          <w:tcPr>
            <w:tcW w:w="2274" w:type="dxa"/>
            <w:tcBorders>
              <w:top w:val="single" w:sz="4" w:space="0" w:color="000000"/>
              <w:left w:val="single" w:sz="4" w:space="0" w:color="000000"/>
              <w:right w:val="single" w:sz="4" w:space="0" w:color="000000"/>
            </w:tcBorders>
          </w:tcPr>
          <w:p>
            <w:pPr>
              <w:pStyle w:val="TableParagraph"/>
              <w:spacing w:before="96"/>
              <w:ind w:left="251" w:right="251"/>
              <w:jc w:val="center"/>
              <w:rPr>
                <w:b/>
                <w:sz w:val="20"/>
              </w:rPr>
            </w:pPr>
            <w:r>
              <w:rPr>
                <w:b/>
                <w:sz w:val="20"/>
              </w:rPr>
              <w:t>% Affected</w:t>
            </w:r>
          </w:p>
        </w:tc>
        <w:tc>
          <w:tcPr>
            <w:tcW w:w="2275" w:type="dxa"/>
            <w:tcBorders>
              <w:top w:val="single" w:sz="4" w:space="0" w:color="000000"/>
              <w:left w:val="single" w:sz="4" w:space="0" w:color="000000"/>
              <w:right w:val="single" w:sz="4" w:space="0" w:color="000000"/>
            </w:tcBorders>
          </w:tcPr>
          <w:p>
            <w:pPr>
              <w:pStyle w:val="TableParagraph"/>
              <w:spacing w:before="96"/>
              <w:ind w:left="251" w:right="251"/>
              <w:jc w:val="center"/>
              <w:rPr>
                <w:b/>
                <w:sz w:val="20"/>
              </w:rPr>
            </w:pPr>
            <w:r>
              <w:rPr>
                <w:b/>
                <w:sz w:val="20"/>
              </w:rPr>
              <w:t>% Affected</w:t>
            </w:r>
          </w:p>
        </w:tc>
        <w:tc>
          <w:tcPr>
            <w:tcW w:w="2275" w:type="dxa"/>
            <w:tcBorders>
              <w:top w:val="single" w:sz="4" w:space="0" w:color="000000"/>
              <w:left w:val="single" w:sz="4" w:space="0" w:color="000000"/>
            </w:tcBorders>
          </w:tcPr>
          <w:p>
            <w:pPr>
              <w:pStyle w:val="TableParagraph"/>
              <w:spacing w:before="96"/>
              <w:ind w:left="215" w:right="205"/>
              <w:jc w:val="center"/>
              <w:rPr>
                <w:b/>
                <w:sz w:val="20"/>
              </w:rPr>
            </w:pPr>
            <w:r>
              <w:rPr>
                <w:b/>
                <w:sz w:val="20"/>
              </w:rPr>
              <w:t>% Affected</w:t>
            </w:r>
          </w:p>
        </w:tc>
      </w:tr>
      <w:tr>
        <w:trPr>
          <w:trHeight w:val="392" w:hRule="exact"/>
        </w:trPr>
        <w:tc>
          <w:tcPr>
            <w:tcW w:w="2500" w:type="dxa"/>
            <w:tcBorders>
              <w:bottom w:val="single" w:sz="4" w:space="0" w:color="000000"/>
              <w:right w:val="single" w:sz="4" w:space="0" w:color="000000"/>
            </w:tcBorders>
          </w:tcPr>
          <w:p>
            <w:pPr>
              <w:pStyle w:val="TableParagraph"/>
              <w:spacing w:before="95"/>
              <w:ind w:right="422"/>
              <w:jc w:val="right"/>
              <w:rPr>
                <w:i/>
                <w:sz w:val="20"/>
              </w:rPr>
            </w:pPr>
            <w:r>
              <w:rPr>
                <w:i/>
                <w:color w:val="FF0000"/>
                <w:sz w:val="20"/>
              </w:rPr>
              <w:t>Test concentration 1</w:t>
            </w:r>
          </w:p>
        </w:tc>
        <w:tc>
          <w:tcPr>
            <w:tcW w:w="2274" w:type="dxa"/>
            <w:tcBorders>
              <w:left w:val="single" w:sz="4" w:space="0" w:color="000000"/>
              <w:bottom w:val="single" w:sz="4" w:space="0" w:color="000000"/>
              <w:right w:val="single" w:sz="4" w:space="0" w:color="000000"/>
            </w:tcBorders>
          </w:tcPr>
          <w:p>
            <w:pPr/>
          </w:p>
        </w:tc>
        <w:tc>
          <w:tcPr>
            <w:tcW w:w="2275" w:type="dxa"/>
            <w:tcBorders>
              <w:left w:val="single" w:sz="4" w:space="0" w:color="000000"/>
              <w:bottom w:val="single" w:sz="4" w:space="0" w:color="000000"/>
              <w:right w:val="single" w:sz="4" w:space="0" w:color="000000"/>
            </w:tcBorders>
          </w:tcPr>
          <w:p>
            <w:pPr/>
          </w:p>
        </w:tc>
        <w:tc>
          <w:tcPr>
            <w:tcW w:w="2275" w:type="dxa"/>
            <w:tcBorders>
              <w:left w:val="single" w:sz="4" w:space="0" w:color="000000"/>
              <w:bottom w:val="single" w:sz="4" w:space="0" w:color="000000"/>
            </w:tcBorders>
          </w:tcPr>
          <w:p>
            <w:pPr/>
          </w:p>
        </w:tc>
      </w:tr>
      <w:tr>
        <w:trPr>
          <w:trHeight w:val="382" w:hRule="exact"/>
        </w:trPr>
        <w:tc>
          <w:tcPr>
            <w:tcW w:w="2500" w:type="dxa"/>
            <w:tcBorders>
              <w:top w:val="single" w:sz="4" w:space="0" w:color="000000"/>
              <w:bottom w:val="single" w:sz="4" w:space="0" w:color="000000"/>
              <w:right w:val="single" w:sz="4" w:space="0" w:color="000000"/>
            </w:tcBorders>
          </w:tcPr>
          <w:p>
            <w:pPr>
              <w:pStyle w:val="TableParagraph"/>
              <w:spacing w:before="94"/>
              <w:ind w:right="422"/>
              <w:jc w:val="right"/>
              <w:rPr>
                <w:i/>
                <w:sz w:val="20"/>
              </w:rPr>
            </w:pPr>
            <w:r>
              <w:rPr>
                <w:i/>
                <w:color w:val="FF0000"/>
                <w:sz w:val="20"/>
              </w:rPr>
              <w:t>Test concentration 2</w:t>
            </w:r>
          </w:p>
        </w:tc>
        <w:tc>
          <w:tcPr>
            <w:tcW w:w="2274" w:type="dxa"/>
            <w:tcBorders>
              <w:top w:val="single" w:sz="4" w:space="0" w:color="000000"/>
              <w:left w:val="single" w:sz="4" w:space="0" w:color="000000"/>
              <w:bottom w:val="single" w:sz="4" w:space="0" w:color="000000"/>
              <w:right w:val="single" w:sz="4" w:space="0" w:color="000000"/>
            </w:tcBorders>
          </w:tcPr>
          <w:p>
            <w:pPr/>
          </w:p>
        </w:tc>
        <w:tc>
          <w:tcPr>
            <w:tcW w:w="2275" w:type="dxa"/>
            <w:tcBorders>
              <w:top w:val="single" w:sz="4" w:space="0" w:color="000000"/>
              <w:left w:val="single" w:sz="4" w:space="0" w:color="000000"/>
              <w:bottom w:val="single" w:sz="4" w:space="0" w:color="000000"/>
              <w:right w:val="single" w:sz="4" w:space="0" w:color="000000"/>
            </w:tcBorders>
          </w:tcPr>
          <w:p>
            <w:pPr/>
          </w:p>
        </w:tc>
        <w:tc>
          <w:tcPr>
            <w:tcW w:w="2275" w:type="dxa"/>
            <w:tcBorders>
              <w:top w:val="single" w:sz="4" w:space="0" w:color="000000"/>
              <w:left w:val="single" w:sz="4" w:space="0" w:color="000000"/>
              <w:bottom w:val="single" w:sz="4" w:space="0" w:color="000000"/>
            </w:tcBorders>
          </w:tcPr>
          <w:p>
            <w:pPr/>
          </w:p>
        </w:tc>
      </w:tr>
      <w:tr>
        <w:trPr>
          <w:trHeight w:val="382" w:hRule="exact"/>
        </w:trPr>
        <w:tc>
          <w:tcPr>
            <w:tcW w:w="2500" w:type="dxa"/>
            <w:tcBorders>
              <w:top w:val="single" w:sz="4" w:space="0" w:color="000000"/>
              <w:bottom w:val="single" w:sz="4" w:space="0" w:color="000000"/>
              <w:right w:val="single" w:sz="4" w:space="0" w:color="000000"/>
            </w:tcBorders>
          </w:tcPr>
          <w:p>
            <w:pPr>
              <w:pStyle w:val="TableParagraph"/>
              <w:spacing w:before="94"/>
              <w:ind w:right="421"/>
              <w:jc w:val="right"/>
              <w:rPr>
                <w:i/>
                <w:sz w:val="20"/>
              </w:rPr>
            </w:pPr>
            <w:r>
              <w:rPr>
                <w:i/>
                <w:color w:val="FF0000"/>
                <w:sz w:val="20"/>
              </w:rPr>
              <w:t>Test concentration 3</w:t>
            </w:r>
          </w:p>
        </w:tc>
        <w:tc>
          <w:tcPr>
            <w:tcW w:w="2274" w:type="dxa"/>
            <w:tcBorders>
              <w:top w:val="single" w:sz="4" w:space="0" w:color="000000"/>
              <w:left w:val="single" w:sz="4" w:space="0" w:color="000000"/>
              <w:bottom w:val="single" w:sz="4" w:space="0" w:color="000000"/>
              <w:right w:val="single" w:sz="4" w:space="0" w:color="000000"/>
            </w:tcBorders>
          </w:tcPr>
          <w:p>
            <w:pPr/>
          </w:p>
        </w:tc>
        <w:tc>
          <w:tcPr>
            <w:tcW w:w="2275" w:type="dxa"/>
            <w:tcBorders>
              <w:top w:val="single" w:sz="4" w:space="0" w:color="000000"/>
              <w:left w:val="single" w:sz="4" w:space="0" w:color="000000"/>
              <w:bottom w:val="single" w:sz="4" w:space="0" w:color="000000"/>
              <w:right w:val="single" w:sz="4" w:space="0" w:color="000000"/>
            </w:tcBorders>
          </w:tcPr>
          <w:p>
            <w:pPr/>
          </w:p>
        </w:tc>
        <w:tc>
          <w:tcPr>
            <w:tcW w:w="2275" w:type="dxa"/>
            <w:tcBorders>
              <w:top w:val="single" w:sz="4" w:space="0" w:color="000000"/>
              <w:left w:val="single" w:sz="4" w:space="0" w:color="000000"/>
              <w:bottom w:val="single" w:sz="4" w:space="0" w:color="000000"/>
            </w:tcBorders>
          </w:tcPr>
          <w:p>
            <w:pPr/>
          </w:p>
        </w:tc>
      </w:tr>
      <w:tr>
        <w:trPr>
          <w:trHeight w:val="426" w:hRule="exact"/>
        </w:trPr>
        <w:tc>
          <w:tcPr>
            <w:tcW w:w="2500" w:type="dxa"/>
            <w:tcBorders>
              <w:top w:val="single" w:sz="4" w:space="0" w:color="000000"/>
              <w:bottom w:val="single" w:sz="4" w:space="0" w:color="000000"/>
              <w:right w:val="single" w:sz="4" w:space="0" w:color="000000"/>
            </w:tcBorders>
          </w:tcPr>
          <w:p>
            <w:pPr>
              <w:pStyle w:val="TableParagraph"/>
              <w:spacing w:before="95"/>
              <w:ind w:right="422"/>
              <w:jc w:val="right"/>
              <w:rPr>
                <w:i/>
                <w:sz w:val="20"/>
              </w:rPr>
            </w:pPr>
            <w:r>
              <w:rPr>
                <w:i/>
                <w:color w:val="FF0000"/>
                <w:sz w:val="20"/>
              </w:rPr>
              <w:t>Test concentration 4</w:t>
            </w:r>
          </w:p>
        </w:tc>
        <w:tc>
          <w:tcPr>
            <w:tcW w:w="2274" w:type="dxa"/>
            <w:tcBorders>
              <w:top w:val="single" w:sz="4" w:space="0" w:color="000000"/>
              <w:left w:val="single" w:sz="4" w:space="0" w:color="000000"/>
              <w:bottom w:val="single" w:sz="4" w:space="0" w:color="000000"/>
              <w:right w:val="single" w:sz="4" w:space="0" w:color="000000"/>
            </w:tcBorders>
          </w:tcPr>
          <w:p>
            <w:pPr/>
          </w:p>
        </w:tc>
        <w:tc>
          <w:tcPr>
            <w:tcW w:w="2275" w:type="dxa"/>
            <w:tcBorders>
              <w:top w:val="single" w:sz="4" w:space="0" w:color="000000"/>
              <w:left w:val="single" w:sz="4" w:space="0" w:color="000000"/>
              <w:bottom w:val="single" w:sz="4" w:space="0" w:color="000000"/>
              <w:right w:val="single" w:sz="4" w:space="0" w:color="000000"/>
            </w:tcBorders>
          </w:tcPr>
          <w:p>
            <w:pPr/>
          </w:p>
        </w:tc>
        <w:tc>
          <w:tcPr>
            <w:tcW w:w="2275" w:type="dxa"/>
            <w:tcBorders>
              <w:top w:val="single" w:sz="4" w:space="0" w:color="000000"/>
              <w:left w:val="single" w:sz="4" w:space="0" w:color="000000"/>
              <w:bottom w:val="single" w:sz="4" w:space="0" w:color="000000"/>
            </w:tcBorders>
          </w:tcPr>
          <w:p>
            <w:pPr/>
          </w:p>
        </w:tc>
      </w:tr>
      <w:tr>
        <w:trPr>
          <w:trHeight w:val="392" w:hRule="exact"/>
        </w:trPr>
        <w:tc>
          <w:tcPr>
            <w:tcW w:w="2500" w:type="dxa"/>
            <w:tcBorders>
              <w:top w:val="single" w:sz="4" w:space="0" w:color="000000"/>
              <w:right w:val="single" w:sz="4" w:space="0" w:color="000000"/>
            </w:tcBorders>
          </w:tcPr>
          <w:p>
            <w:pPr>
              <w:pStyle w:val="TableParagraph"/>
              <w:spacing w:before="95"/>
              <w:ind w:right="422"/>
              <w:jc w:val="right"/>
              <w:rPr>
                <w:i/>
                <w:sz w:val="20"/>
              </w:rPr>
            </w:pPr>
            <w:r>
              <w:rPr>
                <w:i/>
                <w:color w:val="FF0000"/>
                <w:sz w:val="20"/>
              </w:rPr>
              <w:t>Test concentration n</w:t>
            </w:r>
          </w:p>
        </w:tc>
        <w:tc>
          <w:tcPr>
            <w:tcW w:w="2274" w:type="dxa"/>
            <w:tcBorders>
              <w:top w:val="single" w:sz="4" w:space="0" w:color="000000"/>
              <w:left w:val="single" w:sz="4" w:space="0" w:color="000000"/>
              <w:right w:val="single" w:sz="4" w:space="0" w:color="000000"/>
            </w:tcBorders>
          </w:tcPr>
          <w:p>
            <w:pPr/>
          </w:p>
        </w:tc>
        <w:tc>
          <w:tcPr>
            <w:tcW w:w="2275" w:type="dxa"/>
            <w:tcBorders>
              <w:top w:val="single" w:sz="4" w:space="0" w:color="000000"/>
              <w:left w:val="single" w:sz="4" w:space="0" w:color="000000"/>
              <w:right w:val="single" w:sz="4" w:space="0" w:color="000000"/>
            </w:tcBorders>
          </w:tcPr>
          <w:p>
            <w:pPr/>
          </w:p>
        </w:tc>
        <w:tc>
          <w:tcPr>
            <w:tcW w:w="2275" w:type="dxa"/>
            <w:tcBorders>
              <w:top w:val="single" w:sz="4" w:space="0" w:color="000000"/>
              <w:left w:val="single" w:sz="4" w:space="0" w:color="000000"/>
            </w:tcBorders>
          </w:tcPr>
          <w:p>
            <w:pPr/>
          </w:p>
        </w:tc>
      </w:tr>
      <w:tr>
        <w:trPr>
          <w:trHeight w:val="707" w:hRule="exact"/>
        </w:trPr>
        <w:tc>
          <w:tcPr>
            <w:tcW w:w="2500" w:type="dxa"/>
            <w:tcBorders>
              <w:right w:val="single" w:sz="4" w:space="0" w:color="000000"/>
            </w:tcBorders>
          </w:tcPr>
          <w:p>
            <w:pPr>
              <w:pStyle w:val="TableParagraph"/>
              <w:spacing w:before="95"/>
              <w:ind w:left="65"/>
              <w:rPr>
                <w:sz w:val="13"/>
              </w:rPr>
            </w:pPr>
            <w:r>
              <w:rPr>
                <w:sz w:val="20"/>
              </w:rPr>
              <w:t>EC</w:t>
            </w:r>
            <w:r>
              <w:rPr>
                <w:position w:val="-1"/>
                <w:sz w:val="13"/>
              </w:rPr>
              <w:t>50</w:t>
            </w:r>
          </w:p>
          <w:p>
            <w:pPr>
              <w:pStyle w:val="TableParagraph"/>
              <w:spacing w:before="92"/>
              <w:ind w:left="65"/>
              <w:rPr>
                <w:i/>
                <w:sz w:val="18"/>
              </w:rPr>
            </w:pPr>
            <w:r>
              <w:rPr>
                <w:i/>
                <w:color w:val="FF0000"/>
                <w:sz w:val="18"/>
              </w:rPr>
              <w:t>[insert [</w:t>
            </w:r>
            <w:r>
              <w:rPr>
                <w:b/>
                <w:color w:val="FF0000"/>
                <w:sz w:val="18"/>
              </w:rPr>
              <w:t>&gt;</w:t>
            </w:r>
            <w:r>
              <w:rPr>
                <w:i/>
                <w:color w:val="FF0000"/>
                <w:sz w:val="18"/>
              </w:rPr>
              <w:t>] if greater than]</w:t>
            </w:r>
          </w:p>
        </w:tc>
        <w:tc>
          <w:tcPr>
            <w:tcW w:w="2274" w:type="dxa"/>
            <w:tcBorders>
              <w:left w:val="single" w:sz="4" w:space="0" w:color="000000"/>
              <w:right w:val="single" w:sz="4" w:space="0" w:color="000000"/>
            </w:tcBorders>
          </w:tcPr>
          <w:p>
            <w:pPr/>
          </w:p>
        </w:tc>
        <w:tc>
          <w:tcPr>
            <w:tcW w:w="2275" w:type="dxa"/>
            <w:tcBorders>
              <w:left w:val="single" w:sz="4" w:space="0" w:color="000000"/>
              <w:right w:val="single" w:sz="4" w:space="0" w:color="000000"/>
            </w:tcBorders>
          </w:tcPr>
          <w:p>
            <w:pPr/>
          </w:p>
        </w:tc>
        <w:tc>
          <w:tcPr>
            <w:tcW w:w="2275" w:type="dxa"/>
            <w:tcBorders>
              <w:left w:val="single" w:sz="4" w:space="0" w:color="000000"/>
            </w:tcBorders>
          </w:tcPr>
          <w:p>
            <w:pPr/>
          </w:p>
        </w:tc>
      </w:tr>
      <w:tr>
        <w:trPr>
          <w:trHeight w:val="707" w:hRule="exact"/>
        </w:trPr>
        <w:tc>
          <w:tcPr>
            <w:tcW w:w="2500" w:type="dxa"/>
            <w:tcBorders>
              <w:right w:val="single" w:sz="4" w:space="0" w:color="000000"/>
            </w:tcBorders>
          </w:tcPr>
          <w:p>
            <w:pPr>
              <w:pStyle w:val="TableParagraph"/>
              <w:spacing w:before="95"/>
              <w:ind w:left="65"/>
              <w:rPr>
                <w:sz w:val="20"/>
              </w:rPr>
            </w:pPr>
            <w:r>
              <w:rPr>
                <w:sz w:val="20"/>
              </w:rPr>
              <w:t>NOEC</w:t>
            </w:r>
          </w:p>
          <w:p>
            <w:pPr>
              <w:pStyle w:val="TableParagraph"/>
              <w:spacing w:before="97"/>
              <w:ind w:left="65"/>
              <w:rPr>
                <w:i/>
                <w:sz w:val="18"/>
              </w:rPr>
            </w:pPr>
            <w:r>
              <w:rPr>
                <w:i/>
                <w:color w:val="FF0000"/>
                <w:sz w:val="18"/>
              </w:rPr>
              <w:t>[insert [</w:t>
            </w:r>
            <w:r>
              <w:rPr>
                <w:b/>
                <w:color w:val="FF0000"/>
                <w:sz w:val="18"/>
              </w:rPr>
              <w:t>&gt;</w:t>
            </w:r>
            <w:r>
              <w:rPr>
                <w:i/>
                <w:color w:val="FF0000"/>
                <w:sz w:val="18"/>
              </w:rPr>
              <w:t>] if greater than]</w:t>
            </w:r>
          </w:p>
        </w:tc>
        <w:tc>
          <w:tcPr>
            <w:tcW w:w="2274" w:type="dxa"/>
            <w:tcBorders>
              <w:left w:val="single" w:sz="4" w:space="0" w:color="000000"/>
              <w:right w:val="single" w:sz="4" w:space="0" w:color="000000"/>
            </w:tcBorders>
          </w:tcPr>
          <w:p>
            <w:pPr/>
          </w:p>
        </w:tc>
        <w:tc>
          <w:tcPr>
            <w:tcW w:w="2275" w:type="dxa"/>
            <w:tcBorders>
              <w:left w:val="single" w:sz="4" w:space="0" w:color="000000"/>
              <w:right w:val="single" w:sz="4" w:space="0" w:color="000000"/>
            </w:tcBorders>
          </w:tcPr>
          <w:p>
            <w:pPr/>
          </w:p>
        </w:tc>
        <w:tc>
          <w:tcPr>
            <w:tcW w:w="2275" w:type="dxa"/>
            <w:tcBorders>
              <w:left w:val="single" w:sz="4" w:space="0" w:color="000000"/>
            </w:tcBorders>
          </w:tcPr>
          <w:p>
            <w:pPr/>
          </w:p>
        </w:tc>
      </w:tr>
      <w:tr>
        <w:trPr>
          <w:trHeight w:val="708" w:hRule="exact"/>
        </w:trPr>
        <w:tc>
          <w:tcPr>
            <w:tcW w:w="2500" w:type="dxa"/>
            <w:tcBorders>
              <w:right w:val="single" w:sz="4" w:space="0" w:color="000000"/>
            </w:tcBorders>
          </w:tcPr>
          <w:p>
            <w:pPr>
              <w:pStyle w:val="TableParagraph"/>
              <w:spacing w:before="95"/>
              <w:ind w:left="65"/>
              <w:rPr>
                <w:sz w:val="20"/>
              </w:rPr>
            </w:pPr>
            <w:r>
              <w:rPr>
                <w:sz w:val="20"/>
              </w:rPr>
              <w:t>LOEC</w:t>
            </w:r>
          </w:p>
          <w:p>
            <w:pPr>
              <w:pStyle w:val="TableParagraph"/>
              <w:spacing w:before="97"/>
              <w:ind w:left="65"/>
              <w:rPr>
                <w:i/>
                <w:sz w:val="18"/>
              </w:rPr>
            </w:pPr>
            <w:r>
              <w:rPr>
                <w:i/>
                <w:color w:val="FF0000"/>
                <w:sz w:val="18"/>
              </w:rPr>
              <w:t>[insert [</w:t>
            </w:r>
            <w:r>
              <w:rPr>
                <w:b/>
                <w:color w:val="FF0000"/>
                <w:sz w:val="18"/>
              </w:rPr>
              <w:t>&gt;</w:t>
            </w:r>
            <w:r>
              <w:rPr>
                <w:i/>
                <w:color w:val="FF0000"/>
                <w:sz w:val="18"/>
              </w:rPr>
              <w:t>] if greater than]</w:t>
            </w:r>
          </w:p>
        </w:tc>
        <w:tc>
          <w:tcPr>
            <w:tcW w:w="2274" w:type="dxa"/>
            <w:tcBorders>
              <w:left w:val="single" w:sz="4" w:space="0" w:color="000000"/>
              <w:right w:val="single" w:sz="4" w:space="0" w:color="000000"/>
            </w:tcBorders>
          </w:tcPr>
          <w:p>
            <w:pPr/>
          </w:p>
        </w:tc>
        <w:tc>
          <w:tcPr>
            <w:tcW w:w="2275" w:type="dxa"/>
            <w:tcBorders>
              <w:left w:val="single" w:sz="4" w:space="0" w:color="000000"/>
              <w:right w:val="single" w:sz="4" w:space="0" w:color="000000"/>
            </w:tcBorders>
          </w:tcPr>
          <w:p>
            <w:pPr/>
          </w:p>
        </w:tc>
        <w:tc>
          <w:tcPr>
            <w:tcW w:w="2275" w:type="dxa"/>
            <w:tcBorders>
              <w:left w:val="single" w:sz="4" w:space="0" w:color="000000"/>
            </w:tcBorders>
          </w:tcPr>
          <w:p>
            <w:pPr/>
          </w:p>
        </w:tc>
      </w:tr>
    </w:tbl>
    <w:p>
      <w:pPr>
        <w:spacing w:after="0"/>
        <w:sectPr>
          <w:pgSz w:w="12240" w:h="15840"/>
          <w:pgMar w:header="729" w:footer="1084" w:top="1940" w:bottom="1280" w:left="940" w:right="940"/>
        </w:sectPr>
      </w:pPr>
    </w:p>
    <w:p>
      <w:pPr>
        <w:pStyle w:val="BodyText"/>
        <w:spacing w:before="11"/>
        <w:rPr>
          <w:i w:val="0"/>
          <w:sz w:val="15"/>
        </w:rPr>
      </w:pPr>
    </w:p>
    <w:tbl>
      <w:tblPr>
        <w:tblW w:w="0" w:type="auto"/>
        <w:jc w:val="left"/>
        <w:tblInd w:w="50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2500"/>
        <w:gridCol w:w="2274"/>
        <w:gridCol w:w="2275"/>
        <w:gridCol w:w="2275"/>
      </w:tblGrid>
      <w:tr>
        <w:trPr>
          <w:trHeight w:val="392" w:hRule="exact"/>
        </w:trPr>
        <w:tc>
          <w:tcPr>
            <w:tcW w:w="2500" w:type="dxa"/>
            <w:vMerge w:val="restart"/>
            <w:tcBorders>
              <w:right w:val="single" w:sz="4" w:space="0" w:color="000000"/>
            </w:tcBorders>
          </w:tcPr>
          <w:p>
            <w:pPr>
              <w:pStyle w:val="TableParagraph"/>
              <w:spacing w:before="8"/>
              <w:rPr>
                <w:sz w:val="31"/>
              </w:rPr>
            </w:pPr>
          </w:p>
          <w:p>
            <w:pPr>
              <w:pStyle w:val="TableParagraph"/>
              <w:spacing w:before="1"/>
              <w:ind w:left="617" w:right="530" w:hanging="81"/>
              <w:rPr>
                <w:b/>
                <w:sz w:val="20"/>
              </w:rPr>
            </w:pPr>
            <w:r>
              <w:rPr>
                <w:b/>
                <w:sz w:val="20"/>
              </w:rPr>
              <w:t>Mean Measured Concentration</w:t>
            </w:r>
          </w:p>
        </w:tc>
        <w:tc>
          <w:tcPr>
            <w:tcW w:w="6824" w:type="dxa"/>
            <w:gridSpan w:val="3"/>
            <w:tcBorders>
              <w:left w:val="single" w:sz="4" w:space="0" w:color="000000"/>
              <w:bottom w:val="single" w:sz="4" w:space="0" w:color="000000"/>
            </w:tcBorders>
          </w:tcPr>
          <w:p>
            <w:pPr>
              <w:pStyle w:val="TableParagraph"/>
              <w:spacing w:before="97"/>
              <w:ind w:left="2550" w:right="2542"/>
              <w:jc w:val="center"/>
              <w:rPr>
                <w:b/>
                <w:sz w:val="20"/>
              </w:rPr>
            </w:pPr>
            <w:r>
              <w:rPr>
                <w:b/>
                <w:sz w:val="20"/>
              </w:rPr>
              <w:t>Observation Period</w:t>
            </w:r>
          </w:p>
        </w:tc>
      </w:tr>
      <w:tr>
        <w:trPr>
          <w:trHeight w:val="382" w:hRule="exact"/>
        </w:trPr>
        <w:tc>
          <w:tcPr>
            <w:tcW w:w="2500" w:type="dxa"/>
            <w:vMerge/>
            <w:tcBorders>
              <w:right w:val="single" w:sz="4" w:space="0" w:color="000000"/>
            </w:tcBorders>
          </w:tcPr>
          <w:p>
            <w:pPr/>
          </w:p>
        </w:tc>
        <w:tc>
          <w:tcPr>
            <w:tcW w:w="2274" w:type="dxa"/>
            <w:tcBorders>
              <w:top w:val="single" w:sz="4" w:space="0" w:color="000000"/>
              <w:left w:val="single" w:sz="4" w:space="0" w:color="000000"/>
              <w:bottom w:val="single" w:sz="4" w:space="0" w:color="000000"/>
              <w:right w:val="single" w:sz="4" w:space="0" w:color="000000"/>
            </w:tcBorders>
          </w:tcPr>
          <w:p>
            <w:pPr>
              <w:pStyle w:val="TableParagraph"/>
              <w:spacing w:before="96"/>
              <w:ind w:left="251" w:right="251"/>
              <w:jc w:val="center"/>
              <w:rPr>
                <w:b/>
                <w:i/>
                <w:sz w:val="20"/>
              </w:rPr>
            </w:pPr>
            <w:r>
              <w:rPr>
                <w:b/>
                <w:i/>
                <w:color w:val="FF0000"/>
                <w:sz w:val="20"/>
              </w:rPr>
              <w:t>endpoint 1 </w:t>
            </w:r>
            <w:r>
              <w:rPr>
                <w:b/>
                <w:sz w:val="20"/>
              </w:rPr>
              <w:t>at </w:t>
            </w:r>
            <w:r>
              <w:rPr>
                <w:b/>
                <w:i/>
                <w:color w:val="FF0000"/>
                <w:sz w:val="20"/>
              </w:rPr>
              <w:t>Day x1</w:t>
            </w:r>
          </w:p>
        </w:tc>
        <w:tc>
          <w:tcPr>
            <w:tcW w:w="2275" w:type="dxa"/>
            <w:tcBorders>
              <w:top w:val="single" w:sz="4" w:space="0" w:color="000000"/>
              <w:left w:val="single" w:sz="4" w:space="0" w:color="000000"/>
              <w:bottom w:val="single" w:sz="4" w:space="0" w:color="000000"/>
              <w:right w:val="single" w:sz="4" w:space="0" w:color="000000"/>
            </w:tcBorders>
          </w:tcPr>
          <w:p>
            <w:pPr>
              <w:pStyle w:val="TableParagraph"/>
              <w:spacing w:before="96"/>
              <w:ind w:left="252" w:right="251"/>
              <w:jc w:val="center"/>
              <w:rPr>
                <w:b/>
                <w:i/>
                <w:sz w:val="20"/>
              </w:rPr>
            </w:pPr>
            <w:r>
              <w:rPr>
                <w:b/>
                <w:i/>
                <w:color w:val="FF0000"/>
                <w:sz w:val="20"/>
              </w:rPr>
              <w:t>endpoint 2 </w:t>
            </w:r>
            <w:r>
              <w:rPr>
                <w:b/>
                <w:sz w:val="20"/>
              </w:rPr>
              <w:t>at </w:t>
            </w:r>
            <w:r>
              <w:rPr>
                <w:b/>
                <w:i/>
                <w:color w:val="FF0000"/>
                <w:sz w:val="20"/>
              </w:rPr>
              <w:t>Day x2</w:t>
            </w:r>
          </w:p>
        </w:tc>
        <w:tc>
          <w:tcPr>
            <w:tcW w:w="2275" w:type="dxa"/>
            <w:tcBorders>
              <w:top w:val="single" w:sz="4" w:space="0" w:color="000000"/>
              <w:left w:val="single" w:sz="4" w:space="0" w:color="000000"/>
              <w:bottom w:val="single" w:sz="4" w:space="0" w:color="000000"/>
            </w:tcBorders>
          </w:tcPr>
          <w:p>
            <w:pPr>
              <w:pStyle w:val="TableParagraph"/>
              <w:spacing w:before="96"/>
              <w:ind w:left="216" w:right="205"/>
              <w:jc w:val="center"/>
              <w:rPr>
                <w:b/>
                <w:i/>
                <w:sz w:val="20"/>
              </w:rPr>
            </w:pPr>
            <w:r>
              <w:rPr>
                <w:b/>
                <w:i/>
                <w:color w:val="FF0000"/>
                <w:sz w:val="20"/>
              </w:rPr>
              <w:t>endpoint n </w:t>
            </w:r>
            <w:r>
              <w:rPr>
                <w:b/>
                <w:sz w:val="20"/>
              </w:rPr>
              <w:t>at </w:t>
            </w:r>
            <w:r>
              <w:rPr>
                <w:b/>
                <w:i/>
                <w:color w:val="FF0000"/>
                <w:sz w:val="20"/>
              </w:rPr>
              <w:t>Day x n</w:t>
            </w:r>
          </w:p>
        </w:tc>
      </w:tr>
      <w:tr>
        <w:trPr>
          <w:trHeight w:val="392" w:hRule="exact"/>
        </w:trPr>
        <w:tc>
          <w:tcPr>
            <w:tcW w:w="2500" w:type="dxa"/>
            <w:vMerge/>
            <w:tcBorders>
              <w:right w:val="single" w:sz="4" w:space="0" w:color="000000"/>
            </w:tcBorders>
          </w:tcPr>
          <w:p>
            <w:pPr/>
          </w:p>
        </w:tc>
        <w:tc>
          <w:tcPr>
            <w:tcW w:w="2274" w:type="dxa"/>
            <w:tcBorders>
              <w:top w:val="single" w:sz="4" w:space="0" w:color="000000"/>
              <w:left w:val="single" w:sz="4" w:space="0" w:color="000000"/>
              <w:right w:val="single" w:sz="4" w:space="0" w:color="000000"/>
            </w:tcBorders>
          </w:tcPr>
          <w:p>
            <w:pPr>
              <w:pStyle w:val="TableParagraph"/>
              <w:spacing w:before="97"/>
              <w:ind w:left="251" w:right="251"/>
              <w:jc w:val="center"/>
              <w:rPr>
                <w:b/>
                <w:sz w:val="20"/>
              </w:rPr>
            </w:pPr>
            <w:r>
              <w:rPr>
                <w:b/>
                <w:sz w:val="20"/>
              </w:rPr>
              <w:t>% Affected</w:t>
            </w:r>
          </w:p>
        </w:tc>
        <w:tc>
          <w:tcPr>
            <w:tcW w:w="2275" w:type="dxa"/>
            <w:tcBorders>
              <w:top w:val="single" w:sz="4" w:space="0" w:color="000000"/>
              <w:left w:val="single" w:sz="4" w:space="0" w:color="000000"/>
              <w:right w:val="single" w:sz="4" w:space="0" w:color="000000"/>
            </w:tcBorders>
          </w:tcPr>
          <w:p>
            <w:pPr>
              <w:pStyle w:val="TableParagraph"/>
              <w:spacing w:before="97"/>
              <w:ind w:left="251" w:right="251"/>
              <w:jc w:val="center"/>
              <w:rPr>
                <w:b/>
                <w:sz w:val="20"/>
              </w:rPr>
            </w:pPr>
            <w:r>
              <w:rPr>
                <w:b/>
                <w:sz w:val="20"/>
              </w:rPr>
              <w:t>% Affected</w:t>
            </w:r>
          </w:p>
        </w:tc>
        <w:tc>
          <w:tcPr>
            <w:tcW w:w="2275" w:type="dxa"/>
            <w:tcBorders>
              <w:top w:val="single" w:sz="4" w:space="0" w:color="000000"/>
              <w:left w:val="single" w:sz="4" w:space="0" w:color="000000"/>
            </w:tcBorders>
          </w:tcPr>
          <w:p>
            <w:pPr>
              <w:pStyle w:val="TableParagraph"/>
              <w:spacing w:before="97"/>
              <w:ind w:left="215" w:right="205"/>
              <w:jc w:val="center"/>
              <w:rPr>
                <w:b/>
                <w:sz w:val="20"/>
              </w:rPr>
            </w:pPr>
            <w:r>
              <w:rPr>
                <w:b/>
                <w:sz w:val="20"/>
              </w:rPr>
              <w:t>% Affected</w:t>
            </w:r>
          </w:p>
        </w:tc>
      </w:tr>
      <w:tr>
        <w:trPr>
          <w:trHeight w:val="1344" w:hRule="exact"/>
        </w:trPr>
        <w:tc>
          <w:tcPr>
            <w:tcW w:w="2500" w:type="dxa"/>
            <w:tcBorders>
              <w:right w:val="single" w:sz="4" w:space="0" w:color="000000"/>
            </w:tcBorders>
          </w:tcPr>
          <w:p>
            <w:pPr>
              <w:pStyle w:val="TableParagraph"/>
              <w:spacing w:before="96"/>
              <w:ind w:left="65"/>
              <w:rPr>
                <w:sz w:val="20"/>
              </w:rPr>
            </w:pPr>
            <w:r>
              <w:rPr>
                <w:sz w:val="20"/>
              </w:rPr>
              <w:t>Positive control, if used</w:t>
            </w:r>
          </w:p>
          <w:p>
            <w:pPr>
              <w:pStyle w:val="TableParagraph"/>
              <w:spacing w:before="9"/>
              <w:rPr>
                <w:sz w:val="19"/>
              </w:rPr>
            </w:pPr>
          </w:p>
          <w:p>
            <w:pPr>
              <w:pStyle w:val="TableParagraph"/>
              <w:ind w:left="65" w:right="896"/>
              <w:rPr>
                <w:sz w:val="20"/>
              </w:rPr>
            </w:pPr>
            <w:r>
              <w:rPr>
                <w:sz w:val="20"/>
              </w:rPr>
              <w:t>% sublethal effect: EC</w:t>
            </w:r>
            <w:r>
              <w:rPr>
                <w:position w:val="-1"/>
                <w:sz w:val="13"/>
              </w:rPr>
              <w:t>50</w:t>
            </w:r>
            <w:r>
              <w:rPr>
                <w:sz w:val="20"/>
              </w:rPr>
              <w:t>:</w:t>
            </w:r>
          </w:p>
          <w:p>
            <w:pPr>
              <w:pStyle w:val="TableParagraph"/>
              <w:spacing w:before="36"/>
              <w:ind w:left="65"/>
              <w:rPr>
                <w:i/>
                <w:sz w:val="18"/>
              </w:rPr>
            </w:pPr>
            <w:r>
              <w:rPr>
                <w:i/>
                <w:color w:val="FF0000"/>
                <w:sz w:val="18"/>
              </w:rPr>
              <w:t>[insert [</w:t>
            </w:r>
            <w:r>
              <w:rPr>
                <w:b/>
                <w:color w:val="FF0000"/>
                <w:sz w:val="18"/>
              </w:rPr>
              <w:t>&gt;</w:t>
            </w:r>
            <w:r>
              <w:rPr>
                <w:i/>
                <w:color w:val="FF0000"/>
                <w:sz w:val="18"/>
              </w:rPr>
              <w:t>] if greater than]</w:t>
            </w:r>
          </w:p>
        </w:tc>
        <w:tc>
          <w:tcPr>
            <w:tcW w:w="2274" w:type="dxa"/>
            <w:tcBorders>
              <w:left w:val="single" w:sz="4" w:space="0" w:color="000000"/>
              <w:right w:val="single" w:sz="4" w:space="0" w:color="000000"/>
            </w:tcBorders>
          </w:tcPr>
          <w:p>
            <w:pPr/>
          </w:p>
        </w:tc>
        <w:tc>
          <w:tcPr>
            <w:tcW w:w="2275" w:type="dxa"/>
            <w:tcBorders>
              <w:left w:val="single" w:sz="4" w:space="0" w:color="000000"/>
              <w:right w:val="single" w:sz="4" w:space="0" w:color="000000"/>
            </w:tcBorders>
          </w:tcPr>
          <w:p>
            <w:pPr/>
          </w:p>
        </w:tc>
        <w:tc>
          <w:tcPr>
            <w:tcW w:w="2275" w:type="dxa"/>
            <w:tcBorders>
              <w:left w:val="single" w:sz="4" w:space="0" w:color="000000"/>
            </w:tcBorders>
          </w:tcPr>
          <w:p>
            <w:pPr/>
          </w:p>
        </w:tc>
      </w:tr>
    </w:tbl>
    <w:p>
      <w:pPr>
        <w:pStyle w:val="Heading6"/>
        <w:ind w:firstLine="50"/>
      </w:pPr>
      <w:r>
        <w:rPr>
          <w:i/>
          <w:color w:val="FF0000"/>
        </w:rPr>
        <w:t>[Table suitable for microbial infectivity/pathogenicity and toxicity (maximum hazard dose) testing. Modify as appropriate to </w:t>
      </w:r>
      <w:r>
        <w:rPr>
          <w:color w:val="FF0000"/>
        </w:rPr>
        <w:t>accommodate differences in experimental design or delete if acute toxicity test is used.]</w:t>
      </w:r>
    </w:p>
    <w:p>
      <w:pPr>
        <w:spacing w:line="228" w:lineRule="exact" w:before="0"/>
        <w:ind w:left="140" w:right="0" w:firstLine="0"/>
        <w:jc w:val="left"/>
        <w:rPr>
          <w:i/>
          <w:sz w:val="20"/>
        </w:rPr>
      </w:pPr>
      <w:r>
        <w:rPr>
          <w:i/>
          <w:color w:val="FF0000"/>
          <w:sz w:val="20"/>
        </w:rPr>
        <w:t>[</w:t>
      </w:r>
      <w:r>
        <w:rPr>
          <w:i/>
          <w:color w:val="FF0000"/>
          <w:position w:val="7"/>
          <w:sz w:val="13"/>
        </w:rPr>
        <w:t>a </w:t>
      </w:r>
      <w:r>
        <w:rPr>
          <w:i/>
          <w:color w:val="FF0000"/>
          <w:sz w:val="20"/>
        </w:rPr>
        <w:t>Use superscript and footnote to indicate values that are statistically significantly different from control.]</w:t>
      </w:r>
    </w:p>
    <w:p>
      <w:pPr>
        <w:pStyle w:val="BodyText"/>
        <w:rPr>
          <w:i/>
          <w:sz w:val="22"/>
        </w:rPr>
      </w:pPr>
    </w:p>
    <w:p>
      <w:pPr>
        <w:pStyle w:val="ListParagraph"/>
        <w:numPr>
          <w:ilvl w:val="0"/>
          <w:numId w:val="3"/>
        </w:numPr>
        <w:tabs>
          <w:tab w:pos="859" w:val="left" w:leader="none"/>
          <w:tab w:pos="861" w:val="left" w:leader="none"/>
          <w:tab w:pos="3739" w:val="left" w:leader="none"/>
        </w:tabs>
        <w:spacing w:line="240" w:lineRule="auto" w:before="0" w:after="0"/>
        <w:ind w:left="860" w:right="160" w:hanging="720"/>
        <w:jc w:val="left"/>
        <w:rPr>
          <w:i/>
          <w:sz w:val="22"/>
          <w:u w:val="none"/>
        </w:rPr>
      </w:pPr>
      <w:r>
        <w:rPr>
          <w:b/>
          <w:sz w:val="22"/>
          <w:u w:val="thick"/>
        </w:rPr>
        <w:t>REPORTED</w:t>
      </w:r>
      <w:r>
        <w:rPr>
          <w:b/>
          <w:spacing w:val="-3"/>
          <w:sz w:val="22"/>
          <w:u w:val="thick"/>
        </w:rPr>
        <w:t> </w:t>
      </w:r>
      <w:r>
        <w:rPr>
          <w:b/>
          <w:sz w:val="22"/>
          <w:u w:val="thick"/>
        </w:rPr>
        <w:t>STATISTICS</w:t>
      </w:r>
      <w:r>
        <w:rPr>
          <w:b/>
          <w:sz w:val="22"/>
          <w:u w:val="none"/>
        </w:rPr>
        <w:t>:</w:t>
        <w:tab/>
      </w:r>
      <w:r>
        <w:rPr>
          <w:i/>
          <w:color w:val="FF0000"/>
          <w:sz w:val="22"/>
          <w:u w:val="none"/>
        </w:rPr>
        <w:t>[List the parameters that were analyzed and the statistical tests</w:t>
      </w:r>
      <w:r>
        <w:rPr>
          <w:i/>
          <w:color w:val="FF0000"/>
          <w:spacing w:val="-35"/>
          <w:sz w:val="22"/>
          <w:u w:val="none"/>
        </w:rPr>
        <w:t> </w:t>
      </w:r>
      <w:r>
        <w:rPr>
          <w:i/>
          <w:color w:val="FF0000"/>
          <w:sz w:val="22"/>
          <w:u w:val="none"/>
        </w:rPr>
        <w:t>that</w:t>
      </w:r>
      <w:r>
        <w:rPr>
          <w:i/>
          <w:color w:val="FF0000"/>
          <w:spacing w:val="-4"/>
          <w:sz w:val="22"/>
          <w:u w:val="none"/>
        </w:rPr>
        <w:t> </w:t>
      </w:r>
      <w:r>
        <w:rPr>
          <w:i/>
          <w:color w:val="FF0000"/>
          <w:sz w:val="22"/>
          <w:u w:val="none"/>
        </w:rPr>
        <w:t>were</w:t>
      </w:r>
      <w:r>
        <w:rPr>
          <w:i/>
          <w:color w:val="FF0000"/>
          <w:spacing w:val="-1"/>
          <w:w w:val="99"/>
          <w:sz w:val="22"/>
          <w:u w:val="none"/>
        </w:rPr>
        <w:t> </w:t>
      </w:r>
      <w:r>
        <w:rPr>
          <w:i/>
          <w:color w:val="FF0000"/>
          <w:sz w:val="22"/>
          <w:u w:val="none"/>
        </w:rPr>
        <w:t>performed.]</w:t>
      </w:r>
    </w:p>
    <w:p>
      <w:pPr>
        <w:pStyle w:val="BodyText"/>
        <w:rPr>
          <w:i/>
          <w:sz w:val="24"/>
        </w:rPr>
      </w:pPr>
    </w:p>
    <w:p>
      <w:pPr>
        <w:pStyle w:val="BodyText"/>
        <w:spacing w:line="237" w:lineRule="auto" w:before="159"/>
        <w:ind w:left="859" w:right="122"/>
      </w:pPr>
      <w:r>
        <w:rPr>
          <w:b/>
          <w:i/>
          <w:color w:val="0070C0"/>
        </w:rPr>
        <w:t>U.S. EPA OCSPP 885.4240 </w:t>
      </w:r>
      <w:r>
        <w:rPr>
          <w:i/>
          <w:color w:val="0070C0"/>
        </w:rPr>
        <w:t>Satisfactory data must establish whether or not the test substance is pathogenic to the test organisms during a </w:t>
      </w:r>
      <w:r>
        <w:rPr>
          <w:color w:val="0070C0"/>
        </w:rPr>
        <w:t>sufficiently long period of exposure and observation, or the test must establish a definitive LC</w:t>
      </w:r>
      <w:r>
        <w:rPr>
          <w:color w:val="0070C0"/>
          <w:position w:val="-1"/>
          <w:sz w:val="10"/>
        </w:rPr>
        <w:t>50 </w:t>
      </w:r>
      <w:r>
        <w:rPr>
          <w:color w:val="0070C0"/>
        </w:rPr>
        <w:t>value with 95% confidence intervals or that the LC</w:t>
      </w:r>
      <w:r>
        <w:rPr>
          <w:color w:val="0070C0"/>
          <w:position w:val="-1"/>
          <w:sz w:val="10"/>
        </w:rPr>
        <w:t>50 </w:t>
      </w:r>
      <w:r>
        <w:rPr>
          <w:color w:val="0070C0"/>
        </w:rPr>
        <w:t>is greater than the highest dose. </w:t>
      </w:r>
      <w:r>
        <w:rPr>
          <w:b/>
          <w:i/>
          <w:color w:val="0070C0"/>
        </w:rPr>
        <w:t>U.S. OCSPP 885.0001 Overview for microbial pest control agents (MPCA)</w:t>
      </w:r>
      <w:r>
        <w:rPr>
          <w:i/>
          <w:color w:val="0070C0"/>
        </w:rPr>
        <w:t>- Appropriate statistical </w:t>
      </w:r>
      <w:r>
        <w:rPr>
          <w:color w:val="0070C0"/>
        </w:rPr>
        <w:t>analyses shall reflect the current state-of-the art. All data averages or means must be accompanied by standard deviation and the standard errors of the means should also be calculated; however, notations of statistically significant differences accompanied by the confidence level or probability should also be used in place of standard error determinations. Other methods of expressing data dispersion may also be used when appropriate.</w:t>
      </w:r>
    </w:p>
    <w:p>
      <w:pPr>
        <w:pStyle w:val="BodyText"/>
        <w:ind w:left="859" w:right="306"/>
      </w:pPr>
      <w:r>
        <w:rPr>
          <w:b/>
          <w:i/>
          <w:color w:val="0070C0"/>
        </w:rPr>
        <w:t>PMRA DIR 2001-02 </w:t>
      </w:r>
      <w:r>
        <w:rPr>
          <w:i/>
          <w:color w:val="0070C0"/>
        </w:rPr>
        <w:t>All relevant analyses of results must be provided. May attach a copy of the statistical methods from the study with a </w:t>
      </w:r>
      <w:r>
        <w:rPr>
          <w:color w:val="0070C0"/>
        </w:rPr>
        <w:t>statement that the reviewer has no objections to the analyses used</w:t>
      </w:r>
    </w:p>
    <w:p>
      <w:pPr>
        <w:pStyle w:val="BodyText"/>
        <w:spacing w:line="183" w:lineRule="exact"/>
        <w:ind w:left="2299"/>
        <w:rPr>
          <w:i/>
        </w:rPr>
      </w:pPr>
      <w:r>
        <w:rPr>
          <w:b/>
          <w:i/>
          <w:color w:val="0070C0"/>
        </w:rPr>
        <w:t>-</w:t>
      </w:r>
      <w:r>
        <w:rPr>
          <w:i/>
          <w:color w:val="0070C0"/>
          <w:u w:val="single" w:color="0070C0"/>
        </w:rPr>
        <w:t>Pelagic Aquatic Arthropods:</w:t>
      </w:r>
    </w:p>
    <w:p>
      <w:pPr>
        <w:pStyle w:val="BodyText"/>
        <w:spacing w:line="235" w:lineRule="auto" w:before="3"/>
        <w:ind w:left="859" w:right="162" w:hanging="1"/>
      </w:pPr>
      <w:r>
        <w:rPr>
          <w:b/>
          <w:i/>
          <w:color w:val="0070C0"/>
        </w:rPr>
        <w:t>Environment Canada EPS 1/RM/44 </w:t>
      </w:r>
      <w:r>
        <w:rPr>
          <w:i/>
          <w:color w:val="0070C0"/>
          <w:u w:val="single" w:color="0070C0"/>
        </w:rPr>
        <w:t>Daphnids</w:t>
      </w:r>
      <w:r>
        <w:rPr>
          <w:i/>
          <w:color w:val="0070C0"/>
        </w:rPr>
        <w:t>: Single concentration test: percent survival of parental daphnids in each treatment at test end; </w:t>
      </w:r>
      <w:r>
        <w:rPr>
          <w:color w:val="0070C0"/>
        </w:rPr>
        <w:t>mean (±SD) no. young/parental daphnid, for each treatment. Multiple concentration test: percent survival of parental daphnids in each treatment at test end; mean (±SD) no. live young produced per parental daphnid, for each treatment; data permitting–21-day LC</w:t>
      </w:r>
      <w:r>
        <w:rPr>
          <w:color w:val="0070C0"/>
          <w:position w:val="-1"/>
          <w:sz w:val="10"/>
        </w:rPr>
        <w:t>50 </w:t>
      </w:r>
      <w:r>
        <w:rPr>
          <w:color w:val="0070C0"/>
        </w:rPr>
        <w:t>for parental daphnids, 21-day IC</w:t>
      </w:r>
      <w:r>
        <w:rPr>
          <w:color w:val="0070C0"/>
          <w:position w:val="-1"/>
          <w:sz w:val="10"/>
        </w:rPr>
        <w:t>25 </w:t>
      </w:r>
      <w:r>
        <w:rPr>
          <w:color w:val="0070C0"/>
        </w:rPr>
        <w:t>for number of live young produced per parental daphnid, NOEC/LOEC. </w:t>
      </w:r>
      <w:r>
        <w:rPr>
          <w:color w:val="0070C0"/>
          <w:u w:val="single" w:color="0070C0"/>
        </w:rPr>
        <w:t>Shrimp</w:t>
      </w:r>
      <w:r>
        <w:rPr>
          <w:color w:val="0070C0"/>
        </w:rPr>
        <w:t>: Single concentration test: percent survival of shrimp in each treatment at test end; percent of shrimp showing atypical behavior and/or atypical appearance of organs and/or tissues, comparing MHC to controls. Multiple concentration test: Single concentration test: percent survival of shrimp in each treatment at test end; percent of shrimp showing atypical behavior and/or atypical appearance of organs and/or tissues, comparing MHC to controls.30-day LC</w:t>
      </w:r>
      <w:r>
        <w:rPr>
          <w:color w:val="0070C0"/>
          <w:position w:val="-1"/>
          <w:sz w:val="10"/>
        </w:rPr>
        <w:t>50</w:t>
      </w:r>
      <w:r>
        <w:rPr>
          <w:color w:val="0070C0"/>
        </w:rPr>
        <w:t>, 30- day EC</w:t>
      </w:r>
      <w:r>
        <w:rPr>
          <w:color w:val="0070C0"/>
          <w:position w:val="-1"/>
          <w:sz w:val="10"/>
        </w:rPr>
        <w:t>25 </w:t>
      </w:r>
      <w:r>
        <w:rPr>
          <w:color w:val="0070C0"/>
        </w:rPr>
        <w:t>based percent of shrimp showing atypical behavior and/or atypical appearance of organs and/or tissue,</w:t>
      </w:r>
      <w:r>
        <w:rPr>
          <w:color w:val="0070C0"/>
          <w:spacing w:val="-18"/>
        </w:rPr>
        <w:t> </w:t>
      </w:r>
      <w:r>
        <w:rPr>
          <w:color w:val="0070C0"/>
        </w:rPr>
        <w:t>NOEC/LOEC.</w:t>
      </w:r>
    </w:p>
    <w:p>
      <w:pPr>
        <w:pStyle w:val="BodyText"/>
        <w:spacing w:line="230" w:lineRule="auto"/>
        <w:ind w:left="859"/>
      </w:pPr>
      <w:r>
        <w:rPr>
          <w:b/>
          <w:i/>
          <w:color w:val="0070C0"/>
        </w:rPr>
        <w:t>OECD 202 </w:t>
      </w:r>
      <w:r>
        <w:rPr>
          <w:i/>
          <w:color w:val="0070C0"/>
        </w:rPr>
        <w:t>Calculate the slopes of curves and the EC</w:t>
      </w:r>
      <w:r>
        <w:rPr>
          <w:i/>
          <w:color w:val="0070C0"/>
          <w:position w:val="-1"/>
          <w:sz w:val="10"/>
        </w:rPr>
        <w:t>50 </w:t>
      </w:r>
      <w:r>
        <w:rPr>
          <w:i/>
          <w:color w:val="0070C0"/>
        </w:rPr>
        <w:t>with 95% confidence intervals. Where standard methods of calculating the EC</w:t>
      </w:r>
      <w:r>
        <w:rPr>
          <w:i/>
          <w:color w:val="0070C0"/>
          <w:position w:val="-1"/>
          <w:sz w:val="10"/>
        </w:rPr>
        <w:t>50 </w:t>
      </w:r>
      <w:r>
        <w:rPr>
          <w:i/>
          <w:color w:val="0070C0"/>
        </w:rPr>
        <w:t>are not </w:t>
      </w:r>
      <w:r>
        <w:rPr>
          <w:color w:val="0070C0"/>
        </w:rPr>
        <w:t>applicable, the EC</w:t>
      </w:r>
      <w:r>
        <w:rPr>
          <w:color w:val="0070C0"/>
          <w:position w:val="-1"/>
          <w:sz w:val="10"/>
        </w:rPr>
        <w:t>50 </w:t>
      </w:r>
      <w:r>
        <w:rPr>
          <w:color w:val="0070C0"/>
        </w:rPr>
        <w:t>should be considered to be the geometric mean of the LOEC and the NOEC.</w:t>
      </w:r>
    </w:p>
    <w:p>
      <w:pPr>
        <w:pStyle w:val="BodyText"/>
        <w:spacing w:line="179" w:lineRule="exact"/>
        <w:ind w:left="859"/>
        <w:rPr>
          <w:i/>
        </w:rPr>
      </w:pPr>
      <w:r>
        <w:rPr>
          <w:b/>
          <w:i/>
          <w:color w:val="0070C0"/>
        </w:rPr>
        <w:t>OECD 211 </w:t>
      </w:r>
      <w:r>
        <w:rPr>
          <w:i/>
          <w:color w:val="0070C0"/>
        </w:rPr>
        <w:t>Consult the guideline for recommended statistical methods.</w:t>
      </w:r>
    </w:p>
    <w:p>
      <w:pPr>
        <w:pStyle w:val="BodyText"/>
        <w:spacing w:line="184" w:lineRule="exact"/>
        <w:ind w:left="1580"/>
        <w:rPr>
          <w:i/>
        </w:rPr>
      </w:pPr>
      <w:r>
        <w:rPr>
          <w:b/>
          <w:i/>
          <w:color w:val="0070C0"/>
        </w:rPr>
        <w:t>-</w:t>
      </w:r>
      <w:r>
        <w:rPr>
          <w:i/>
          <w:color w:val="0070C0"/>
          <w:u w:val="single" w:color="0070C0"/>
        </w:rPr>
        <w:t>Benthic Aquatic Arthropods:</w:t>
      </w:r>
    </w:p>
    <w:p>
      <w:pPr>
        <w:pStyle w:val="BodyText"/>
        <w:spacing w:line="237" w:lineRule="auto" w:before="2"/>
        <w:ind w:left="859" w:right="155"/>
      </w:pPr>
      <w:r>
        <w:rPr>
          <w:b/>
          <w:i/>
          <w:color w:val="0070C0"/>
        </w:rPr>
        <w:t>Environment Canada EPS 1/RM/44 </w:t>
      </w:r>
      <w:r>
        <w:rPr>
          <w:i/>
          <w:color w:val="0070C0"/>
        </w:rPr>
        <w:t>Single concentration test: percent survival, percent surviving test organisms showing atypical appearance </w:t>
      </w:r>
      <w:r>
        <w:rPr>
          <w:color w:val="0070C0"/>
        </w:rPr>
        <w:t>(necropsy) or behavior at test end, mean dry weight of survivors, comparing MHC to controls; Multiple concentration test: percent survival, percent surviving test organisms showing atypical appearance (necropsy) or behavior at test end, mean dry weight of survivors, comparing each test chamber and treatment. Data permitting, calculation of 10- or 14-day LC</w:t>
      </w:r>
      <w:r>
        <w:rPr>
          <w:color w:val="0070C0"/>
          <w:position w:val="-1"/>
          <w:sz w:val="10"/>
        </w:rPr>
        <w:t>50</w:t>
      </w:r>
      <w:r>
        <w:rPr>
          <w:color w:val="0070C0"/>
        </w:rPr>
        <w:t>, 10- or 14-day EC</w:t>
      </w:r>
      <w:r>
        <w:rPr>
          <w:color w:val="0070C0"/>
          <w:position w:val="-1"/>
          <w:sz w:val="10"/>
        </w:rPr>
        <w:t>50 </w:t>
      </w:r>
      <w:r>
        <w:rPr>
          <w:color w:val="0070C0"/>
        </w:rPr>
        <w:t>for atypical appearance, 10- or 14-day IC</w:t>
      </w:r>
      <w:r>
        <w:rPr>
          <w:color w:val="0070C0"/>
          <w:position w:val="-1"/>
          <w:sz w:val="10"/>
        </w:rPr>
        <w:t>25 </w:t>
      </w:r>
      <w:r>
        <w:rPr>
          <w:color w:val="0070C0"/>
        </w:rPr>
        <w:t>for mean dry weight of survivors, NOEC/LOEC.</w:t>
      </w:r>
    </w:p>
    <w:p>
      <w:pPr>
        <w:pStyle w:val="BodyText"/>
        <w:spacing w:line="237" w:lineRule="auto" w:before="2"/>
        <w:ind w:left="860" w:right="137" w:hanging="1"/>
      </w:pPr>
      <w:r>
        <w:rPr>
          <w:b/>
          <w:i/>
          <w:color w:val="0070C0"/>
        </w:rPr>
        <w:t>OECD 218 and 219 </w:t>
      </w:r>
      <w:r>
        <w:rPr>
          <w:i/>
          <w:color w:val="0070C0"/>
        </w:rPr>
        <w:t>Analysis by regression (EC</w:t>
      </w:r>
      <w:r>
        <w:rPr>
          <w:i/>
          <w:color w:val="0070C0"/>
          <w:position w:val="-1"/>
          <w:sz w:val="10"/>
        </w:rPr>
        <w:t>50</w:t>
      </w:r>
      <w:r>
        <w:rPr>
          <w:i/>
          <w:color w:val="0070C0"/>
        </w:rPr>
        <w:t>), estimation of an NOEC/LOEC, or a limit test are all acceptable. For estimation of </w:t>
      </w:r>
      <w:r>
        <w:rPr>
          <w:color w:val="0070C0"/>
        </w:rPr>
        <w:t>NOEC/LOEC, based on development rate, an ANOVA is usually appropriate, such as Dunnett-test and Williams-test.  In the emergence ration the Cochrane-Armitage, Fisher’s exact (with Bonferroni correction) or Mantel Haentzal tests may be used. For a limit test, with metric response (development rate and weight), the t-test is suitable if data meet the requirements of normality and homogeneous variance. The unequal-variance t-test or a non parametric tests such as the Wilcoxon-Mann-Withey test may be used. For the emergence ration, the Fisher exact test is appropriate.</w:t>
      </w:r>
    </w:p>
    <w:p>
      <w:pPr>
        <w:pStyle w:val="BodyText"/>
        <w:spacing w:before="3"/>
        <w:rPr>
          <w:i/>
          <w:sz w:val="22"/>
        </w:rPr>
      </w:pPr>
    </w:p>
    <w:p>
      <w:pPr>
        <w:pStyle w:val="Heading2"/>
        <w:numPr>
          <w:ilvl w:val="0"/>
          <w:numId w:val="3"/>
        </w:numPr>
        <w:tabs>
          <w:tab w:pos="859" w:val="left" w:leader="none"/>
          <w:tab w:pos="861" w:val="left" w:leader="none"/>
        </w:tabs>
        <w:spacing w:line="252" w:lineRule="exact" w:before="0" w:after="0"/>
        <w:ind w:left="860" w:right="0" w:hanging="720"/>
        <w:jc w:val="left"/>
      </w:pPr>
      <w:r>
        <w:rPr>
          <w:u w:val="thick"/>
        </w:rPr>
        <w:t>VERIFICATION OF STATISTICAL RESULTS BY THE</w:t>
      </w:r>
      <w:r>
        <w:rPr>
          <w:spacing w:val="-23"/>
          <w:u w:val="thick"/>
        </w:rPr>
        <w:t> </w:t>
      </w:r>
      <w:r>
        <w:rPr>
          <w:u w:val="thick"/>
        </w:rPr>
        <w:t>REVIEWER</w:t>
      </w:r>
      <w:r>
        <w:rPr/>
        <w:t>:</w:t>
      </w:r>
    </w:p>
    <w:p>
      <w:pPr>
        <w:pStyle w:val="Heading5"/>
        <w:ind w:left="859" w:right="306"/>
        <w:rPr>
          <w:i/>
        </w:rPr>
      </w:pPr>
      <w:r>
        <w:rPr>
          <w:i/>
          <w:color w:val="FF0000"/>
        </w:rPr>
        <w:t>[Report the statistical methods used by the reviewer to verify the applicant’s results, if applicable. If </w:t>
      </w:r>
      <w:r>
        <w:rPr>
          <w:color w:val="FF0000"/>
        </w:rPr>
        <w:t>values for LC</w:t>
      </w:r>
      <w:r>
        <w:rPr>
          <w:color w:val="FF0000"/>
          <w:position w:val="-1"/>
          <w:sz w:val="14"/>
        </w:rPr>
        <w:t>50 </w:t>
      </w:r>
      <w:r>
        <w:rPr>
          <w:color w:val="FF0000"/>
        </w:rPr>
        <w:t>and/or NOEL are greater than the MHD level, use </w:t>
      </w:r>
      <w:r>
        <w:rPr>
          <w:b/>
          <w:i/>
          <w:color w:val="FF0000"/>
        </w:rPr>
        <w:t>&lt; </w:t>
      </w:r>
      <w:r>
        <w:rPr>
          <w:i/>
          <w:color w:val="FF0000"/>
        </w:rPr>
        <w:t>symbol.]</w:t>
      </w:r>
    </w:p>
    <w:p>
      <w:pPr>
        <w:pStyle w:val="BodyText"/>
        <w:rPr>
          <w:i/>
          <w:sz w:val="24"/>
        </w:rPr>
      </w:pPr>
    </w:p>
    <w:p>
      <w:pPr>
        <w:pStyle w:val="BodyText"/>
        <w:spacing w:before="9"/>
        <w:rPr>
          <w:i/>
          <w:sz w:val="19"/>
        </w:rPr>
      </w:pPr>
    </w:p>
    <w:p>
      <w:pPr>
        <w:tabs>
          <w:tab w:pos="3020" w:val="left" w:leader="none"/>
        </w:tabs>
        <w:spacing w:before="0"/>
        <w:ind w:left="859" w:right="0" w:firstLine="0"/>
        <w:jc w:val="left"/>
        <w:rPr>
          <w:sz w:val="22"/>
        </w:rPr>
      </w:pPr>
      <w:r>
        <w:rPr>
          <w:sz w:val="22"/>
        </w:rPr>
        <w:t>LC</w:t>
      </w:r>
      <w:r>
        <w:rPr>
          <w:position w:val="-1"/>
          <w:sz w:val="14"/>
        </w:rPr>
        <w:t>50</w:t>
      </w:r>
      <w:r>
        <w:rPr>
          <w:sz w:val="22"/>
        </w:rPr>
        <w:t>:</w:t>
        <w:tab/>
        <w:t>95%</w:t>
      </w:r>
      <w:r>
        <w:rPr>
          <w:spacing w:val="-3"/>
          <w:sz w:val="22"/>
        </w:rPr>
        <w:t> </w:t>
      </w:r>
      <w:r>
        <w:rPr>
          <w:sz w:val="22"/>
        </w:rPr>
        <w:t>C.I.:</w:t>
      </w:r>
    </w:p>
    <w:p>
      <w:pPr>
        <w:spacing w:after="0"/>
        <w:jc w:val="left"/>
        <w:rPr>
          <w:sz w:val="22"/>
        </w:rPr>
        <w:sectPr>
          <w:pgSz w:w="12240" w:h="15840"/>
          <w:pgMar w:header="729" w:footer="1084" w:top="1940" w:bottom="1280" w:left="940" w:right="940"/>
        </w:sectPr>
      </w:pPr>
    </w:p>
    <w:p>
      <w:pPr>
        <w:spacing w:before="181"/>
        <w:ind w:left="860" w:right="0" w:firstLine="0"/>
        <w:jc w:val="left"/>
        <w:rPr>
          <w:sz w:val="22"/>
        </w:rPr>
      </w:pPr>
      <w:r>
        <w:rPr>
          <w:sz w:val="22"/>
        </w:rPr>
        <w:t>NOEL:</w:t>
      </w:r>
    </w:p>
    <w:p>
      <w:pPr>
        <w:tabs>
          <w:tab w:pos="3020" w:val="left" w:leader="none"/>
        </w:tabs>
        <w:spacing w:before="0"/>
        <w:ind w:left="860" w:right="0" w:firstLine="0"/>
        <w:jc w:val="left"/>
        <w:rPr>
          <w:sz w:val="22"/>
        </w:rPr>
      </w:pPr>
      <w:r>
        <w:rPr>
          <w:sz w:val="22"/>
        </w:rPr>
        <w:t>Probit</w:t>
      </w:r>
      <w:r>
        <w:rPr>
          <w:spacing w:val="-2"/>
          <w:sz w:val="22"/>
        </w:rPr>
        <w:t> </w:t>
      </w:r>
      <w:r>
        <w:rPr>
          <w:sz w:val="22"/>
        </w:rPr>
        <w:t>Slope:</w:t>
        <w:tab/>
        <w:t>95%</w:t>
      </w:r>
      <w:r>
        <w:rPr>
          <w:spacing w:val="-3"/>
          <w:sz w:val="22"/>
        </w:rPr>
        <w:t> </w:t>
      </w:r>
      <w:r>
        <w:rPr>
          <w:sz w:val="22"/>
        </w:rPr>
        <w:t>C.I.:</w:t>
      </w:r>
    </w:p>
    <w:p>
      <w:pPr>
        <w:pStyle w:val="BodyText"/>
        <w:rPr>
          <w:i w:val="0"/>
          <w:sz w:val="22"/>
        </w:rPr>
      </w:pPr>
    </w:p>
    <w:p>
      <w:pPr>
        <w:pStyle w:val="ListParagraph"/>
        <w:numPr>
          <w:ilvl w:val="0"/>
          <w:numId w:val="1"/>
        </w:numPr>
        <w:tabs>
          <w:tab w:pos="860" w:val="left" w:leader="none"/>
          <w:tab w:pos="861" w:val="left" w:leader="none"/>
        </w:tabs>
        <w:spacing w:line="240" w:lineRule="auto" w:before="0" w:after="0"/>
        <w:ind w:left="860" w:right="0" w:hanging="720"/>
        <w:jc w:val="left"/>
        <w:rPr>
          <w:b/>
          <w:sz w:val="22"/>
          <w:u w:val="none"/>
        </w:rPr>
      </w:pPr>
      <w:r>
        <w:rPr>
          <w:b/>
          <w:sz w:val="22"/>
          <w:u w:val="none"/>
        </w:rPr>
        <w:t>CONCLUSION</w:t>
      </w:r>
    </w:p>
    <w:p>
      <w:pPr>
        <w:pStyle w:val="BodyText"/>
        <w:rPr>
          <w:b/>
          <w:i w:val="0"/>
          <w:sz w:val="22"/>
        </w:rPr>
      </w:pPr>
    </w:p>
    <w:p>
      <w:pPr>
        <w:pStyle w:val="ListParagraph"/>
        <w:numPr>
          <w:ilvl w:val="0"/>
          <w:numId w:val="4"/>
        </w:numPr>
        <w:tabs>
          <w:tab w:pos="859" w:val="left" w:leader="none"/>
          <w:tab w:pos="861" w:val="left" w:leader="none"/>
          <w:tab w:pos="4459" w:val="left" w:leader="none"/>
        </w:tabs>
        <w:spacing w:line="240" w:lineRule="auto" w:before="0" w:after="0"/>
        <w:ind w:left="859" w:right="367" w:hanging="719"/>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 conclusions- Provide</w:t>
      </w:r>
      <w:r>
        <w:rPr>
          <w:i/>
          <w:color w:val="FF0000"/>
          <w:spacing w:val="-26"/>
          <w:sz w:val="22"/>
          <w:u w:val="none"/>
        </w:rPr>
        <w:t> </w:t>
      </w:r>
      <w:r>
        <w:rPr>
          <w:i/>
          <w:color w:val="FF0000"/>
          <w:sz w:val="22"/>
          <w:u w:val="none"/>
        </w:rPr>
        <w:t>the</w:t>
      </w:r>
      <w:r>
        <w:rPr>
          <w:i/>
          <w:color w:val="FF0000"/>
          <w:spacing w:val="-5"/>
          <w:sz w:val="22"/>
          <w:u w:val="none"/>
        </w:rPr>
        <w:t> </w:t>
      </w:r>
      <w:r>
        <w:rPr>
          <w:i/>
          <w:color w:val="FF0000"/>
          <w:sz w:val="22"/>
          <w:u w:val="none"/>
        </w:rPr>
        <w:t>major</w:t>
      </w:r>
      <w:r>
        <w:rPr>
          <w:i/>
          <w:color w:val="FF0000"/>
          <w:w w:val="99"/>
          <w:sz w:val="22"/>
          <w:u w:val="none"/>
        </w:rPr>
        <w:t> </w:t>
      </w:r>
      <w:r>
        <w:rPr>
          <w:i/>
          <w:color w:val="FF0000"/>
          <w:sz w:val="22"/>
          <w:u w:val="none"/>
        </w:rPr>
        <w:t>conclusions e.g., LC</w:t>
      </w:r>
      <w:r>
        <w:rPr>
          <w:i/>
          <w:color w:val="FF0000"/>
          <w:position w:val="-1"/>
          <w:sz w:val="14"/>
          <w:u w:val="none"/>
        </w:rPr>
        <w:t>50</w:t>
      </w:r>
      <w:r>
        <w:rPr>
          <w:i/>
          <w:color w:val="FF0000"/>
          <w:sz w:val="22"/>
          <w:u w:val="none"/>
        </w:rPr>
        <w:t>, LT</w:t>
      </w:r>
      <w:r>
        <w:rPr>
          <w:i/>
          <w:color w:val="FF0000"/>
          <w:position w:val="-1"/>
          <w:sz w:val="14"/>
          <w:u w:val="none"/>
        </w:rPr>
        <w:t>50</w:t>
      </w:r>
      <w:r>
        <w:rPr>
          <w:i/>
          <w:color w:val="FF0000"/>
          <w:sz w:val="22"/>
          <w:u w:val="none"/>
        </w:rPr>
        <w:t>, NOEC [insert value] was [</w:t>
      </w:r>
      <w:r>
        <w:rPr>
          <w:b/>
          <w:i/>
          <w:color w:val="FF0000"/>
          <w:sz w:val="22"/>
          <w:u w:val="none"/>
        </w:rPr>
        <w:t>=, &gt; or &lt;</w:t>
      </w:r>
      <w:r>
        <w:rPr>
          <w:i/>
          <w:color w:val="FF0000"/>
          <w:sz w:val="22"/>
          <w:u w:val="none"/>
        </w:rPr>
        <w:t>] [insert final dose concentration/level </w:t>
      </w:r>
      <w:r>
        <w:rPr>
          <w:i/>
          <w:color w:val="FF0000"/>
          <w:sz w:val="22"/>
          <w:u w:val="none"/>
        </w:rPr>
        <w:t>(in appropriate units). Include Probit slope (95% confidence interval) and if sublethal effects were observed.]</w:t>
      </w:r>
    </w:p>
    <w:p>
      <w:pPr>
        <w:pStyle w:val="BodyText"/>
        <w:spacing w:before="10"/>
        <w:rPr>
          <w:i/>
          <w:sz w:val="21"/>
        </w:rPr>
      </w:pPr>
    </w:p>
    <w:p>
      <w:pPr>
        <w:pStyle w:val="ListParagraph"/>
        <w:numPr>
          <w:ilvl w:val="0"/>
          <w:numId w:val="4"/>
        </w:numPr>
        <w:tabs>
          <w:tab w:pos="859" w:val="left" w:leader="none"/>
          <w:tab w:pos="860" w:val="left" w:leader="none"/>
        </w:tabs>
        <w:spacing w:line="240" w:lineRule="auto" w:before="0" w:after="0"/>
        <w:ind w:left="859" w:right="609" w:hanging="719"/>
        <w:jc w:val="left"/>
        <w:rPr>
          <w:sz w:val="22"/>
          <w:u w:val="none"/>
        </w:rPr>
      </w:pPr>
      <w:r>
        <w:rPr>
          <w:b/>
          <w:w w:val="99"/>
          <w:sz w:val="22"/>
          <w:u w:val="thick"/>
        </w:rPr>
        <w:t> </w:t>
      </w:r>
      <w:r>
        <w:rPr>
          <w:b/>
          <w:sz w:val="22"/>
          <w:u w:val="thick"/>
        </w:rPr>
        <w:t>REVIEWER’S COMMENTS</w:t>
      </w:r>
      <w:r>
        <w:rPr>
          <w:b/>
          <w:sz w:val="22"/>
          <w:u w:val="none"/>
        </w:rPr>
        <w:t>: </w:t>
      </w:r>
      <w:r>
        <w:rPr>
          <w:sz w:val="22"/>
          <w:u w:val="none"/>
        </w:rPr>
        <w:t>The reviewer agrees </w:t>
      </w:r>
      <w:r>
        <w:rPr>
          <w:i/>
          <w:color w:val="FF0000"/>
          <w:sz w:val="22"/>
          <w:u w:val="none"/>
        </w:rPr>
        <w:t>[does not agree] </w:t>
      </w:r>
      <w:r>
        <w:rPr>
          <w:sz w:val="22"/>
          <w:u w:val="none"/>
        </w:rPr>
        <w:t>with the study author’s conclusion. </w:t>
      </w:r>
      <w:r>
        <w:rPr>
          <w:i/>
          <w:color w:val="FF0000"/>
          <w:sz w:val="22"/>
          <w:u w:val="none"/>
        </w:rPr>
        <w:t>[Provide additional comments that do not appear under other sections of the template. </w:t>
      </w:r>
      <w:r>
        <w:rPr>
          <w:i/>
          <w:color w:val="FF0000"/>
          <w:sz w:val="22"/>
          <w:u w:val="none"/>
        </w:rPr>
        <w:t>Discuss the specific methods/ results/findings that may affect the validity of the study and overall acceptability of the study.] </w:t>
      </w:r>
      <w:r>
        <w:rPr>
          <w:sz w:val="22"/>
          <w:u w:val="none"/>
        </w:rPr>
        <w:t>The study was </w:t>
      </w:r>
      <w:r>
        <w:rPr>
          <w:i/>
          <w:color w:val="FF0000"/>
          <w:sz w:val="22"/>
          <w:u w:val="none"/>
        </w:rPr>
        <w:t>[not] </w:t>
      </w:r>
      <w:r>
        <w:rPr>
          <w:sz w:val="22"/>
          <w:u w:val="none"/>
        </w:rPr>
        <w:t>conducted in accordance with the guideline recommendations for a toxicity and pathogenicity study for freshwater aquatic invertebrates (OCSPP 885.4340; PMRA: M9.5.2 and OECD: IIM 8.8, IIIM 10.4) in the</w:t>
      </w:r>
      <w:r>
        <w:rPr>
          <w:spacing w:val="-29"/>
          <w:sz w:val="22"/>
          <w:u w:val="none"/>
        </w:rPr>
        <w:t> </w:t>
      </w:r>
      <w:r>
        <w:rPr>
          <w:i/>
          <w:color w:val="FF0000"/>
          <w:sz w:val="22"/>
          <w:u w:val="none"/>
        </w:rPr>
        <w:t>[species]</w:t>
      </w:r>
      <w:r>
        <w:rPr>
          <w:color w:val="FF0000"/>
          <w:sz w:val="22"/>
          <w:u w:val="none"/>
        </w:rPr>
        <w:t>.</w:t>
      </w:r>
    </w:p>
    <w:p>
      <w:pPr>
        <w:pStyle w:val="BodyText"/>
        <w:spacing w:before="1"/>
        <w:rPr>
          <w:i w:val="0"/>
          <w:sz w:val="22"/>
        </w:rPr>
      </w:pPr>
    </w:p>
    <w:p>
      <w:pPr>
        <w:pStyle w:val="Heading5"/>
        <w:numPr>
          <w:ilvl w:val="0"/>
          <w:numId w:val="4"/>
        </w:numPr>
        <w:tabs>
          <w:tab w:pos="859" w:val="left" w:leader="none"/>
          <w:tab w:pos="861" w:val="left" w:leader="none"/>
          <w:tab w:pos="3075" w:val="left" w:leader="none"/>
        </w:tabs>
        <w:spacing w:line="240" w:lineRule="auto" w:before="0" w:after="0"/>
        <w:ind w:left="860" w:right="544" w:hanging="720"/>
        <w:jc w:val="left"/>
      </w:pPr>
      <w:r>
        <w:rPr>
          <w:b/>
          <w:i w:val="0"/>
          <w:u w:val="thick"/>
        </w:rPr>
        <w:t>DEFICIENCIES</w:t>
      </w:r>
      <w:r>
        <w:rPr>
          <w:b/>
          <w:i w:val="0"/>
        </w:rPr>
        <w:t>:</w:t>
        <w:tab/>
      </w:r>
      <w:r>
        <w:rPr>
          <w:i/>
          <w:color w:val="FF0000"/>
        </w:rPr>
        <w:t>[List each deficiency with the required data to resolve the deficiency or</w:t>
      </w:r>
      <w:r>
        <w:rPr>
          <w:i/>
          <w:color w:val="FF0000"/>
          <w:spacing w:val="-37"/>
        </w:rPr>
        <w:t> </w:t>
      </w:r>
      <w:r>
        <w:rPr>
          <w:i/>
          <w:color w:val="FF0000"/>
        </w:rPr>
        <w:t>if</w:t>
      </w:r>
      <w:r>
        <w:rPr>
          <w:i/>
          <w:color w:val="FF0000"/>
          <w:spacing w:val="-4"/>
        </w:rPr>
        <w:t> </w:t>
      </w:r>
      <w:r>
        <w:rPr>
          <w:i/>
          <w:color w:val="FF0000"/>
        </w:rPr>
        <w:t>no</w:t>
      </w:r>
      <w:r>
        <w:rPr>
          <w:color w:val="FF0000"/>
          <w:w w:val="99"/>
        </w:rPr>
        <w:t> </w:t>
      </w:r>
      <w:r>
        <w:rPr>
          <w:color w:val="FF0000"/>
        </w:rPr>
        <w:t>data can be provided to satisfy the</w:t>
      </w:r>
      <w:r>
        <w:rPr>
          <w:color w:val="FF0000"/>
          <w:spacing w:val="-27"/>
        </w:rPr>
        <w:t> </w:t>
      </w:r>
      <w:r>
        <w:rPr>
          <w:color w:val="FF0000"/>
        </w:rPr>
        <w:t>deficiency.]</w:t>
      </w:r>
    </w:p>
    <w:p>
      <w:pPr>
        <w:pStyle w:val="BodyText"/>
        <w:spacing w:before="7"/>
        <w:rPr>
          <w:i/>
          <w:sz w:val="21"/>
        </w:rPr>
      </w:pPr>
    </w:p>
    <w:p>
      <w:pPr>
        <w:spacing w:before="1"/>
        <w:ind w:left="860" w:right="0" w:firstLine="0"/>
        <w:jc w:val="left"/>
        <w:rPr>
          <w:i/>
          <w:sz w:val="16"/>
        </w:rPr>
      </w:pPr>
      <w:r>
        <w:rPr>
          <w:b/>
          <w:i/>
          <w:color w:val="0070C0"/>
          <w:sz w:val="16"/>
        </w:rPr>
        <w:t>U.S. EPA OCSPP 885.4240   </w:t>
      </w:r>
      <w:r>
        <w:rPr>
          <w:i/>
          <w:color w:val="0070C0"/>
          <w:sz w:val="16"/>
        </w:rPr>
        <w:t>No specific validity criteria.</w:t>
      </w:r>
    </w:p>
    <w:p>
      <w:pPr>
        <w:spacing w:line="184" w:lineRule="exact" w:before="1"/>
        <w:ind w:left="860" w:right="0" w:firstLine="0"/>
        <w:jc w:val="left"/>
        <w:rPr>
          <w:i/>
          <w:sz w:val="16"/>
        </w:rPr>
      </w:pPr>
      <w:r>
        <w:rPr>
          <w:b/>
          <w:i/>
          <w:color w:val="0070C0"/>
          <w:sz w:val="16"/>
        </w:rPr>
        <w:t>PMRA DIR 2001-02   </w:t>
      </w:r>
      <w:r>
        <w:rPr>
          <w:i/>
          <w:color w:val="0070C0"/>
          <w:sz w:val="16"/>
        </w:rPr>
        <w:t>No specific validity criteria.</w:t>
      </w:r>
    </w:p>
    <w:p>
      <w:pPr>
        <w:pStyle w:val="BodyText"/>
        <w:spacing w:line="184" w:lineRule="exact"/>
        <w:ind w:left="1561" w:right="6856"/>
        <w:jc w:val="center"/>
        <w:rPr>
          <w:i/>
        </w:rPr>
      </w:pPr>
      <w:r>
        <w:rPr>
          <w:b/>
          <w:i/>
          <w:color w:val="0070C0"/>
        </w:rPr>
        <w:t>-</w:t>
      </w:r>
      <w:r>
        <w:rPr>
          <w:i/>
          <w:color w:val="0070C0"/>
          <w:u w:val="single" w:color="0070C0"/>
        </w:rPr>
        <w:t>Pelagic Aquatic Arthropods:</w:t>
      </w:r>
    </w:p>
    <w:p>
      <w:pPr>
        <w:pStyle w:val="BodyText"/>
        <w:ind w:left="859" w:right="214"/>
      </w:pPr>
      <w:r>
        <w:rPr>
          <w:b/>
          <w:i/>
          <w:color w:val="0070C0"/>
        </w:rPr>
        <w:t>Environment Canada EPS 1/RM/44 </w:t>
      </w:r>
      <w:r>
        <w:rPr>
          <w:i/>
          <w:color w:val="0070C0"/>
        </w:rPr>
        <w:t>Invalid if &lt;80% of parental daphnids survive to the end of the test or if &lt; 60 live young are produced per </w:t>
      </w:r>
      <w:r>
        <w:rPr>
          <w:color w:val="0070C0"/>
        </w:rPr>
        <w:t>adult in negative controls. Study is invalid in shrimp if &lt;80% survival in negative control &lt;80% at test end.</w:t>
      </w:r>
    </w:p>
    <w:p>
      <w:pPr>
        <w:pStyle w:val="BodyText"/>
        <w:spacing w:before="1"/>
        <w:ind w:left="859" w:right="306"/>
      </w:pPr>
      <w:r>
        <w:rPr>
          <w:b/>
          <w:i/>
          <w:color w:val="0070C0"/>
        </w:rPr>
        <w:t>OECD 202 </w:t>
      </w:r>
      <w:r>
        <w:rPr>
          <w:i/>
          <w:color w:val="0070C0"/>
        </w:rPr>
        <w:t>The study is invalid if more than 10% of control daphnids are immobilized or if dissolved oxygen concentrations are less than 3 </w:t>
      </w:r>
      <w:r>
        <w:rPr>
          <w:color w:val="0070C0"/>
        </w:rPr>
        <w:t>mg/L in control or test vessels.</w:t>
      </w:r>
    </w:p>
    <w:p>
      <w:pPr>
        <w:pStyle w:val="BodyText"/>
        <w:ind w:left="859"/>
      </w:pPr>
      <w:r>
        <w:rPr>
          <w:b/>
          <w:i/>
          <w:color w:val="0070C0"/>
        </w:rPr>
        <w:t>OECD 211 </w:t>
      </w:r>
      <w:r>
        <w:rPr>
          <w:i/>
          <w:color w:val="0070C0"/>
        </w:rPr>
        <w:t>The study is invalid if there is greater than 20% mortality in parental daphnids, or if the mean number of live offspring is less than </w:t>
      </w:r>
      <w:r>
        <w:rPr>
          <w:color w:val="0070C0"/>
        </w:rPr>
        <w:t>60/parental daphnid.</w:t>
      </w:r>
    </w:p>
    <w:p>
      <w:pPr>
        <w:pStyle w:val="BodyText"/>
        <w:spacing w:line="184" w:lineRule="exact"/>
        <w:ind w:left="1561" w:right="6856"/>
        <w:jc w:val="center"/>
        <w:rPr>
          <w:i/>
        </w:rPr>
      </w:pPr>
      <w:r>
        <w:rPr>
          <w:b/>
          <w:i/>
          <w:color w:val="0070C0"/>
        </w:rPr>
        <w:t>-</w:t>
      </w:r>
      <w:r>
        <w:rPr>
          <w:i/>
          <w:color w:val="0070C0"/>
          <w:u w:val="single" w:color="0070C0"/>
        </w:rPr>
        <w:t>Benthic Aquatic Arthropods:</w:t>
      </w:r>
    </w:p>
    <w:p>
      <w:pPr>
        <w:pStyle w:val="BodyText"/>
        <w:ind w:left="859" w:right="174"/>
      </w:pPr>
      <w:r>
        <w:rPr>
          <w:b/>
          <w:i/>
          <w:color w:val="0070C0"/>
        </w:rPr>
        <w:t>Environment Canada EPS 1/RM/44 </w:t>
      </w:r>
      <w:r>
        <w:rPr>
          <w:i/>
          <w:color w:val="0070C0"/>
        </w:rPr>
        <w:t>The chironomid test is invalid if mean 10-day survival in negative control is &lt;70%, and if mean dry weight </w:t>
      </w:r>
      <w:r>
        <w:rPr>
          <w:color w:val="0070C0"/>
        </w:rPr>
        <w:t>at test end for negative controls is &gt; 0.6 mg for C. tentans) or &gt;0.5 mg for C. riparius).  The H. azteca test is invalid if 14-day survival in negative</w:t>
      </w:r>
      <w:r>
        <w:rPr>
          <w:color w:val="0070C0"/>
          <w:spacing w:val="-2"/>
        </w:rPr>
        <w:t> </w:t>
      </w:r>
      <w:r>
        <w:rPr>
          <w:color w:val="0070C0"/>
        </w:rPr>
        <w:t>control</w:t>
      </w:r>
      <w:r>
        <w:rPr>
          <w:color w:val="0070C0"/>
          <w:spacing w:val="-2"/>
        </w:rPr>
        <w:t> </w:t>
      </w:r>
      <w:r>
        <w:rPr>
          <w:color w:val="0070C0"/>
        </w:rPr>
        <w:t>is</w:t>
      </w:r>
      <w:r>
        <w:rPr>
          <w:color w:val="0070C0"/>
          <w:spacing w:val="-3"/>
        </w:rPr>
        <w:t> </w:t>
      </w:r>
      <w:r>
        <w:rPr>
          <w:color w:val="0070C0"/>
        </w:rPr>
        <w:t>&lt;80%,</w:t>
      </w:r>
      <w:r>
        <w:rPr>
          <w:color w:val="0070C0"/>
          <w:spacing w:val="-2"/>
        </w:rPr>
        <w:t> </w:t>
      </w:r>
      <w:r>
        <w:rPr>
          <w:color w:val="0070C0"/>
        </w:rPr>
        <w:t>or</w:t>
      </w:r>
      <w:r>
        <w:rPr>
          <w:color w:val="0070C0"/>
          <w:spacing w:val="-2"/>
        </w:rPr>
        <w:t> </w:t>
      </w:r>
      <w:r>
        <w:rPr>
          <w:color w:val="0070C0"/>
        </w:rPr>
        <w:t>if</w:t>
      </w:r>
      <w:r>
        <w:rPr>
          <w:color w:val="0070C0"/>
          <w:spacing w:val="-2"/>
        </w:rPr>
        <w:t> </w:t>
      </w:r>
      <w:r>
        <w:rPr>
          <w:color w:val="0070C0"/>
        </w:rPr>
        <w:t>individual</w:t>
      </w:r>
      <w:r>
        <w:rPr>
          <w:color w:val="0070C0"/>
          <w:spacing w:val="-2"/>
        </w:rPr>
        <w:t> </w:t>
      </w:r>
      <w:r>
        <w:rPr>
          <w:color w:val="0070C0"/>
        </w:rPr>
        <w:t>mean</w:t>
      </w:r>
      <w:r>
        <w:rPr>
          <w:color w:val="0070C0"/>
          <w:spacing w:val="-2"/>
        </w:rPr>
        <w:t> </w:t>
      </w:r>
      <w:r>
        <w:rPr>
          <w:color w:val="0070C0"/>
        </w:rPr>
        <w:t>dry</w:t>
      </w:r>
      <w:r>
        <w:rPr>
          <w:color w:val="0070C0"/>
          <w:spacing w:val="-2"/>
        </w:rPr>
        <w:t> </w:t>
      </w:r>
      <w:r>
        <w:rPr>
          <w:color w:val="0070C0"/>
        </w:rPr>
        <w:t>weight</w:t>
      </w:r>
      <w:r>
        <w:rPr>
          <w:color w:val="0070C0"/>
          <w:spacing w:val="-2"/>
        </w:rPr>
        <w:t> </w:t>
      </w:r>
      <w:r>
        <w:rPr>
          <w:color w:val="0070C0"/>
        </w:rPr>
        <w:t>for</w:t>
      </w:r>
      <w:r>
        <w:rPr>
          <w:color w:val="0070C0"/>
          <w:spacing w:val="-2"/>
        </w:rPr>
        <w:t> </w:t>
      </w:r>
      <w:r>
        <w:rPr>
          <w:color w:val="0070C0"/>
        </w:rPr>
        <w:t>negative</w:t>
      </w:r>
      <w:r>
        <w:rPr>
          <w:color w:val="0070C0"/>
          <w:spacing w:val="-2"/>
        </w:rPr>
        <w:t> </w:t>
      </w:r>
      <w:r>
        <w:rPr>
          <w:color w:val="0070C0"/>
        </w:rPr>
        <w:t>controls</w:t>
      </w:r>
      <w:r>
        <w:rPr>
          <w:color w:val="0070C0"/>
          <w:spacing w:val="-2"/>
        </w:rPr>
        <w:t> </w:t>
      </w:r>
      <w:r>
        <w:rPr>
          <w:color w:val="0070C0"/>
        </w:rPr>
        <w:t>at</w:t>
      </w:r>
      <w:r>
        <w:rPr>
          <w:color w:val="0070C0"/>
          <w:spacing w:val="-2"/>
        </w:rPr>
        <w:t> </w:t>
      </w:r>
      <w:r>
        <w:rPr>
          <w:color w:val="0070C0"/>
        </w:rPr>
        <w:t>test</w:t>
      </w:r>
      <w:r>
        <w:rPr>
          <w:color w:val="0070C0"/>
          <w:spacing w:val="-2"/>
        </w:rPr>
        <w:t> </w:t>
      </w:r>
      <w:r>
        <w:rPr>
          <w:color w:val="0070C0"/>
        </w:rPr>
        <w:t>end</w:t>
      </w:r>
      <w:r>
        <w:rPr>
          <w:color w:val="0070C0"/>
          <w:spacing w:val="-2"/>
        </w:rPr>
        <w:t> </w:t>
      </w:r>
      <w:r>
        <w:rPr>
          <w:color w:val="0070C0"/>
        </w:rPr>
        <w:t>is</w:t>
      </w:r>
      <w:r>
        <w:rPr>
          <w:color w:val="0070C0"/>
          <w:spacing w:val="-2"/>
        </w:rPr>
        <w:t> </w:t>
      </w:r>
      <w:r>
        <w:rPr>
          <w:color w:val="0070C0"/>
        </w:rPr>
        <w:t>&lt;0.1</w:t>
      </w:r>
      <w:r>
        <w:rPr>
          <w:color w:val="0070C0"/>
          <w:spacing w:val="-2"/>
        </w:rPr>
        <w:t> </w:t>
      </w:r>
      <w:r>
        <w:rPr>
          <w:color w:val="0070C0"/>
        </w:rPr>
        <w:t>mg.</w:t>
      </w:r>
    </w:p>
    <w:p>
      <w:pPr>
        <w:pStyle w:val="BodyText"/>
        <w:spacing w:line="232" w:lineRule="auto" w:before="4"/>
        <w:ind w:left="859" w:right="184"/>
        <w:jc w:val="both"/>
        <w:rPr>
          <w:i/>
        </w:rPr>
      </w:pPr>
      <w:r>
        <w:rPr>
          <w:b/>
          <w:i/>
          <w:color w:val="0070C0"/>
        </w:rPr>
        <w:t>OECD 218 and 219 </w:t>
      </w:r>
      <w:r>
        <w:rPr>
          <w:i/>
          <w:color w:val="0070C0"/>
        </w:rPr>
        <w:t>Emergence in controls must be ≥70% at the end of test (emergence expected between 12 and 23 days for C. riparius and C. </w:t>
      </w:r>
      <w:r>
        <w:rPr>
          <w:color w:val="0070C0"/>
        </w:rPr>
        <w:t>yoshimatsui; 20–65 days for C. tentans). DO should be 60% saturation and pH should be 6–9 at the end of the test in all test vessels. The water temperature should not differ by more than ±1</w:t>
      </w:r>
      <w:r>
        <w:rPr>
          <w:rFonts w:ascii="Tahoma" w:hAnsi="Tahoma"/>
          <w:color w:val="0070C0"/>
          <w:sz w:val="17"/>
        </w:rPr>
        <w:t>̊</w:t>
      </w:r>
      <w:r>
        <w:rPr>
          <w:i/>
          <w:color w:val="0070C0"/>
        </w:rPr>
        <w:t>C.</w:t>
      </w:r>
    </w:p>
    <w:p>
      <w:pPr>
        <w:pStyle w:val="BodyText"/>
        <w:rPr>
          <w:i/>
          <w:sz w:val="20"/>
        </w:rPr>
      </w:pPr>
    </w:p>
    <w:p>
      <w:pPr>
        <w:pStyle w:val="BodyText"/>
        <w:spacing w:before="2"/>
        <w:rPr>
          <w:i/>
          <w:sz w:val="18"/>
        </w:rPr>
      </w:pPr>
    </w:p>
    <w:p>
      <w:pPr>
        <w:pStyle w:val="Heading2"/>
        <w:numPr>
          <w:ilvl w:val="0"/>
          <w:numId w:val="4"/>
        </w:numPr>
        <w:tabs>
          <w:tab w:pos="859" w:val="left" w:leader="none"/>
          <w:tab w:pos="861" w:val="left" w:leader="none"/>
        </w:tabs>
        <w:spacing w:line="240" w:lineRule="auto" w:before="0" w:after="0"/>
        <w:ind w:left="860" w:right="1360" w:hanging="720"/>
        <w:jc w:val="left"/>
      </w:pPr>
      <w:r>
        <w:rPr>
          <w:u w:val="thick"/>
        </w:rPr>
        <w:t>CLASSIFICATION: </w:t>
      </w:r>
      <w:r>
        <w:rPr>
          <w:color w:val="FF0000"/>
        </w:rPr>
        <w:t>[ACCEPTABLE / UNACCEPTABLE / SUPPLEMENTAL, but UPGRADEABLE]</w:t>
      </w:r>
    </w:p>
    <w:p>
      <w:pPr>
        <w:pStyle w:val="BodyText"/>
        <w:spacing w:before="2"/>
        <w:rPr>
          <w:b/>
          <w:i w:val="0"/>
          <w:sz w:val="25"/>
        </w:rPr>
      </w:pPr>
    </w:p>
    <w:p>
      <w:pPr>
        <w:pStyle w:val="Heading5"/>
        <w:numPr>
          <w:ilvl w:val="0"/>
          <w:numId w:val="1"/>
        </w:numPr>
        <w:tabs>
          <w:tab w:pos="859" w:val="left" w:leader="none"/>
          <w:tab w:pos="860" w:val="left" w:leader="none"/>
          <w:tab w:pos="3019" w:val="left" w:leader="none"/>
        </w:tabs>
        <w:spacing w:line="240" w:lineRule="auto" w:before="1" w:after="0"/>
        <w:ind w:left="860" w:right="243" w:hanging="721"/>
        <w:jc w:val="left"/>
      </w:pPr>
      <w:r>
        <w:rPr>
          <w:b/>
          <w:i w:val="0"/>
        </w:rPr>
        <w:t>REFERENCES:</w:t>
        <w:tab/>
      </w:r>
      <w:r>
        <w:rPr>
          <w:i/>
          <w:color w:val="FF0000"/>
        </w:rPr>
        <w:t>[Provide full citations of references that were cited in the study</w:t>
      </w:r>
      <w:r>
        <w:rPr>
          <w:i/>
          <w:color w:val="FF0000"/>
          <w:spacing w:val="-37"/>
        </w:rPr>
        <w:t> </w:t>
      </w:r>
      <w:r>
        <w:rPr>
          <w:i/>
          <w:color w:val="FF0000"/>
        </w:rPr>
        <w:t>report:</w:t>
      </w:r>
      <w:r>
        <w:rPr>
          <w:i/>
          <w:color w:val="FF0000"/>
          <w:spacing w:val="-4"/>
        </w:rPr>
        <w:t> </w:t>
      </w:r>
      <w:r>
        <w:rPr>
          <w:i/>
          <w:color w:val="FF0000"/>
        </w:rPr>
        <w:t>methods,</w:t>
      </w:r>
      <w:r>
        <w:rPr>
          <w:color w:val="FF0000"/>
          <w:spacing w:val="-1"/>
          <w:w w:val="99"/>
        </w:rPr>
        <w:t> </w:t>
      </w:r>
      <w:r>
        <w:rPr>
          <w:color w:val="FF0000"/>
        </w:rPr>
        <w:t>SOPs protocols, references to other relevant study reports in the submission or other studies conducted by the</w:t>
      </w:r>
      <w:r>
        <w:rPr>
          <w:color w:val="FF0000"/>
          <w:spacing w:val="-7"/>
        </w:rPr>
        <w:t> </w:t>
      </w:r>
      <w:r>
        <w:rPr>
          <w:color w:val="FF0000"/>
        </w:rPr>
        <w:t>applicant.</w:t>
      </w:r>
    </w:p>
    <w:p>
      <w:pPr>
        <w:pStyle w:val="BodyText"/>
        <w:spacing w:before="10"/>
        <w:rPr>
          <w:i/>
          <w:sz w:val="21"/>
        </w:rPr>
      </w:pPr>
    </w:p>
    <w:p>
      <w:pPr>
        <w:spacing w:before="1"/>
        <w:ind w:left="860" w:right="155" w:firstLine="0"/>
        <w:jc w:val="left"/>
        <w:rPr>
          <w:b/>
          <w:i/>
          <w:sz w:val="22"/>
        </w:rPr>
      </w:pPr>
      <w:r>
        <w:rPr>
          <w:color w:val="FF0000"/>
          <w:sz w:val="22"/>
        </w:rPr>
        <w:t>[</w:t>
      </w:r>
      <w:r>
        <w:rPr>
          <w:b/>
          <w:i/>
          <w:color w:val="FF0000"/>
          <w:sz w:val="22"/>
        </w:rPr>
        <w:t>NOTE: If methods/protocols contain specific methodology that is not reported in detail in study report </w:t>
      </w:r>
      <w:r>
        <w:rPr>
          <w:b/>
          <w:i/>
          <w:color w:val="FF0000"/>
          <w:sz w:val="22"/>
        </w:rPr>
        <w:t>as requested in DER- include specific literature of method/SOP/protocol attached as an appendix and attached to the study report for the reviewer’s reference and verification of rationale. If no extra references were used, state “No references were cited.”].</w:t>
      </w:r>
    </w:p>
    <w:p>
      <w:pPr>
        <w:spacing w:after="0"/>
        <w:jc w:val="left"/>
        <w:rPr>
          <w:sz w:val="22"/>
        </w:rPr>
        <w:sectPr>
          <w:pgSz w:w="12240" w:h="15840"/>
          <w:pgMar w:header="729" w:footer="1084" w:top="1940" w:bottom="1280" w:left="940" w:right="940"/>
        </w:sectPr>
      </w:pPr>
    </w:p>
    <w:p>
      <w:pPr>
        <w:spacing w:before="183"/>
        <w:ind w:left="860" w:right="158" w:hanging="720"/>
        <w:jc w:val="left"/>
        <w:rPr>
          <w:b/>
          <w:i/>
          <w:sz w:val="30"/>
        </w:rPr>
      </w:pPr>
      <w:r>
        <w:rPr>
          <w:b/>
          <w:i/>
          <w:color w:val="FF0000"/>
          <w:sz w:val="30"/>
        </w:rPr>
        <w:t>(This section of the DER represent the format for submitting </w:t>
      </w:r>
      <w:r>
        <w:rPr>
          <w:b/>
          <w:i/>
          <w:color w:val="FF0000"/>
          <w:sz w:val="30"/>
          <w:u w:val="thick" w:color="FF0000"/>
        </w:rPr>
        <w:t>alternative data </w:t>
      </w:r>
      <w:r>
        <w:rPr>
          <w:b/>
          <w:i/>
          <w:color w:val="FF0000"/>
          <w:sz w:val="30"/>
        </w:rPr>
        <w:t>for </w:t>
      </w:r>
      <w:r>
        <w:rPr>
          <w:b/>
          <w:i/>
          <w:color w:val="FF0000"/>
          <w:sz w:val="30"/>
        </w:rPr>
        <w:t>satisfying data requirement and supporting scientific rationale to justify the use of alternative data Alternative data include: waiver request(s), published study, and/or mini-literature review.</w:t>
      </w:r>
    </w:p>
    <w:p>
      <w:pPr>
        <w:pStyle w:val="BodyText"/>
        <w:spacing w:before="11"/>
        <w:rPr>
          <w:b/>
          <w:i/>
          <w:sz w:val="29"/>
        </w:rPr>
      </w:pPr>
    </w:p>
    <w:p>
      <w:pPr>
        <w:spacing w:before="0"/>
        <w:ind w:left="860" w:right="458" w:hanging="720"/>
        <w:jc w:val="left"/>
        <w:rPr>
          <w:b/>
          <w:i/>
          <w:sz w:val="30"/>
        </w:rPr>
      </w:pPr>
      <w:r>
        <w:rPr>
          <w:b/>
          <w:i/>
          <w:color w:val="002060"/>
          <w:sz w:val="30"/>
        </w:rPr>
        <w:t>(Formatting instructions: Use cover page (first page of template) and include a </w:t>
      </w:r>
      <w:r>
        <w:rPr>
          <w:b/>
          <w:i/>
          <w:color w:val="002060"/>
          <w:sz w:val="30"/>
        </w:rPr>
        <w:t>brief executive summary of the waiver request/published study/OR mini- literature review (see example below) and its classification. Delete study template and proceed to the following sections)</w:t>
      </w:r>
    </w:p>
    <w:p>
      <w:pPr>
        <w:spacing w:before="250"/>
        <w:ind w:left="139" w:right="155" w:firstLine="0"/>
        <w:jc w:val="left"/>
        <w:rPr>
          <w:sz w:val="22"/>
        </w:rPr>
      </w:pPr>
      <w:r>
        <w:rPr>
          <w:b/>
          <w:sz w:val="22"/>
          <w:u w:val="thick"/>
        </w:rPr>
        <w:t>EXECUTIVE SUMMARY </w:t>
      </w:r>
      <w:r>
        <w:rPr>
          <w:b/>
          <w:i/>
          <w:color w:val="FF0000"/>
          <w:sz w:val="22"/>
          <w:u w:val="thick" w:color="000000"/>
        </w:rPr>
        <w:t>[FOR EXAMPLE]: </w:t>
      </w:r>
      <w:r>
        <w:rPr>
          <w:i/>
          <w:color w:val="FF0000"/>
          <w:sz w:val="22"/>
        </w:rPr>
        <w:t>[Applicant] </w:t>
      </w:r>
      <w:r>
        <w:rPr>
          <w:sz w:val="22"/>
        </w:rPr>
        <w:t>is submitting a justification for a data waiver from freshwater aquatic invertebrate studies (OCSPP 885.4240).  The waiver request is based on the rationale that </w:t>
      </w:r>
      <w:r>
        <w:rPr>
          <w:i/>
          <w:color w:val="FF0000"/>
          <w:sz w:val="22"/>
        </w:rPr>
        <w:t>[name of active ingredient] </w:t>
      </w:r>
      <w:r>
        <w:rPr>
          <w:sz w:val="22"/>
        </w:rPr>
        <w:t>is a naturally-occurring </w:t>
      </w:r>
      <w:r>
        <w:rPr>
          <w:i/>
          <w:color w:val="FF0000"/>
          <w:sz w:val="22"/>
        </w:rPr>
        <w:t>[soil/water/plant-surface. etc.] </w:t>
      </w:r>
      <w:r>
        <w:rPr>
          <w:sz w:val="22"/>
        </w:rPr>
        <w:t>colonizer, whose level in the aquatic environment will not significantly increase with the use of </w:t>
      </w:r>
      <w:r>
        <w:rPr>
          <w:i/>
          <w:color w:val="FF0000"/>
          <w:sz w:val="22"/>
        </w:rPr>
        <w:t>[product name] </w:t>
      </w:r>
      <w:r>
        <w:rPr>
          <w:sz w:val="22"/>
        </w:rPr>
        <w:t>and that an extensive literature search yielded no </w:t>
      </w:r>
      <w:r>
        <w:rPr>
          <w:i/>
          <w:color w:val="FF0000"/>
          <w:sz w:val="22"/>
        </w:rPr>
        <w:t>[or no significant] </w:t>
      </w:r>
      <w:r>
        <w:rPr>
          <w:sz w:val="22"/>
        </w:rPr>
        <w:t>reports of adverse effects in aquatic invertebrates.</w:t>
      </w:r>
    </w:p>
    <w:p>
      <w:pPr>
        <w:pStyle w:val="BodyText"/>
        <w:rPr>
          <w:i w:val="0"/>
          <w:sz w:val="22"/>
        </w:rPr>
      </w:pPr>
    </w:p>
    <w:p>
      <w:pPr>
        <w:spacing w:line="240" w:lineRule="auto" w:before="0"/>
        <w:ind w:left="139" w:right="272" w:firstLine="0"/>
        <w:jc w:val="left"/>
        <w:rPr>
          <w:sz w:val="22"/>
        </w:rPr>
      </w:pPr>
      <w:r>
        <w:rPr>
          <w:sz w:val="22"/>
        </w:rPr>
        <w:t>The proposed uses of </w:t>
      </w:r>
      <w:r>
        <w:rPr>
          <w:i/>
          <w:color w:val="FF0000"/>
          <w:sz w:val="22"/>
        </w:rPr>
        <w:t>[product name] </w:t>
      </w:r>
      <w:r>
        <w:rPr>
          <w:sz w:val="22"/>
        </w:rPr>
        <w:t>on </w:t>
      </w:r>
      <w:r>
        <w:rPr>
          <w:i/>
          <w:color w:val="FF0000"/>
          <w:sz w:val="22"/>
        </w:rPr>
        <w:t>[identify use sites/crops] </w:t>
      </w:r>
      <w:r>
        <w:rPr>
          <w:sz w:val="22"/>
        </w:rPr>
        <w:t>is not expected to result in increased exposure or adverse effects to freshwater aquatic invertebrates. </w:t>
      </w:r>
      <w:r>
        <w:rPr>
          <w:i/>
          <w:color w:val="FF0000"/>
          <w:sz w:val="22"/>
        </w:rPr>
        <w:t>[If environmental concentration will show a substantial </w:t>
      </w:r>
      <w:r>
        <w:rPr>
          <w:i/>
          <w:color w:val="FF0000"/>
          <w:sz w:val="22"/>
        </w:rPr>
        <w:t>increase in aquatic environment, give the rate of environmental reduction to background levels in days/weeks/months]. </w:t>
      </w:r>
      <w:r>
        <w:rPr>
          <w:sz w:val="22"/>
        </w:rPr>
        <w:t>Therefore, additional testing is not considered necessary to assess the risks of the </w:t>
      </w:r>
      <w:r>
        <w:rPr>
          <w:i/>
          <w:color w:val="FF0000"/>
          <w:sz w:val="22"/>
        </w:rPr>
        <w:t>[product </w:t>
      </w:r>
      <w:r>
        <w:rPr>
          <w:i/>
          <w:color w:val="FF0000"/>
          <w:sz w:val="22"/>
        </w:rPr>
        <w:t>name] </w:t>
      </w:r>
      <w:r>
        <w:rPr>
          <w:sz w:val="22"/>
        </w:rPr>
        <w:t>to aquatic invertebrates. The </w:t>
      </w:r>
      <w:r>
        <w:rPr>
          <w:i/>
          <w:color w:val="FF0000"/>
          <w:sz w:val="22"/>
        </w:rPr>
        <w:t>[applicant] </w:t>
      </w:r>
      <w:r>
        <w:rPr>
          <w:sz w:val="22"/>
        </w:rPr>
        <w:t>requests a waiver of freshwater aquatic invertebrate testing.</w:t>
      </w:r>
    </w:p>
    <w:p>
      <w:pPr>
        <w:pStyle w:val="BodyText"/>
        <w:spacing w:before="2"/>
        <w:rPr>
          <w:i w:val="0"/>
          <w:sz w:val="24"/>
        </w:rPr>
      </w:pPr>
    </w:p>
    <w:p>
      <w:pPr>
        <w:pStyle w:val="Heading1"/>
        <w:rPr>
          <w:i/>
          <w:u w:val="none"/>
        </w:rPr>
      </w:pPr>
      <w:r>
        <w:rPr>
          <w:i/>
          <w:color w:val="FF0000"/>
          <w:u w:val="none"/>
        </w:rPr>
        <w:t>(For a waiver request, otherwise delete)</w:t>
      </w:r>
    </w:p>
    <w:p>
      <w:pPr>
        <w:pStyle w:val="Heading5"/>
        <w:numPr>
          <w:ilvl w:val="0"/>
          <w:numId w:val="5"/>
        </w:numPr>
        <w:tabs>
          <w:tab w:pos="859" w:val="left" w:leader="none"/>
          <w:tab w:pos="860" w:val="left" w:leader="none"/>
          <w:tab w:pos="3739" w:val="left" w:leader="none"/>
        </w:tabs>
        <w:spacing w:line="240" w:lineRule="auto" w:before="251" w:after="0"/>
        <w:ind w:left="859" w:right="909" w:hanging="720"/>
        <w:jc w:val="left"/>
      </w:pPr>
      <w:r>
        <w:rPr>
          <w:b/>
          <w:i w:val="0"/>
        </w:rPr>
        <w:t>WAIVER</w:t>
      </w:r>
      <w:r>
        <w:rPr>
          <w:b/>
          <w:i w:val="0"/>
          <w:spacing w:val="-4"/>
        </w:rPr>
        <w:t> </w:t>
      </w:r>
      <w:r>
        <w:rPr>
          <w:b/>
          <w:i w:val="0"/>
        </w:rPr>
        <w:t>RATIONALE</w:t>
        <w:tab/>
      </w:r>
      <w:r>
        <w:rPr>
          <w:i/>
          <w:color w:val="FF0000"/>
        </w:rPr>
        <w:t>[Summarize the information and/or data presented by</w:t>
      </w:r>
      <w:r>
        <w:rPr>
          <w:i/>
          <w:color w:val="FF0000"/>
          <w:spacing w:val="-27"/>
        </w:rPr>
        <w:t> </w:t>
      </w:r>
      <w:r>
        <w:rPr>
          <w:i/>
          <w:color w:val="FF0000"/>
        </w:rPr>
        <w:t>the</w:t>
      </w:r>
      <w:r>
        <w:rPr>
          <w:i/>
          <w:color w:val="FF0000"/>
          <w:spacing w:val="-5"/>
        </w:rPr>
        <w:t> </w:t>
      </w:r>
      <w:r>
        <w:rPr>
          <w:i/>
          <w:color w:val="FF0000"/>
        </w:rPr>
        <w:t>author</w:t>
      </w:r>
      <w:r>
        <w:rPr>
          <w:color w:val="FF0000"/>
          <w:w w:val="99"/>
        </w:rPr>
        <w:t> </w:t>
      </w:r>
      <w:r>
        <w:rPr>
          <w:color w:val="FF0000"/>
        </w:rPr>
        <w:t>justifying</w:t>
      </w:r>
      <w:r>
        <w:rPr>
          <w:color w:val="FF0000"/>
          <w:spacing w:val="-3"/>
        </w:rPr>
        <w:t> </w:t>
      </w:r>
      <w:r>
        <w:rPr>
          <w:color w:val="FF0000"/>
        </w:rPr>
        <w:t>why</w:t>
      </w:r>
      <w:r>
        <w:rPr>
          <w:color w:val="FF0000"/>
          <w:spacing w:val="-4"/>
        </w:rPr>
        <w:t> </w:t>
      </w:r>
      <w:r>
        <w:rPr>
          <w:color w:val="FF0000"/>
        </w:rPr>
        <w:t>the</w:t>
      </w:r>
      <w:r>
        <w:rPr>
          <w:color w:val="FF0000"/>
          <w:spacing w:val="-4"/>
        </w:rPr>
        <w:t> </w:t>
      </w:r>
      <w:r>
        <w:rPr>
          <w:color w:val="FF0000"/>
        </w:rPr>
        <w:t>required</w:t>
      </w:r>
      <w:r>
        <w:rPr>
          <w:color w:val="FF0000"/>
          <w:spacing w:val="-3"/>
        </w:rPr>
        <w:t> </w:t>
      </w:r>
      <w:r>
        <w:rPr>
          <w:color w:val="FF0000"/>
        </w:rPr>
        <w:t>data</w:t>
      </w:r>
      <w:r>
        <w:rPr>
          <w:color w:val="FF0000"/>
          <w:spacing w:val="-3"/>
        </w:rPr>
        <w:t> </w:t>
      </w:r>
      <w:r>
        <w:rPr>
          <w:color w:val="FF0000"/>
        </w:rPr>
        <w:t>element</w:t>
      </w:r>
      <w:r>
        <w:rPr>
          <w:color w:val="FF0000"/>
          <w:spacing w:val="-3"/>
        </w:rPr>
        <w:t> </w:t>
      </w:r>
      <w:r>
        <w:rPr>
          <w:color w:val="FF0000"/>
        </w:rPr>
        <w:t>should</w:t>
      </w:r>
      <w:r>
        <w:rPr>
          <w:color w:val="FF0000"/>
          <w:spacing w:val="-3"/>
        </w:rPr>
        <w:t> </w:t>
      </w:r>
      <w:r>
        <w:rPr>
          <w:color w:val="FF0000"/>
        </w:rPr>
        <w:t>be</w:t>
      </w:r>
      <w:r>
        <w:rPr>
          <w:color w:val="FF0000"/>
          <w:spacing w:val="-5"/>
        </w:rPr>
        <w:t> </w:t>
      </w:r>
      <w:r>
        <w:rPr>
          <w:color w:val="FF0000"/>
        </w:rPr>
        <w:t>waived</w:t>
      </w:r>
      <w:r>
        <w:rPr>
          <w:color w:val="FF0000"/>
          <w:spacing w:val="-3"/>
        </w:rPr>
        <w:t> </w:t>
      </w:r>
      <w:r>
        <w:rPr>
          <w:color w:val="FF0000"/>
        </w:rPr>
        <w:t>for</w:t>
      </w:r>
      <w:r>
        <w:rPr>
          <w:color w:val="FF0000"/>
          <w:spacing w:val="-4"/>
        </w:rPr>
        <w:t> </w:t>
      </w:r>
      <w:r>
        <w:rPr>
          <w:color w:val="FF0000"/>
        </w:rPr>
        <w:t>the</w:t>
      </w:r>
      <w:r>
        <w:rPr>
          <w:color w:val="FF0000"/>
          <w:spacing w:val="-4"/>
        </w:rPr>
        <w:t> </w:t>
      </w:r>
      <w:r>
        <w:rPr>
          <w:color w:val="FF0000"/>
        </w:rPr>
        <w:t>MPCA,</w:t>
      </w:r>
      <w:r>
        <w:rPr>
          <w:color w:val="FF0000"/>
          <w:spacing w:val="-3"/>
        </w:rPr>
        <w:t> </w:t>
      </w:r>
      <w:r>
        <w:rPr>
          <w:color w:val="FF0000"/>
        </w:rPr>
        <w:t>TGAI,</w:t>
      </w:r>
      <w:r>
        <w:rPr>
          <w:color w:val="FF0000"/>
          <w:spacing w:val="-3"/>
        </w:rPr>
        <w:t> </w:t>
      </w:r>
      <w:r>
        <w:rPr>
          <w:color w:val="FF0000"/>
        </w:rPr>
        <w:t>MP,</w:t>
      </w:r>
      <w:r>
        <w:rPr>
          <w:color w:val="FF0000"/>
          <w:spacing w:val="-3"/>
        </w:rPr>
        <w:t> </w:t>
      </w:r>
      <w:r>
        <w:rPr>
          <w:color w:val="FF0000"/>
        </w:rPr>
        <w:t>or</w:t>
      </w:r>
      <w:r>
        <w:rPr>
          <w:color w:val="FF0000"/>
          <w:spacing w:val="-4"/>
        </w:rPr>
        <w:t> </w:t>
      </w:r>
      <w:r>
        <w:rPr>
          <w:color w:val="FF0000"/>
        </w:rPr>
        <w:t>EP.]</w:t>
      </w:r>
    </w:p>
    <w:p>
      <w:pPr>
        <w:pStyle w:val="BodyText"/>
        <w:spacing w:before="10"/>
        <w:rPr>
          <w:i/>
          <w:sz w:val="21"/>
        </w:rPr>
      </w:pPr>
    </w:p>
    <w:p>
      <w:pPr>
        <w:spacing w:before="0"/>
        <w:ind w:left="859" w:right="0" w:firstLine="0"/>
        <w:jc w:val="left"/>
        <w:rPr>
          <w:sz w:val="22"/>
        </w:rPr>
      </w:pPr>
      <w:r>
        <w:rPr>
          <w:sz w:val="22"/>
        </w:rPr>
        <w:t>The waiver request is based on the following rationales:</w:t>
      </w:r>
    </w:p>
    <w:p>
      <w:pPr>
        <w:pStyle w:val="BodyText"/>
        <w:rPr>
          <w:i w:val="0"/>
          <w:sz w:val="22"/>
        </w:rPr>
      </w:pPr>
    </w:p>
    <w:p>
      <w:pPr>
        <w:pStyle w:val="ListParagraph"/>
        <w:numPr>
          <w:ilvl w:val="1"/>
          <w:numId w:val="5"/>
        </w:numPr>
        <w:tabs>
          <w:tab w:pos="1129" w:val="left" w:leader="none"/>
        </w:tabs>
        <w:spacing w:line="240" w:lineRule="auto" w:before="0" w:after="0"/>
        <w:ind w:left="859" w:right="272" w:firstLine="1"/>
        <w:jc w:val="left"/>
        <w:rPr>
          <w:i/>
          <w:sz w:val="22"/>
          <w:u w:val="none"/>
        </w:rPr>
      </w:pPr>
      <w:r>
        <w:rPr>
          <w:b/>
          <w:sz w:val="22"/>
          <w:u w:val="none"/>
        </w:rPr>
        <w:t>Increased aquatic exposure to </w:t>
      </w:r>
      <w:r>
        <w:rPr>
          <w:b/>
          <w:i/>
          <w:color w:val="FF0000"/>
          <w:sz w:val="22"/>
          <w:u w:val="none"/>
        </w:rPr>
        <w:t>[name of active ingredient]</w:t>
      </w:r>
      <w:r>
        <w:rPr>
          <w:b/>
          <w:sz w:val="22"/>
          <w:u w:val="none"/>
        </w:rPr>
        <w:t>, due to use of the end-use product </w:t>
      </w:r>
      <w:r>
        <w:rPr>
          <w:b/>
          <w:i/>
          <w:color w:val="FF0000"/>
          <w:sz w:val="22"/>
          <w:u w:val="none"/>
        </w:rPr>
        <w:t>[product name]</w:t>
      </w:r>
      <w:r>
        <w:rPr>
          <w:b/>
          <w:sz w:val="22"/>
          <w:u w:val="none"/>
        </w:rPr>
        <w:t>, will be minimal to aquatic invertebrates. </w:t>
      </w:r>
      <w:r>
        <w:rPr>
          <w:i/>
          <w:color w:val="FF0000"/>
          <w:sz w:val="22"/>
          <w:u w:val="none"/>
        </w:rPr>
        <w:t>[Applicant should provide further </w:t>
      </w:r>
      <w:r>
        <w:rPr>
          <w:i/>
          <w:color w:val="FF0000"/>
          <w:sz w:val="22"/>
          <w:u w:val="none"/>
        </w:rPr>
        <w:t>elaboration: Describe the natural habitat of the MPCA. Is it ubiquitous in nature (give geographical distribution)? Has the MPCA, and/or phylogenetically close species/strains, been isolated from soil/streams/ponds/lakes and a variety of plant surfaces including (identify names) crops/vegetables/fruits? Provide the known natural concentration of the MPCA in CFU/(weight-volume- surface area) in these environmental</w:t>
      </w:r>
      <w:r>
        <w:rPr>
          <w:i/>
          <w:color w:val="FF0000"/>
          <w:spacing w:val="-28"/>
          <w:sz w:val="22"/>
          <w:u w:val="none"/>
        </w:rPr>
        <w:t> </w:t>
      </w:r>
      <w:r>
        <w:rPr>
          <w:i/>
          <w:color w:val="FF0000"/>
          <w:sz w:val="22"/>
          <w:u w:val="none"/>
        </w:rPr>
        <w:t>niches.]</w:t>
      </w:r>
    </w:p>
    <w:p>
      <w:pPr>
        <w:pStyle w:val="BodyText"/>
        <w:spacing w:before="10"/>
        <w:rPr>
          <w:i/>
          <w:sz w:val="21"/>
        </w:rPr>
      </w:pPr>
    </w:p>
    <w:p>
      <w:pPr>
        <w:spacing w:before="1"/>
        <w:ind w:left="859" w:right="248" w:firstLine="0"/>
        <w:jc w:val="left"/>
        <w:rPr>
          <w:i/>
          <w:sz w:val="22"/>
        </w:rPr>
      </w:pPr>
      <w:r>
        <w:rPr>
          <w:sz w:val="22"/>
        </w:rPr>
        <w:t>Use of </w:t>
      </w:r>
      <w:r>
        <w:rPr>
          <w:i/>
          <w:color w:val="FF0000"/>
          <w:sz w:val="22"/>
        </w:rPr>
        <w:t>[product name] </w:t>
      </w:r>
      <w:r>
        <w:rPr>
          <w:sz w:val="22"/>
        </w:rPr>
        <w:t>will be limited to </w:t>
      </w:r>
      <w:r>
        <w:rPr>
          <w:i/>
          <w:color w:val="FF0000"/>
          <w:sz w:val="22"/>
        </w:rPr>
        <w:t>[soil, seed, foliar, greenhouse, etc.] </w:t>
      </w:r>
      <w:r>
        <w:rPr>
          <w:sz w:val="22"/>
        </w:rPr>
        <w:t>applications </w:t>
      </w:r>
      <w:r>
        <w:rPr>
          <w:i/>
          <w:color w:val="FF0000"/>
          <w:sz w:val="22"/>
        </w:rPr>
        <w:t>[by spray, dip, </w:t>
      </w:r>
      <w:r>
        <w:rPr>
          <w:i/>
          <w:color w:val="FF0000"/>
          <w:sz w:val="22"/>
        </w:rPr>
        <w:t>soil incorporation, aerial, etc.] </w:t>
      </w:r>
      <w:r>
        <w:rPr>
          <w:sz w:val="22"/>
        </w:rPr>
        <w:t>on </w:t>
      </w:r>
      <w:r>
        <w:rPr>
          <w:i/>
          <w:color w:val="FF0000"/>
          <w:sz w:val="22"/>
        </w:rPr>
        <w:t>[name crops/use sites]</w:t>
      </w:r>
      <w:r>
        <w:rPr>
          <w:sz w:val="22"/>
        </w:rPr>
        <w:t>, thus minimizing direct exposure to non-target aquatic arthropods. </w:t>
      </w:r>
      <w:r>
        <w:rPr>
          <w:i/>
          <w:color w:val="FF0000"/>
          <w:sz w:val="22"/>
        </w:rPr>
        <w:t>[Does timing of application preclude direct exposure to aquatic insects/arthropods? </w:t>
      </w:r>
      <w:r>
        <w:rPr>
          <w:i/>
          <w:color w:val="FF0000"/>
          <w:sz w:val="22"/>
        </w:rPr>
        <w:t>Discuss crop use sites and application methods and its effects on limiting runoff, if applicable. Give the rate in environmental reduction of the MPCA to background levels in days/weeks/months, if available.</w:t>
      </w:r>
    </w:p>
    <w:p>
      <w:pPr>
        <w:pStyle w:val="Heading5"/>
        <w:ind w:left="859" w:right="394"/>
      </w:pPr>
      <w:r>
        <w:rPr>
          <w:i/>
          <w:color w:val="FF0000"/>
        </w:rPr>
        <w:t>Include any other factors that would limit exposure to non-target insects and other aquatic arthropods. </w:t>
      </w:r>
      <w:r>
        <w:rPr>
          <w:color w:val="FF0000"/>
        </w:rPr>
        <w:t>Would any of the MPCA that reaches the soil/water behave as it would in the wild? State whether the</w:t>
      </w:r>
    </w:p>
    <w:p>
      <w:pPr>
        <w:spacing w:after="0"/>
        <w:sectPr>
          <w:pgSz w:w="12240" w:h="15840"/>
          <w:pgMar w:header="729" w:footer="1084" w:top="1940" w:bottom="1280" w:left="940" w:right="940"/>
        </w:sectPr>
      </w:pPr>
    </w:p>
    <w:p>
      <w:pPr>
        <w:spacing w:before="182"/>
        <w:ind w:left="860" w:right="0" w:firstLine="0"/>
        <w:jc w:val="left"/>
        <w:rPr>
          <w:i/>
          <w:sz w:val="22"/>
        </w:rPr>
      </w:pPr>
      <w:r>
        <w:rPr>
          <w:i/>
          <w:color w:val="FF0000"/>
          <w:sz w:val="22"/>
        </w:rPr>
        <w:t>MPCA does/does not survive or persist in aquatic ecosystems.]</w:t>
      </w:r>
    </w:p>
    <w:p>
      <w:pPr>
        <w:pStyle w:val="BodyText"/>
        <w:spacing w:before="10"/>
        <w:rPr>
          <w:i/>
          <w:sz w:val="21"/>
        </w:rPr>
      </w:pPr>
    </w:p>
    <w:p>
      <w:pPr>
        <w:pStyle w:val="ListParagraph"/>
        <w:numPr>
          <w:ilvl w:val="1"/>
          <w:numId w:val="5"/>
        </w:numPr>
        <w:tabs>
          <w:tab w:pos="1117" w:val="left" w:leader="none"/>
        </w:tabs>
        <w:spacing w:line="240" w:lineRule="auto" w:before="0" w:after="0"/>
        <w:ind w:left="859" w:right="149" w:firstLine="1"/>
        <w:jc w:val="left"/>
        <w:rPr>
          <w:i/>
          <w:sz w:val="22"/>
          <w:u w:val="none"/>
        </w:rPr>
      </w:pPr>
      <w:r>
        <w:rPr>
          <w:b/>
          <w:sz w:val="22"/>
          <w:u w:val="none"/>
        </w:rPr>
        <w:t>No evidence of adverse effects. </w:t>
      </w:r>
      <w:r>
        <w:rPr>
          <w:sz w:val="22"/>
          <w:u w:val="none"/>
        </w:rPr>
        <w:t>A literature search of the </w:t>
      </w:r>
      <w:r>
        <w:rPr>
          <w:i/>
          <w:color w:val="FF0000"/>
          <w:sz w:val="22"/>
          <w:u w:val="none"/>
        </w:rPr>
        <w:t>[e.g., AGRICOLA, TOXLINE, </w:t>
      </w:r>
      <w:r>
        <w:rPr>
          <w:i/>
          <w:color w:val="FF0000"/>
          <w:sz w:val="22"/>
          <w:u w:val="none"/>
        </w:rPr>
        <w:t>BIOLOGICAL ABSTRACTS, CHEMTOX, PUBMED, HAZARDOUS AND REGULATED CHEMICALS DATABASE or OTHER] </w:t>
      </w:r>
      <w:r>
        <w:rPr>
          <w:sz w:val="22"/>
          <w:u w:val="none"/>
        </w:rPr>
        <w:t>databases for the period </w:t>
      </w:r>
      <w:r>
        <w:rPr>
          <w:i/>
          <w:color w:val="FF0000"/>
          <w:sz w:val="22"/>
          <w:u w:val="none"/>
        </w:rPr>
        <w:t>[year range] </w:t>
      </w:r>
      <w:r>
        <w:rPr>
          <w:sz w:val="22"/>
          <w:u w:val="none"/>
        </w:rPr>
        <w:t>was conducted. In this literature search, </w:t>
      </w:r>
      <w:r>
        <w:rPr>
          <w:i/>
          <w:color w:val="FF0000"/>
          <w:sz w:val="22"/>
          <w:u w:val="none"/>
        </w:rPr>
        <w:t>[name of MPCA] </w:t>
      </w:r>
      <w:r>
        <w:rPr>
          <w:sz w:val="22"/>
          <w:u w:val="none"/>
        </w:rPr>
        <w:t>and other phylogenetically close species/strains in the </w:t>
      </w:r>
      <w:r>
        <w:rPr>
          <w:i/>
          <w:color w:val="FF0000"/>
          <w:sz w:val="22"/>
          <w:u w:val="none"/>
        </w:rPr>
        <w:t>[family/genus/species-group, etc., </w:t>
      </w:r>
      <w:r>
        <w:rPr>
          <w:i/>
          <w:color w:val="FF0000"/>
          <w:sz w:val="22"/>
          <w:u w:val="none"/>
        </w:rPr>
        <w:t>as appropriate]</w:t>
      </w:r>
      <w:r>
        <w:rPr>
          <w:sz w:val="22"/>
          <w:u w:val="none"/>
        </w:rPr>
        <w:t>, as well as synonyms </w:t>
      </w:r>
      <w:r>
        <w:rPr>
          <w:i/>
          <w:color w:val="FF0000"/>
          <w:sz w:val="22"/>
          <w:u w:val="none"/>
        </w:rPr>
        <w:t>[name of synonyms of MPCA, if any] </w:t>
      </w:r>
      <w:r>
        <w:rPr>
          <w:sz w:val="22"/>
          <w:u w:val="none"/>
        </w:rPr>
        <w:t>were used as the search words. The searches were also used to ascertain the known production of </w:t>
      </w:r>
      <w:r>
        <w:rPr>
          <w:i/>
          <w:color w:val="FF0000"/>
          <w:sz w:val="22"/>
          <w:u w:val="none"/>
        </w:rPr>
        <w:t>[genotoxic, carcinogenic, </w:t>
      </w:r>
      <w:r>
        <w:rPr>
          <w:i/>
          <w:color w:val="FF0000"/>
          <w:sz w:val="22"/>
          <w:u w:val="none"/>
        </w:rPr>
        <w:t>allergenic, mutagenic, toxic] </w:t>
      </w:r>
      <w:r>
        <w:rPr>
          <w:sz w:val="22"/>
          <w:u w:val="none"/>
        </w:rPr>
        <w:t>metabolites, antibiotics, mycotoxins, mycocins, pathogenicity, environmental/aquatic fate and interactions with aquatic arthropods. </w:t>
      </w:r>
      <w:r>
        <w:rPr>
          <w:i/>
          <w:color w:val="FF0000"/>
          <w:sz w:val="22"/>
          <w:u w:val="none"/>
        </w:rPr>
        <w:t>[Include the metabolites found to be </w:t>
      </w:r>
      <w:r>
        <w:rPr>
          <w:i/>
          <w:color w:val="FF0000"/>
          <w:sz w:val="22"/>
          <w:u w:val="none"/>
        </w:rPr>
        <w:t>produced - does the MPCA strain also produce these or other metabolites? Have natural populations of the MPCA or its metabolites been associated with adverse effects in aquatic arthropod species? Have any cases</w:t>
      </w:r>
      <w:r>
        <w:rPr>
          <w:i/>
          <w:color w:val="FF0000"/>
          <w:spacing w:val="-4"/>
          <w:sz w:val="22"/>
          <w:u w:val="none"/>
        </w:rPr>
        <w:t> </w:t>
      </w:r>
      <w:r>
        <w:rPr>
          <w:i/>
          <w:color w:val="FF0000"/>
          <w:sz w:val="22"/>
          <w:u w:val="none"/>
        </w:rPr>
        <w:t>or</w:t>
      </w:r>
      <w:r>
        <w:rPr>
          <w:i/>
          <w:color w:val="FF0000"/>
          <w:spacing w:val="-4"/>
          <w:sz w:val="22"/>
          <w:u w:val="none"/>
        </w:rPr>
        <w:t> </w:t>
      </w:r>
      <w:r>
        <w:rPr>
          <w:i/>
          <w:color w:val="FF0000"/>
          <w:sz w:val="22"/>
          <w:u w:val="none"/>
        </w:rPr>
        <w:t>evidence</w:t>
      </w:r>
      <w:r>
        <w:rPr>
          <w:i/>
          <w:color w:val="FF0000"/>
          <w:spacing w:val="-4"/>
          <w:sz w:val="22"/>
          <w:u w:val="none"/>
        </w:rPr>
        <w:t> </w:t>
      </w:r>
      <w:r>
        <w:rPr>
          <w:i/>
          <w:color w:val="FF0000"/>
          <w:sz w:val="22"/>
          <w:u w:val="none"/>
        </w:rPr>
        <w:t>of</w:t>
      </w:r>
      <w:r>
        <w:rPr>
          <w:i/>
          <w:color w:val="FF0000"/>
          <w:spacing w:val="-4"/>
          <w:sz w:val="22"/>
          <w:u w:val="none"/>
        </w:rPr>
        <w:t> </w:t>
      </w:r>
      <w:r>
        <w:rPr>
          <w:i/>
          <w:color w:val="FF0000"/>
          <w:sz w:val="22"/>
          <w:u w:val="none"/>
        </w:rPr>
        <w:t>adverse</w:t>
      </w:r>
      <w:r>
        <w:rPr>
          <w:i/>
          <w:color w:val="FF0000"/>
          <w:spacing w:val="-4"/>
          <w:sz w:val="22"/>
          <w:u w:val="none"/>
        </w:rPr>
        <w:t> </w:t>
      </w:r>
      <w:r>
        <w:rPr>
          <w:i/>
          <w:color w:val="FF0000"/>
          <w:sz w:val="22"/>
          <w:u w:val="none"/>
        </w:rPr>
        <w:t>effects,</w:t>
      </w:r>
      <w:r>
        <w:rPr>
          <w:i/>
          <w:color w:val="FF0000"/>
          <w:spacing w:val="-4"/>
          <w:sz w:val="22"/>
          <w:u w:val="none"/>
        </w:rPr>
        <w:t> </w:t>
      </w:r>
      <w:r>
        <w:rPr>
          <w:i/>
          <w:color w:val="FF0000"/>
          <w:sz w:val="22"/>
          <w:u w:val="none"/>
        </w:rPr>
        <w:t>due</w:t>
      </w:r>
      <w:r>
        <w:rPr>
          <w:i/>
          <w:color w:val="FF0000"/>
          <w:spacing w:val="-4"/>
          <w:sz w:val="22"/>
          <w:u w:val="none"/>
        </w:rPr>
        <w:t> </w:t>
      </w:r>
      <w:r>
        <w:rPr>
          <w:i/>
          <w:color w:val="FF0000"/>
          <w:sz w:val="22"/>
          <w:u w:val="none"/>
        </w:rPr>
        <w:t>to</w:t>
      </w:r>
      <w:r>
        <w:rPr>
          <w:i/>
          <w:color w:val="FF0000"/>
          <w:spacing w:val="-4"/>
          <w:sz w:val="22"/>
          <w:u w:val="none"/>
        </w:rPr>
        <w:t> </w:t>
      </w:r>
      <w:r>
        <w:rPr>
          <w:i/>
          <w:color w:val="FF0000"/>
          <w:sz w:val="22"/>
          <w:u w:val="none"/>
        </w:rPr>
        <w:t>the</w:t>
      </w:r>
      <w:r>
        <w:rPr>
          <w:i/>
          <w:color w:val="FF0000"/>
          <w:spacing w:val="-4"/>
          <w:sz w:val="22"/>
          <w:u w:val="none"/>
        </w:rPr>
        <w:t> </w:t>
      </w:r>
      <w:r>
        <w:rPr>
          <w:i/>
          <w:color w:val="FF0000"/>
          <w:sz w:val="22"/>
          <w:u w:val="none"/>
        </w:rPr>
        <w:t>MPCA,</w:t>
      </w:r>
      <w:r>
        <w:rPr>
          <w:i/>
          <w:color w:val="FF0000"/>
          <w:spacing w:val="-4"/>
          <w:sz w:val="22"/>
          <w:u w:val="none"/>
        </w:rPr>
        <w:t> </w:t>
      </w:r>
      <w:r>
        <w:rPr>
          <w:i/>
          <w:color w:val="FF0000"/>
          <w:sz w:val="22"/>
          <w:u w:val="none"/>
        </w:rPr>
        <w:t>been</w:t>
      </w:r>
      <w:r>
        <w:rPr>
          <w:i/>
          <w:color w:val="FF0000"/>
          <w:spacing w:val="-4"/>
          <w:sz w:val="22"/>
          <w:u w:val="none"/>
        </w:rPr>
        <w:t> </w:t>
      </w:r>
      <w:r>
        <w:rPr>
          <w:i/>
          <w:color w:val="FF0000"/>
          <w:sz w:val="22"/>
          <w:u w:val="none"/>
        </w:rPr>
        <w:t>reported</w:t>
      </w:r>
      <w:r>
        <w:rPr>
          <w:i/>
          <w:color w:val="FF0000"/>
          <w:spacing w:val="-4"/>
          <w:sz w:val="22"/>
          <w:u w:val="none"/>
        </w:rPr>
        <w:t> </w:t>
      </w:r>
      <w:r>
        <w:rPr>
          <w:i/>
          <w:color w:val="FF0000"/>
          <w:sz w:val="22"/>
          <w:u w:val="none"/>
        </w:rPr>
        <w:t>in</w:t>
      </w:r>
      <w:r>
        <w:rPr>
          <w:i/>
          <w:color w:val="FF0000"/>
          <w:spacing w:val="-4"/>
          <w:sz w:val="22"/>
          <w:u w:val="none"/>
        </w:rPr>
        <w:t> </w:t>
      </w:r>
      <w:r>
        <w:rPr>
          <w:i/>
          <w:color w:val="FF0000"/>
          <w:sz w:val="22"/>
          <w:u w:val="none"/>
        </w:rPr>
        <w:t>the</w:t>
      </w:r>
      <w:r>
        <w:rPr>
          <w:i/>
          <w:color w:val="FF0000"/>
          <w:spacing w:val="-4"/>
          <w:sz w:val="22"/>
          <w:u w:val="none"/>
        </w:rPr>
        <w:t> </w:t>
      </w:r>
      <w:r>
        <w:rPr>
          <w:i/>
          <w:color w:val="FF0000"/>
          <w:sz w:val="22"/>
          <w:u w:val="none"/>
        </w:rPr>
        <w:t>literature?]</w:t>
      </w:r>
    </w:p>
    <w:p>
      <w:pPr>
        <w:pStyle w:val="BodyText"/>
        <w:spacing w:before="10"/>
        <w:rPr>
          <w:i/>
          <w:sz w:val="21"/>
        </w:rPr>
      </w:pPr>
    </w:p>
    <w:p>
      <w:pPr>
        <w:pStyle w:val="Heading5"/>
        <w:ind w:left="859" w:right="162"/>
      </w:pPr>
      <w:r>
        <w:rPr>
          <w:i/>
          <w:color w:val="FF0000"/>
        </w:rPr>
        <w:t>[Discuss whether runoff or overspray would result in effects not seen from the naturally occurring MPCA </w:t>
      </w:r>
      <w:r>
        <w:rPr>
          <w:color w:val="FF0000"/>
        </w:rPr>
        <w:t>levels. Does the MPCA appear on any authoritative list of aquatic insect/arthropod pathogens, particularly crustaceans? Provide the lists examined. Have any adverse effects to wild populations of aquatic arthropods been reported due to naturally occurring populations of the MPCA?]</w:t>
      </w:r>
    </w:p>
    <w:p>
      <w:pPr>
        <w:pStyle w:val="BodyText"/>
        <w:spacing w:before="10"/>
        <w:rPr>
          <w:i/>
          <w:sz w:val="21"/>
        </w:rPr>
      </w:pPr>
    </w:p>
    <w:p>
      <w:pPr>
        <w:spacing w:before="0"/>
        <w:ind w:left="859" w:right="256" w:firstLine="0"/>
        <w:jc w:val="left"/>
        <w:rPr>
          <w:b/>
          <w:sz w:val="22"/>
        </w:rPr>
      </w:pPr>
      <w:r>
        <w:rPr>
          <w:b/>
          <w:color w:val="FF0000"/>
          <w:sz w:val="22"/>
        </w:rPr>
        <w:t>[</w:t>
      </w:r>
      <w:r>
        <w:rPr>
          <w:b/>
          <w:i/>
          <w:color w:val="FF0000"/>
          <w:sz w:val="22"/>
        </w:rPr>
        <w:t>NOTE: All statements used as justification to support the scientific rationale for the waiver rationale </w:t>
      </w:r>
      <w:r>
        <w:rPr>
          <w:b/>
          <w:i/>
          <w:color w:val="FF0000"/>
          <w:sz w:val="22"/>
        </w:rPr>
        <w:t>should be individually supported by a reference (i.e. studies in the open literature, references to other study reports in the submission and/ or other studies conducted by the registrant/applicant). Include specific details and/or excerpts of relevant data/information from individual references. Supporting data include:  background information of MPCA (e.g. previously reported characterization data related to its identity, mode of action, its nature, prevalence and/or interactions in the environment), supporting evidence/rationale for lack of adverse effects and lack (or minimal) environmental exposure to nontarget species, history of safe use, and/or significant similarities to other microbial strains.</w:t>
      </w:r>
      <w:r>
        <w:rPr>
          <w:b/>
          <w:color w:val="FF0000"/>
          <w:sz w:val="22"/>
        </w:rPr>
        <w:t>]</w:t>
      </w:r>
    </w:p>
    <w:p>
      <w:pPr>
        <w:pStyle w:val="BodyText"/>
        <w:spacing w:before="11"/>
        <w:rPr>
          <w:b/>
          <w:i w:val="0"/>
          <w:sz w:val="21"/>
        </w:rPr>
      </w:pPr>
    </w:p>
    <w:p>
      <w:pPr>
        <w:pStyle w:val="ListParagraph"/>
        <w:numPr>
          <w:ilvl w:val="0"/>
          <w:numId w:val="5"/>
        </w:numPr>
        <w:tabs>
          <w:tab w:pos="859" w:val="left" w:leader="none"/>
          <w:tab w:pos="860" w:val="left" w:leader="none"/>
        </w:tabs>
        <w:spacing w:line="240" w:lineRule="auto" w:before="0" w:after="0"/>
        <w:ind w:left="859" w:right="0" w:hanging="720"/>
        <w:jc w:val="left"/>
        <w:rPr>
          <w:b/>
          <w:sz w:val="22"/>
          <w:u w:val="none"/>
        </w:rPr>
      </w:pPr>
      <w:r>
        <w:rPr>
          <w:b/>
          <w:sz w:val="22"/>
          <w:u w:val="none"/>
        </w:rPr>
        <w:t>CONCLUSION</w:t>
      </w:r>
    </w:p>
    <w:p>
      <w:pPr>
        <w:pStyle w:val="BodyText"/>
        <w:spacing w:before="10"/>
        <w:rPr>
          <w:b/>
          <w:i w:val="0"/>
          <w:sz w:val="21"/>
        </w:rPr>
      </w:pPr>
    </w:p>
    <w:p>
      <w:pPr>
        <w:pStyle w:val="ListParagraph"/>
        <w:numPr>
          <w:ilvl w:val="0"/>
          <w:numId w:val="6"/>
        </w:numPr>
        <w:tabs>
          <w:tab w:pos="859" w:val="left" w:leader="none"/>
          <w:tab w:pos="861" w:val="left" w:leader="none"/>
          <w:tab w:pos="4515" w:val="left" w:leader="none"/>
        </w:tabs>
        <w:spacing w:line="240" w:lineRule="auto" w:before="0" w:after="0"/>
        <w:ind w:left="860" w:right="311" w:hanging="720"/>
        <w:jc w:val="left"/>
        <w:rPr>
          <w:i/>
          <w:sz w:val="22"/>
          <w:u w:val="none"/>
        </w:rPr>
      </w:pPr>
      <w:r>
        <w:rPr>
          <w:b/>
          <w:sz w:val="22"/>
          <w:u w:val="thick"/>
        </w:rPr>
        <w:t>STUDY</w:t>
      </w:r>
      <w:r>
        <w:rPr>
          <w:b/>
          <w:spacing w:val="-3"/>
          <w:sz w:val="22"/>
          <w:u w:val="thick"/>
        </w:rPr>
        <w:t> </w:t>
      </w:r>
      <w:r>
        <w:rPr>
          <w:b/>
          <w:sz w:val="22"/>
          <w:u w:val="thick"/>
        </w:rPr>
        <w:t>AUTHOR</w:t>
      </w:r>
      <w:r>
        <w:rPr>
          <w:b/>
          <w:spacing w:val="-4"/>
          <w:sz w:val="22"/>
          <w:u w:val="thick"/>
        </w:rPr>
        <w:t> </w:t>
      </w:r>
      <w:r>
        <w:rPr>
          <w:b/>
          <w:sz w:val="22"/>
          <w:u w:val="thick"/>
        </w:rPr>
        <w:t>CONCLUSION:</w:t>
      </w:r>
      <w:r>
        <w:rPr>
          <w:b/>
          <w:sz w:val="22"/>
          <w:u w:val="none"/>
        </w:rPr>
        <w:tab/>
      </w:r>
      <w:r>
        <w:rPr>
          <w:i/>
          <w:color w:val="FF0000"/>
          <w:sz w:val="22"/>
          <w:u w:val="none"/>
        </w:rPr>
        <w:t>[Summarize the study author’s conclusions- Provide</w:t>
      </w:r>
      <w:r>
        <w:rPr>
          <w:i/>
          <w:color w:val="FF0000"/>
          <w:spacing w:val="-25"/>
          <w:sz w:val="22"/>
          <w:u w:val="none"/>
        </w:rPr>
        <w:t> </w:t>
      </w:r>
      <w:r>
        <w:rPr>
          <w:i/>
          <w:color w:val="FF0000"/>
          <w:sz w:val="22"/>
          <w:u w:val="none"/>
        </w:rPr>
        <w:t>the</w:t>
      </w:r>
      <w:r>
        <w:rPr>
          <w:i/>
          <w:color w:val="FF0000"/>
          <w:spacing w:val="-5"/>
          <w:sz w:val="22"/>
          <w:u w:val="none"/>
        </w:rPr>
        <w:t> </w:t>
      </w:r>
      <w:r>
        <w:rPr>
          <w:i/>
          <w:color w:val="FF0000"/>
          <w:sz w:val="22"/>
          <w:u w:val="none"/>
        </w:rPr>
        <w:t>major</w:t>
      </w:r>
      <w:r>
        <w:rPr>
          <w:i/>
          <w:color w:val="FF0000"/>
          <w:w w:val="99"/>
          <w:sz w:val="22"/>
          <w:u w:val="none"/>
        </w:rPr>
        <w:t> </w:t>
      </w:r>
      <w:r>
        <w:rPr>
          <w:i/>
          <w:color w:val="FF0000"/>
          <w:sz w:val="22"/>
          <w:u w:val="none"/>
        </w:rPr>
        <w:t>conclusions e.g., values for LC</w:t>
      </w:r>
      <w:r>
        <w:rPr>
          <w:i/>
          <w:color w:val="FF0000"/>
          <w:position w:val="-1"/>
          <w:sz w:val="14"/>
          <w:u w:val="none"/>
        </w:rPr>
        <w:t>50</w:t>
      </w:r>
      <w:r>
        <w:rPr>
          <w:i/>
          <w:color w:val="FF0000"/>
          <w:sz w:val="22"/>
          <w:u w:val="none"/>
        </w:rPr>
        <w:t>, ID</w:t>
      </w:r>
      <w:r>
        <w:rPr>
          <w:i/>
          <w:color w:val="FF0000"/>
          <w:position w:val="-1"/>
          <w:sz w:val="14"/>
          <w:u w:val="none"/>
        </w:rPr>
        <w:t>50</w:t>
      </w:r>
      <w:r>
        <w:rPr>
          <w:i/>
          <w:color w:val="FF0000"/>
          <w:sz w:val="22"/>
          <w:u w:val="none"/>
        </w:rPr>
        <w:t>, EC</w:t>
      </w:r>
      <w:r>
        <w:rPr>
          <w:i/>
          <w:color w:val="FF0000"/>
          <w:position w:val="-1"/>
          <w:sz w:val="14"/>
          <w:u w:val="none"/>
        </w:rPr>
        <w:t>50</w:t>
      </w:r>
      <w:r>
        <w:rPr>
          <w:i/>
          <w:color w:val="FF0000"/>
          <w:sz w:val="22"/>
          <w:u w:val="none"/>
        </w:rPr>
        <w:t>, NOEC, etc. </w:t>
      </w:r>
      <w:r>
        <w:rPr>
          <w:sz w:val="22"/>
          <w:u w:val="none"/>
        </w:rPr>
        <w:t>were </w:t>
      </w:r>
      <w:r>
        <w:rPr>
          <w:i/>
          <w:color w:val="FF0000"/>
          <w:sz w:val="22"/>
          <w:u w:val="none"/>
        </w:rPr>
        <w:t>[</w:t>
      </w:r>
      <w:r>
        <w:rPr>
          <w:b/>
          <w:i/>
          <w:color w:val="FF0000"/>
          <w:sz w:val="22"/>
          <w:u w:val="none"/>
        </w:rPr>
        <w:t>=, &gt; or &lt;</w:t>
      </w:r>
      <w:r>
        <w:rPr>
          <w:i/>
          <w:color w:val="FF0000"/>
          <w:sz w:val="22"/>
          <w:u w:val="none"/>
        </w:rPr>
        <w:t>] insert final dose </w:t>
      </w:r>
      <w:r>
        <w:rPr>
          <w:i/>
          <w:color w:val="FF0000"/>
          <w:sz w:val="22"/>
          <w:u w:val="none"/>
        </w:rPr>
        <w:t>concentration/level (in appropriate</w:t>
      </w:r>
      <w:r>
        <w:rPr>
          <w:i/>
          <w:color w:val="FF0000"/>
          <w:spacing w:val="-24"/>
          <w:sz w:val="22"/>
          <w:u w:val="none"/>
        </w:rPr>
        <w:t> </w:t>
      </w:r>
      <w:r>
        <w:rPr>
          <w:i/>
          <w:color w:val="FF0000"/>
          <w:sz w:val="22"/>
          <w:u w:val="none"/>
        </w:rPr>
        <w:t>units).]</w:t>
      </w:r>
    </w:p>
    <w:p>
      <w:pPr>
        <w:pStyle w:val="BodyText"/>
        <w:spacing w:before="2"/>
        <w:rPr>
          <w:i/>
          <w:sz w:val="25"/>
        </w:rPr>
      </w:pPr>
    </w:p>
    <w:p>
      <w:pPr>
        <w:pStyle w:val="ListParagraph"/>
        <w:numPr>
          <w:ilvl w:val="0"/>
          <w:numId w:val="6"/>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7"/>
        <w:rPr>
          <w:i/>
          <w:sz w:val="20"/>
        </w:rPr>
      </w:pPr>
    </w:p>
    <w:p>
      <w:pPr>
        <w:pStyle w:val="Heading5"/>
        <w:numPr>
          <w:ilvl w:val="0"/>
          <w:numId w:val="6"/>
        </w:numPr>
        <w:tabs>
          <w:tab w:pos="859" w:val="left" w:leader="none"/>
          <w:tab w:pos="861" w:val="left" w:leader="none"/>
          <w:tab w:pos="3019" w:val="left" w:leader="none"/>
        </w:tabs>
        <w:spacing w:line="240" w:lineRule="auto" w:before="91"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6"/>
        <w:rPr>
          <w:i/>
          <w:sz w:val="28"/>
        </w:rPr>
      </w:pPr>
    </w:p>
    <w:p>
      <w:pPr>
        <w:pStyle w:val="ListParagraph"/>
        <w:numPr>
          <w:ilvl w:val="0"/>
          <w:numId w:val="6"/>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4"/>
        <w:rPr>
          <w:b/>
          <w:i w:val="0"/>
          <w:sz w:val="28"/>
        </w:rPr>
      </w:pPr>
    </w:p>
    <w:p>
      <w:pPr>
        <w:pStyle w:val="ListParagraph"/>
        <w:numPr>
          <w:ilvl w:val="0"/>
          <w:numId w:val="5"/>
        </w:numPr>
        <w:tabs>
          <w:tab w:pos="859" w:val="left" w:leader="none"/>
          <w:tab w:pos="861" w:val="left" w:leader="none"/>
        </w:tabs>
        <w:spacing w:line="240" w:lineRule="auto" w:before="0" w:after="0"/>
        <w:ind w:left="860" w:right="211" w:hanging="720"/>
        <w:jc w:val="left"/>
        <w:rPr>
          <w:i/>
          <w:sz w:val="22"/>
          <w:u w:val="none"/>
        </w:rPr>
      </w:pPr>
      <w:r>
        <w:rPr>
          <w:b/>
          <w:sz w:val="22"/>
          <w:u w:val="none"/>
        </w:rPr>
        <w:t>REFERENCES: </w:t>
      </w:r>
      <w:r>
        <w:rPr>
          <w:i/>
          <w:color w:val="FF0000"/>
          <w:sz w:val="22"/>
          <w:u w:val="none"/>
        </w:rPr>
        <w:t>[List references that were cited in the study report] </w:t>
      </w:r>
      <w:r>
        <w:rPr>
          <w:b/>
          <w:i/>
          <w:color w:val="1F497D"/>
          <w:sz w:val="22"/>
          <w:u w:val="none"/>
        </w:rPr>
        <w:t>[NOTE: </w:t>
      </w:r>
      <w:r>
        <w:rPr>
          <w:i/>
          <w:color w:val="1F497D"/>
          <w:sz w:val="22"/>
          <w:u w:val="none"/>
        </w:rPr>
        <w:t>Depending on the level of </w:t>
      </w:r>
      <w:r>
        <w:rPr>
          <w:i/>
          <w:color w:val="1F497D"/>
          <w:sz w:val="22"/>
          <w:u w:val="none"/>
        </w:rPr>
        <w:t>relevance- copies of published literature and any other supporting literature that support the use of alternative</w:t>
      </w:r>
      <w:r>
        <w:rPr>
          <w:i/>
          <w:color w:val="1F497D"/>
          <w:spacing w:val="-5"/>
          <w:sz w:val="22"/>
          <w:u w:val="none"/>
        </w:rPr>
        <w:t> </w:t>
      </w:r>
      <w:r>
        <w:rPr>
          <w:i/>
          <w:color w:val="1F497D"/>
          <w:sz w:val="22"/>
          <w:u w:val="none"/>
        </w:rPr>
        <w:t>data/waiver</w:t>
      </w:r>
      <w:r>
        <w:rPr>
          <w:i/>
          <w:color w:val="1F497D"/>
          <w:spacing w:val="-5"/>
          <w:sz w:val="22"/>
          <w:u w:val="none"/>
        </w:rPr>
        <w:t> </w:t>
      </w:r>
      <w:r>
        <w:rPr>
          <w:i/>
          <w:color w:val="1F497D"/>
          <w:sz w:val="22"/>
          <w:u w:val="none"/>
        </w:rPr>
        <w:t>rationale</w:t>
      </w:r>
      <w:r>
        <w:rPr>
          <w:i/>
          <w:color w:val="1F497D"/>
          <w:spacing w:val="-5"/>
          <w:sz w:val="22"/>
          <w:u w:val="none"/>
        </w:rPr>
        <w:t> </w:t>
      </w:r>
      <w:r>
        <w:rPr>
          <w:i/>
          <w:color w:val="1F497D"/>
          <w:sz w:val="22"/>
          <w:u w:val="none"/>
        </w:rPr>
        <w:t>(including</w:t>
      </w:r>
      <w:r>
        <w:rPr>
          <w:i/>
          <w:color w:val="1F497D"/>
          <w:spacing w:val="-5"/>
          <w:sz w:val="22"/>
          <w:u w:val="none"/>
        </w:rPr>
        <w:t> </w:t>
      </w:r>
      <w:r>
        <w:rPr>
          <w:i/>
          <w:color w:val="1F497D"/>
          <w:sz w:val="22"/>
          <w:u w:val="none"/>
        </w:rPr>
        <w:t>other</w:t>
      </w:r>
      <w:r>
        <w:rPr>
          <w:i/>
          <w:color w:val="1F497D"/>
          <w:spacing w:val="-5"/>
          <w:sz w:val="22"/>
          <w:u w:val="none"/>
        </w:rPr>
        <w:t> </w:t>
      </w:r>
      <w:r>
        <w:rPr>
          <w:i/>
          <w:color w:val="1F497D"/>
          <w:sz w:val="22"/>
          <w:u w:val="none"/>
        </w:rPr>
        <w:t>studies</w:t>
      </w:r>
      <w:r>
        <w:rPr>
          <w:i/>
          <w:color w:val="1F497D"/>
          <w:spacing w:val="-5"/>
          <w:sz w:val="22"/>
          <w:u w:val="none"/>
        </w:rPr>
        <w:t> </w:t>
      </w:r>
      <w:r>
        <w:rPr>
          <w:i/>
          <w:color w:val="1F497D"/>
          <w:sz w:val="22"/>
          <w:u w:val="none"/>
        </w:rPr>
        <w:t>reporting</w:t>
      </w:r>
      <w:r>
        <w:rPr>
          <w:i/>
          <w:color w:val="1F497D"/>
          <w:spacing w:val="-5"/>
          <w:sz w:val="22"/>
          <w:u w:val="none"/>
        </w:rPr>
        <w:t> </w:t>
      </w:r>
      <w:r>
        <w:rPr>
          <w:i/>
          <w:color w:val="1F497D"/>
          <w:sz w:val="22"/>
          <w:u w:val="none"/>
        </w:rPr>
        <w:t>similar</w:t>
      </w:r>
      <w:r>
        <w:rPr>
          <w:i/>
          <w:color w:val="1F497D"/>
          <w:spacing w:val="-5"/>
          <w:sz w:val="22"/>
          <w:u w:val="none"/>
        </w:rPr>
        <w:t> </w:t>
      </w:r>
      <w:r>
        <w:rPr>
          <w:i/>
          <w:color w:val="1F497D"/>
          <w:sz w:val="22"/>
          <w:u w:val="none"/>
        </w:rPr>
        <w:t>findings)</w:t>
      </w:r>
      <w:r>
        <w:rPr>
          <w:i/>
          <w:color w:val="1F497D"/>
          <w:spacing w:val="-5"/>
          <w:sz w:val="22"/>
          <w:u w:val="none"/>
        </w:rPr>
        <w:t> </w:t>
      </w:r>
      <w:r>
        <w:rPr>
          <w:i/>
          <w:color w:val="1F497D"/>
          <w:sz w:val="22"/>
          <w:u w:val="none"/>
        </w:rPr>
        <w:t>should</w:t>
      </w:r>
      <w:r>
        <w:rPr>
          <w:i/>
          <w:color w:val="1F497D"/>
          <w:spacing w:val="-5"/>
          <w:sz w:val="22"/>
          <w:u w:val="none"/>
        </w:rPr>
        <w:t> </w:t>
      </w:r>
      <w:r>
        <w:rPr>
          <w:i/>
          <w:color w:val="1F497D"/>
          <w:sz w:val="22"/>
          <w:u w:val="none"/>
        </w:rPr>
        <w:t>be</w:t>
      </w:r>
      <w:r>
        <w:rPr>
          <w:i/>
          <w:color w:val="1F497D"/>
          <w:spacing w:val="-6"/>
          <w:sz w:val="22"/>
          <w:u w:val="none"/>
        </w:rPr>
        <w:t> </w:t>
      </w:r>
      <w:r>
        <w:rPr>
          <w:i/>
          <w:color w:val="1F497D"/>
          <w:sz w:val="22"/>
          <w:u w:val="none"/>
        </w:rPr>
        <w:t>provided</w:t>
      </w:r>
    </w:p>
    <w:p>
      <w:pPr>
        <w:spacing w:after="0" w:line="240" w:lineRule="auto"/>
        <w:jc w:val="left"/>
        <w:rPr>
          <w:sz w:val="22"/>
        </w:rPr>
        <w:sectPr>
          <w:pgSz w:w="12240" w:h="15840"/>
          <w:pgMar w:header="729" w:footer="1084" w:top="1940" w:bottom="1280" w:left="940" w:right="940"/>
        </w:sectPr>
      </w:pPr>
    </w:p>
    <w:p>
      <w:pPr>
        <w:spacing w:before="182"/>
        <w:ind w:left="860" w:right="1091" w:firstLine="0"/>
        <w:jc w:val="left"/>
        <w:rPr>
          <w:i/>
          <w:sz w:val="22"/>
        </w:rPr>
      </w:pPr>
      <w:r>
        <w:rPr>
          <w:i/>
          <w:color w:val="1F497D"/>
          <w:sz w:val="22"/>
        </w:rPr>
        <w:t>as an appendix and attached to the study report for the reviewer’s reference and verification of </w:t>
      </w:r>
      <w:r>
        <w:rPr>
          <w:i/>
          <w:color w:val="1F497D"/>
          <w:sz w:val="22"/>
        </w:rPr>
        <w:t>rationale.]</w:t>
      </w:r>
    </w:p>
    <w:p>
      <w:pPr>
        <w:spacing w:after="0"/>
        <w:jc w:val="left"/>
        <w:rPr>
          <w:sz w:val="22"/>
        </w:rPr>
        <w:sectPr>
          <w:pgSz w:w="12240" w:h="15840"/>
          <w:pgMar w:header="729" w:footer="1084" w:top="1940" w:bottom="1280" w:left="940" w:right="940"/>
        </w:sectPr>
      </w:pPr>
    </w:p>
    <w:p>
      <w:pPr>
        <w:spacing w:before="183"/>
        <w:ind w:left="140" w:right="0" w:firstLine="0"/>
        <w:jc w:val="left"/>
        <w:rPr>
          <w:b/>
          <w:i/>
          <w:sz w:val="30"/>
        </w:rPr>
      </w:pPr>
      <w:r>
        <w:rPr>
          <w:b/>
          <w:i/>
          <w:color w:val="FF0000"/>
          <w:sz w:val="30"/>
        </w:rPr>
        <w:t>(For a published study, otherwise delete)</w:t>
      </w:r>
    </w:p>
    <w:p>
      <w:pPr>
        <w:pStyle w:val="ListParagraph"/>
        <w:numPr>
          <w:ilvl w:val="0"/>
          <w:numId w:val="7"/>
        </w:numPr>
        <w:tabs>
          <w:tab w:pos="859" w:val="left" w:leader="none"/>
          <w:tab w:pos="860" w:val="left" w:leader="none"/>
          <w:tab w:pos="2299" w:val="left" w:leader="none"/>
        </w:tabs>
        <w:spacing w:line="240" w:lineRule="auto" w:before="274" w:after="0"/>
        <w:ind w:left="860" w:right="0" w:hanging="720"/>
        <w:jc w:val="left"/>
        <w:rPr>
          <w:i/>
          <w:sz w:val="22"/>
          <w:u w:val="none"/>
        </w:rPr>
      </w:pPr>
      <w:r>
        <w:rPr>
          <w:b/>
          <w:sz w:val="22"/>
          <w:u w:val="none"/>
        </w:rPr>
        <w:t>PURPOSE</w:t>
        <w:tab/>
      </w:r>
      <w:r>
        <w:rPr>
          <w:i/>
          <w:color w:val="FF0000"/>
          <w:sz w:val="22"/>
          <w:u w:val="none"/>
        </w:rPr>
        <w:t>[Indicate the purpose of the</w:t>
      </w:r>
      <w:r>
        <w:rPr>
          <w:i/>
          <w:color w:val="FF0000"/>
          <w:spacing w:val="-18"/>
          <w:sz w:val="22"/>
          <w:u w:val="none"/>
        </w:rPr>
        <w:t> </w:t>
      </w:r>
      <w:r>
        <w:rPr>
          <w:i/>
          <w:color w:val="FF0000"/>
          <w:sz w:val="22"/>
          <w:u w:val="none"/>
        </w:rPr>
        <w:t>study]</w:t>
      </w:r>
    </w:p>
    <w:p>
      <w:pPr>
        <w:pStyle w:val="BodyText"/>
        <w:spacing w:before="11"/>
        <w:rPr>
          <w:i/>
          <w:sz w:val="21"/>
        </w:rPr>
      </w:pPr>
    </w:p>
    <w:p>
      <w:pPr>
        <w:pStyle w:val="ListParagraph"/>
        <w:numPr>
          <w:ilvl w:val="0"/>
          <w:numId w:val="7"/>
        </w:numPr>
        <w:tabs>
          <w:tab w:pos="859" w:val="left" w:leader="none"/>
          <w:tab w:pos="861" w:val="left" w:leader="none"/>
          <w:tab w:pos="2300" w:val="left" w:leader="none"/>
        </w:tabs>
        <w:spacing w:line="240" w:lineRule="auto" w:before="0" w:after="0"/>
        <w:ind w:left="860" w:right="0" w:hanging="720"/>
        <w:jc w:val="left"/>
        <w:rPr>
          <w:i/>
          <w:sz w:val="22"/>
          <w:u w:val="none"/>
        </w:rPr>
      </w:pPr>
      <w:r>
        <w:rPr>
          <w:b/>
          <w:sz w:val="22"/>
          <w:u w:val="none"/>
        </w:rPr>
        <w:t>METHOD</w:t>
        <w:tab/>
      </w:r>
      <w:r>
        <w:rPr>
          <w:i/>
          <w:color w:val="FF0000"/>
          <w:sz w:val="22"/>
          <w:u w:val="none"/>
        </w:rPr>
        <w:t>[Describe the experimental</w:t>
      </w:r>
      <w:r>
        <w:rPr>
          <w:i/>
          <w:color w:val="FF0000"/>
          <w:spacing w:val="-22"/>
          <w:sz w:val="22"/>
          <w:u w:val="none"/>
        </w:rPr>
        <w:t> </w:t>
      </w:r>
      <w:r>
        <w:rPr>
          <w:i/>
          <w:color w:val="FF0000"/>
          <w:sz w:val="22"/>
          <w:u w:val="none"/>
        </w:rPr>
        <w:t>procedure]</w:t>
      </w:r>
    </w:p>
    <w:p>
      <w:pPr>
        <w:pStyle w:val="BodyText"/>
        <w:spacing w:before="11"/>
        <w:rPr>
          <w:i/>
          <w:sz w:val="21"/>
        </w:rPr>
      </w:pPr>
    </w:p>
    <w:p>
      <w:pPr>
        <w:pStyle w:val="ListParagraph"/>
        <w:numPr>
          <w:ilvl w:val="0"/>
          <w:numId w:val="7"/>
        </w:numPr>
        <w:tabs>
          <w:tab w:pos="860" w:val="left" w:leader="none"/>
          <w:tab w:pos="861" w:val="left" w:leader="none"/>
          <w:tab w:pos="2300" w:val="left" w:leader="none"/>
        </w:tabs>
        <w:spacing w:line="240" w:lineRule="auto" w:before="0" w:after="0"/>
        <w:ind w:left="860" w:right="0" w:hanging="720"/>
        <w:jc w:val="left"/>
        <w:rPr>
          <w:i/>
          <w:sz w:val="22"/>
          <w:u w:val="none"/>
        </w:rPr>
      </w:pPr>
      <w:r>
        <w:rPr>
          <w:b/>
          <w:sz w:val="22"/>
          <w:u w:val="none"/>
        </w:rPr>
        <w:t>RESULTS</w:t>
        <w:tab/>
      </w:r>
      <w:r>
        <w:rPr>
          <w:i/>
          <w:color w:val="FF0000"/>
          <w:sz w:val="22"/>
          <w:u w:val="none"/>
        </w:rPr>
        <w:t>[Summarize the results using appropriate</w:t>
      </w:r>
      <w:r>
        <w:rPr>
          <w:i/>
          <w:color w:val="FF0000"/>
          <w:spacing w:val="-27"/>
          <w:sz w:val="22"/>
          <w:u w:val="none"/>
        </w:rPr>
        <w:t> </w:t>
      </w:r>
      <w:r>
        <w:rPr>
          <w:i/>
          <w:color w:val="FF0000"/>
          <w:sz w:val="22"/>
          <w:u w:val="none"/>
        </w:rPr>
        <w:t>headers</w:t>
      </w:r>
    </w:p>
    <w:p>
      <w:pPr>
        <w:pStyle w:val="BodyText"/>
        <w:spacing w:before="8"/>
        <w:rPr>
          <w:i/>
          <w:sz w:val="21"/>
        </w:rPr>
      </w:pPr>
    </w:p>
    <w:p>
      <w:pPr>
        <w:tabs>
          <w:tab w:pos="1579" w:val="left" w:leader="none"/>
          <w:tab w:pos="2299" w:val="left" w:leader="none"/>
        </w:tabs>
        <w:spacing w:before="0"/>
        <w:ind w:left="860" w:right="0" w:firstLine="0"/>
        <w:jc w:val="left"/>
        <w:rPr>
          <w:b/>
          <w:i/>
          <w:sz w:val="22"/>
        </w:rPr>
      </w:pPr>
      <w:r>
        <w:rPr>
          <w:color w:val="FF0000"/>
          <w:sz w:val="24"/>
        </w:rPr>
        <w:t>e.g</w:t>
      </w:r>
      <w:r>
        <w:rPr>
          <w:i/>
          <w:color w:val="FF0000"/>
          <w:sz w:val="22"/>
        </w:rPr>
        <w:t>.,</w:t>
        <w:tab/>
      </w:r>
      <w:r>
        <w:rPr>
          <w:b/>
          <w:i/>
          <w:color w:val="FF0000"/>
          <w:sz w:val="22"/>
        </w:rPr>
        <w:t>A.</w:t>
        <w:tab/>
      </w:r>
      <w:r>
        <w:rPr>
          <w:b/>
          <w:i/>
          <w:color w:val="FF0000"/>
          <w:sz w:val="22"/>
          <w:u w:val="thick" w:color="FF0000"/>
        </w:rPr>
        <w:t>GENERAL</w:t>
      </w:r>
      <w:r>
        <w:rPr>
          <w:b/>
          <w:i/>
          <w:color w:val="FF0000"/>
          <w:spacing w:val="-9"/>
          <w:sz w:val="22"/>
          <w:u w:val="thick" w:color="FF0000"/>
        </w:rPr>
        <w:t> </w:t>
      </w:r>
      <w:r>
        <w:rPr>
          <w:b/>
          <w:i/>
          <w:color w:val="FF0000"/>
          <w:sz w:val="22"/>
          <w:u w:val="thick" w:color="FF0000"/>
        </w:rPr>
        <w:t>OBSERVATIONS</w:t>
      </w:r>
      <w:r>
        <w:rPr>
          <w:b/>
          <w:i/>
          <w:color w:val="FF0000"/>
          <w:sz w:val="22"/>
        </w:rPr>
        <w:t>:</w:t>
      </w:r>
    </w:p>
    <w:p>
      <w:pPr>
        <w:tabs>
          <w:tab w:pos="2300" w:val="left" w:leader="none"/>
        </w:tabs>
        <w:spacing w:before="1"/>
        <w:ind w:left="1580" w:right="0" w:firstLine="0"/>
        <w:jc w:val="left"/>
        <w:rPr>
          <w:b/>
          <w:i/>
          <w:sz w:val="22"/>
        </w:rPr>
      </w:pPr>
      <w:r>
        <w:rPr>
          <w:b/>
          <w:i/>
          <w:color w:val="FF0000"/>
          <w:sz w:val="22"/>
        </w:rPr>
        <w:t>B.</w:t>
        <w:tab/>
      </w:r>
      <w:r>
        <w:rPr>
          <w:b/>
          <w:i/>
          <w:color w:val="FF0000"/>
          <w:sz w:val="22"/>
          <w:u w:val="thick" w:color="FF0000"/>
        </w:rPr>
        <w:t>DETECTABLE LEVELS OF MPCA ON</w:t>
      </w:r>
      <w:r>
        <w:rPr>
          <w:b/>
          <w:i/>
          <w:color w:val="FF0000"/>
          <w:spacing w:val="-9"/>
          <w:sz w:val="22"/>
          <w:u w:val="thick" w:color="FF0000"/>
        </w:rPr>
        <w:t> </w:t>
      </w:r>
      <w:r>
        <w:rPr>
          <w:b/>
          <w:i/>
          <w:color w:val="FF0000"/>
          <w:sz w:val="22"/>
          <w:u w:val="thick" w:color="FF0000"/>
        </w:rPr>
        <w:t>INSECTS</w:t>
      </w:r>
      <w:r>
        <w:rPr>
          <w:b/>
          <w:i/>
          <w:color w:val="FF0000"/>
          <w:sz w:val="22"/>
        </w:rPr>
        <w:t>:]</w:t>
      </w:r>
    </w:p>
    <w:p>
      <w:pPr>
        <w:pStyle w:val="BodyText"/>
        <w:rPr>
          <w:b/>
          <w:i/>
          <w:sz w:val="20"/>
        </w:rPr>
      </w:pPr>
    </w:p>
    <w:p>
      <w:pPr>
        <w:pStyle w:val="BodyText"/>
        <w:spacing w:before="1"/>
        <w:rPr>
          <w:b/>
          <w:i/>
        </w:rPr>
      </w:pPr>
    </w:p>
    <w:p>
      <w:pPr>
        <w:pStyle w:val="ListParagraph"/>
        <w:numPr>
          <w:ilvl w:val="0"/>
          <w:numId w:val="7"/>
        </w:numPr>
        <w:tabs>
          <w:tab w:pos="859" w:val="left" w:leader="none"/>
          <w:tab w:pos="861" w:val="left" w:leader="none"/>
        </w:tabs>
        <w:spacing w:line="240" w:lineRule="auto" w:before="91" w:after="0"/>
        <w:ind w:left="860" w:right="0" w:hanging="720"/>
        <w:jc w:val="left"/>
        <w:rPr>
          <w:b/>
          <w:sz w:val="22"/>
          <w:u w:val="none"/>
        </w:rPr>
      </w:pPr>
      <w:r>
        <w:rPr>
          <w:b/>
          <w:sz w:val="22"/>
          <w:u w:val="none"/>
        </w:rPr>
        <w:t>CONCLUSION</w:t>
      </w:r>
    </w:p>
    <w:p>
      <w:pPr>
        <w:pStyle w:val="BodyText"/>
        <w:spacing w:before="10"/>
        <w:rPr>
          <w:b/>
          <w:i w:val="0"/>
          <w:sz w:val="21"/>
        </w:rPr>
      </w:pPr>
    </w:p>
    <w:p>
      <w:pPr>
        <w:pStyle w:val="ListParagraph"/>
        <w:numPr>
          <w:ilvl w:val="0"/>
          <w:numId w:val="8"/>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6"/>
        <w:rPr>
          <w:i/>
          <w:sz w:val="20"/>
        </w:rPr>
      </w:pPr>
    </w:p>
    <w:p>
      <w:pPr>
        <w:pStyle w:val="ListParagraph"/>
        <w:numPr>
          <w:ilvl w:val="0"/>
          <w:numId w:val="8"/>
        </w:numPr>
        <w:tabs>
          <w:tab w:pos="859" w:val="left" w:leader="none"/>
          <w:tab w:pos="861" w:val="left" w:leader="none"/>
          <w:tab w:pos="4459" w:val="left" w:leader="none"/>
        </w:tabs>
        <w:spacing w:line="240" w:lineRule="auto" w:before="91"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6"/>
        <w:rPr>
          <w:i/>
          <w:sz w:val="20"/>
        </w:rPr>
      </w:pPr>
    </w:p>
    <w:p>
      <w:pPr>
        <w:pStyle w:val="Heading5"/>
        <w:numPr>
          <w:ilvl w:val="0"/>
          <w:numId w:val="8"/>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8"/>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4"/>
        <w:rPr>
          <w:b/>
          <w:i w:val="0"/>
          <w:sz w:val="28"/>
        </w:rPr>
      </w:pPr>
    </w:p>
    <w:p>
      <w:pPr>
        <w:pStyle w:val="ListParagraph"/>
        <w:numPr>
          <w:ilvl w:val="0"/>
          <w:numId w:val="7"/>
        </w:numPr>
        <w:tabs>
          <w:tab w:pos="859" w:val="left" w:leader="none"/>
          <w:tab w:pos="861" w:val="left" w:leader="none"/>
        </w:tabs>
        <w:spacing w:line="240" w:lineRule="auto" w:before="0" w:after="0"/>
        <w:ind w:left="860" w:right="485" w:hanging="720"/>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spacing w:before="10"/>
        <w:rPr>
          <w:i/>
          <w:sz w:val="21"/>
        </w:rPr>
      </w:pPr>
    </w:p>
    <w:p>
      <w:pPr>
        <w:spacing w:before="0"/>
        <w:ind w:left="859" w:right="168" w:firstLine="0"/>
        <w:jc w:val="left"/>
        <w:rPr>
          <w:b/>
          <w:sz w:val="22"/>
        </w:rPr>
      </w:pPr>
      <w:r>
        <w:rPr>
          <w:b/>
          <w:color w:val="FF0000"/>
          <w:sz w:val="22"/>
        </w:rPr>
        <w:t>[</w:t>
      </w:r>
      <w:r>
        <w:rPr>
          <w:b/>
          <w:i/>
          <w:color w:val="FF0000"/>
          <w:sz w:val="22"/>
        </w:rPr>
        <w:t>NOTE: Include a copy of the published study and/or previously conducted unpublished study in the </w:t>
      </w:r>
      <w:r>
        <w:rPr>
          <w:b/>
          <w:i/>
          <w:color w:val="FF0000"/>
          <w:sz w:val="22"/>
        </w:rPr>
        <w:t>study report as an appendix attached to the study report for the reviewer’s reference and verification of study details. Any additional statements used as justification to support the use of alternative data should be individually cited- including the specific background information, details and/or excerpts of relevant data/information from individual references. Depending on the level of relevance- copies of published literature and any other supporting literature that support the use of a published study or previously conducted study as alternative data (including other studies reporting similar findings) should also be provided in the appendix.</w:t>
      </w:r>
      <w:r>
        <w:rPr>
          <w:b/>
          <w:color w:val="FF0000"/>
          <w:sz w:val="22"/>
        </w:rPr>
        <w:t>]</w:t>
      </w:r>
    </w:p>
    <w:p>
      <w:pPr>
        <w:spacing w:after="0"/>
        <w:jc w:val="left"/>
        <w:rPr>
          <w:sz w:val="22"/>
        </w:rPr>
        <w:sectPr>
          <w:pgSz w:w="12240" w:h="15840"/>
          <w:pgMar w:header="729" w:footer="1084" w:top="1940" w:bottom="1280" w:left="940" w:right="940"/>
        </w:sectPr>
      </w:pPr>
    </w:p>
    <w:p>
      <w:pPr>
        <w:spacing w:before="183"/>
        <w:ind w:left="160" w:right="0" w:firstLine="0"/>
        <w:jc w:val="left"/>
        <w:rPr>
          <w:b/>
          <w:i/>
          <w:sz w:val="30"/>
        </w:rPr>
      </w:pPr>
      <w:r>
        <w:rPr>
          <w:b/>
          <w:i/>
          <w:color w:val="FF0000"/>
          <w:sz w:val="30"/>
        </w:rPr>
        <w:t>(For a mini literature review, otherwise delete)</w:t>
      </w:r>
    </w:p>
    <w:p>
      <w:pPr>
        <w:tabs>
          <w:tab w:pos="879" w:val="left" w:leader="none"/>
          <w:tab w:pos="5199" w:val="left" w:leader="none"/>
        </w:tabs>
        <w:spacing w:before="251"/>
        <w:ind w:left="879" w:right="295" w:hanging="720"/>
        <w:jc w:val="left"/>
        <w:rPr>
          <w:i/>
          <w:sz w:val="22"/>
        </w:rPr>
      </w:pPr>
      <w:r>
        <w:rPr>
          <w:b/>
          <w:sz w:val="22"/>
        </w:rPr>
        <w:t>I.</w:t>
        <w:tab/>
        <w:t>REVIEW OF</w:t>
      </w:r>
      <w:r>
        <w:rPr>
          <w:b/>
          <w:spacing w:val="-8"/>
          <w:sz w:val="22"/>
        </w:rPr>
        <w:t> </w:t>
      </w:r>
      <w:r>
        <w:rPr>
          <w:b/>
          <w:sz w:val="22"/>
        </w:rPr>
        <w:t>PUBLISHED</w:t>
      </w:r>
      <w:r>
        <w:rPr>
          <w:b/>
          <w:spacing w:val="-5"/>
          <w:sz w:val="22"/>
        </w:rPr>
        <w:t> </w:t>
      </w:r>
      <w:r>
        <w:rPr>
          <w:b/>
          <w:sz w:val="22"/>
        </w:rPr>
        <w:t>LITERATURE</w:t>
        <w:tab/>
      </w:r>
      <w:r>
        <w:rPr>
          <w:i/>
          <w:color w:val="FF0000"/>
          <w:sz w:val="22"/>
        </w:rPr>
        <w:t>[Summarize the background information</w:t>
      </w:r>
      <w:r>
        <w:rPr>
          <w:i/>
          <w:color w:val="FF0000"/>
          <w:spacing w:val="-22"/>
          <w:sz w:val="22"/>
        </w:rPr>
        <w:t> </w:t>
      </w:r>
      <w:r>
        <w:rPr>
          <w:i/>
          <w:color w:val="FF0000"/>
          <w:sz w:val="22"/>
        </w:rPr>
        <w:t>and</w:t>
      </w:r>
      <w:r>
        <w:rPr>
          <w:i/>
          <w:color w:val="FF0000"/>
          <w:spacing w:val="-6"/>
          <w:sz w:val="22"/>
        </w:rPr>
        <w:t> </w:t>
      </w:r>
      <w:r>
        <w:rPr>
          <w:i/>
          <w:color w:val="FF0000"/>
          <w:sz w:val="22"/>
        </w:rPr>
        <w:t>published</w:t>
      </w:r>
      <w:r>
        <w:rPr>
          <w:i/>
          <w:color w:val="FF0000"/>
          <w:w w:val="99"/>
          <w:sz w:val="22"/>
        </w:rPr>
        <w:t> </w:t>
      </w:r>
      <w:r>
        <w:rPr>
          <w:i/>
          <w:color w:val="FF0000"/>
          <w:sz w:val="22"/>
        </w:rPr>
        <w:t>studies covered in this mini literature review. Grouping related papers for discussion under specific subheadings may be</w:t>
      </w:r>
      <w:r>
        <w:rPr>
          <w:i/>
          <w:color w:val="FF0000"/>
          <w:spacing w:val="-15"/>
          <w:sz w:val="22"/>
        </w:rPr>
        <w:t> </w:t>
      </w:r>
      <w:r>
        <w:rPr>
          <w:i/>
          <w:color w:val="FF0000"/>
          <w:sz w:val="22"/>
        </w:rPr>
        <w:t>useful.</w:t>
      </w:r>
    </w:p>
    <w:p>
      <w:pPr>
        <w:pStyle w:val="BodyText"/>
        <w:spacing w:before="11"/>
        <w:rPr>
          <w:i/>
          <w:sz w:val="23"/>
        </w:rPr>
      </w:pPr>
    </w:p>
    <w:p>
      <w:pPr>
        <w:spacing w:before="0"/>
        <w:ind w:left="879" w:right="249" w:firstLine="0"/>
        <w:jc w:val="left"/>
        <w:rPr>
          <w:i/>
          <w:sz w:val="22"/>
        </w:rPr>
      </w:pPr>
      <w:r>
        <w:rPr>
          <w:i/>
          <w:color w:val="FF0000"/>
          <w:sz w:val="22"/>
        </w:rPr>
        <w:t>e.g., MPCA-based products are widely used in forest management to control forest pests in Canada and </w:t>
      </w:r>
      <w:r>
        <w:rPr>
          <w:i/>
          <w:color w:val="FF0000"/>
          <w:sz w:val="22"/>
        </w:rPr>
        <w:t>the United States ... As noted by Müeller (1785), three approaches have been used in Canada to examine the effects of this MPCA on non-target stream invertebrates, including pelagic organisms. These include acute toxicity testing, experiments in outside mesocosms, and in the field.</w:t>
      </w:r>
    </w:p>
    <w:p>
      <w:pPr>
        <w:pStyle w:val="BodyText"/>
        <w:spacing w:before="11"/>
        <w:rPr>
          <w:i/>
          <w:sz w:val="23"/>
        </w:rPr>
      </w:pPr>
    </w:p>
    <w:p>
      <w:pPr>
        <w:pStyle w:val="ListParagraph"/>
        <w:numPr>
          <w:ilvl w:val="1"/>
          <w:numId w:val="9"/>
        </w:numPr>
        <w:tabs>
          <w:tab w:pos="1144" w:val="left" w:leader="none"/>
          <w:tab w:pos="1599" w:val="left" w:leader="none"/>
          <w:tab w:pos="2320" w:val="left" w:leader="none"/>
        </w:tabs>
        <w:spacing w:line="240" w:lineRule="auto" w:before="0" w:after="0"/>
        <w:ind w:left="1143" w:right="0" w:hanging="263"/>
        <w:jc w:val="left"/>
        <w:rPr>
          <w:b/>
          <w:i/>
          <w:sz w:val="22"/>
          <w:u w:val="none"/>
        </w:rPr>
      </w:pPr>
      <w:r>
        <w:rPr>
          <w:i/>
          <w:color w:val="FF0000"/>
          <w:sz w:val="22"/>
          <w:u w:val="none"/>
        </w:rPr>
        <w:t>.,</w:t>
        <w:tab/>
      </w:r>
      <w:r>
        <w:rPr>
          <w:b/>
          <w:i/>
          <w:color w:val="FF0000"/>
          <w:sz w:val="22"/>
          <w:u w:val="none"/>
        </w:rPr>
        <w:t>A.</w:t>
        <w:tab/>
      </w:r>
      <w:r>
        <w:rPr>
          <w:b/>
          <w:i/>
          <w:color w:val="FF0000"/>
          <w:sz w:val="22"/>
          <w:u w:val="thick" w:color="FF0000"/>
        </w:rPr>
        <w:t>ACUTE TOXICITY</w:t>
      </w:r>
      <w:r>
        <w:rPr>
          <w:b/>
          <w:i/>
          <w:color w:val="FF0000"/>
          <w:spacing w:val="-10"/>
          <w:sz w:val="22"/>
          <w:u w:val="thick" w:color="FF0000"/>
        </w:rPr>
        <w:t> </w:t>
      </w:r>
      <w:r>
        <w:rPr>
          <w:b/>
          <w:i/>
          <w:color w:val="FF0000"/>
          <w:sz w:val="22"/>
          <w:u w:val="thick" w:color="FF0000"/>
        </w:rPr>
        <w:t>TESTING</w:t>
      </w:r>
      <w:r>
        <w:rPr>
          <w:b/>
          <w:i/>
          <w:color w:val="FF0000"/>
          <w:sz w:val="22"/>
          <w:u w:val="none"/>
        </w:rPr>
        <w:t>:</w:t>
      </w:r>
    </w:p>
    <w:p>
      <w:pPr>
        <w:pStyle w:val="ListParagraph"/>
        <w:numPr>
          <w:ilvl w:val="2"/>
          <w:numId w:val="9"/>
        </w:numPr>
        <w:tabs>
          <w:tab w:pos="2320" w:val="left" w:leader="none"/>
          <w:tab w:pos="2321" w:val="left" w:leader="none"/>
          <w:tab w:pos="3760" w:val="left" w:leader="none"/>
        </w:tabs>
        <w:spacing w:line="252" w:lineRule="exact" w:before="0" w:after="0"/>
        <w:ind w:left="232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7"/>
          <w:sz w:val="22"/>
          <w:u w:val="none"/>
        </w:rPr>
        <w:t> </w:t>
      </w:r>
      <w:r>
        <w:rPr>
          <w:i/>
          <w:color w:val="FF0000"/>
          <w:sz w:val="22"/>
          <w:u w:val="none"/>
        </w:rPr>
        <w:t>findings)</w:t>
      </w:r>
    </w:p>
    <w:p>
      <w:pPr>
        <w:pStyle w:val="ListParagraph"/>
        <w:numPr>
          <w:ilvl w:val="2"/>
          <w:numId w:val="9"/>
        </w:numPr>
        <w:tabs>
          <w:tab w:pos="2320" w:val="left" w:leader="none"/>
          <w:tab w:pos="2321" w:val="left" w:leader="none"/>
          <w:tab w:pos="3760" w:val="left" w:leader="none"/>
        </w:tabs>
        <w:spacing w:line="252" w:lineRule="exact" w:before="0" w:after="0"/>
        <w:ind w:left="232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spacing w:before="1"/>
        <w:rPr>
          <w:i/>
          <w:sz w:val="14"/>
        </w:rPr>
      </w:pPr>
    </w:p>
    <w:p>
      <w:pPr>
        <w:pStyle w:val="ListParagraph"/>
        <w:numPr>
          <w:ilvl w:val="1"/>
          <w:numId w:val="8"/>
        </w:numPr>
        <w:tabs>
          <w:tab w:pos="2320" w:val="left" w:leader="none"/>
          <w:tab w:pos="2321" w:val="left" w:leader="none"/>
        </w:tabs>
        <w:spacing w:line="240" w:lineRule="auto" w:before="91" w:after="0"/>
        <w:ind w:left="2320" w:right="0" w:hanging="720"/>
        <w:jc w:val="left"/>
        <w:rPr>
          <w:b/>
          <w:i/>
          <w:sz w:val="22"/>
          <w:u w:val="none"/>
        </w:rPr>
      </w:pPr>
      <w:r>
        <w:rPr>
          <w:b/>
          <w:i/>
          <w:color w:val="FF0000"/>
          <w:sz w:val="22"/>
          <w:u w:val="thick" w:color="FF0000"/>
        </w:rPr>
        <w:t>MESOCOSM</w:t>
      </w:r>
      <w:r>
        <w:rPr>
          <w:b/>
          <w:i/>
          <w:color w:val="FF0000"/>
          <w:spacing w:val="-10"/>
          <w:sz w:val="22"/>
          <w:u w:val="thick" w:color="FF0000"/>
        </w:rPr>
        <w:t> </w:t>
      </w:r>
      <w:r>
        <w:rPr>
          <w:b/>
          <w:i/>
          <w:color w:val="FF0000"/>
          <w:sz w:val="22"/>
          <w:u w:val="thick" w:color="FF0000"/>
        </w:rPr>
        <w:t>TESTING</w:t>
      </w:r>
      <w:r>
        <w:rPr>
          <w:b/>
          <w:i/>
          <w:color w:val="FF0000"/>
          <w:sz w:val="22"/>
          <w:u w:val="none"/>
        </w:rPr>
        <w:t>:</w:t>
      </w:r>
    </w:p>
    <w:p>
      <w:pPr>
        <w:pStyle w:val="ListParagraph"/>
        <w:numPr>
          <w:ilvl w:val="2"/>
          <w:numId w:val="8"/>
        </w:numPr>
        <w:tabs>
          <w:tab w:pos="2320" w:val="left" w:leader="none"/>
          <w:tab w:pos="2321" w:val="left" w:leader="none"/>
          <w:tab w:pos="3760" w:val="left" w:leader="none"/>
        </w:tabs>
        <w:spacing w:line="240" w:lineRule="auto" w:before="0" w:after="0"/>
        <w:ind w:left="232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ListParagraph"/>
        <w:numPr>
          <w:ilvl w:val="2"/>
          <w:numId w:val="8"/>
        </w:numPr>
        <w:tabs>
          <w:tab w:pos="2320" w:val="left" w:leader="none"/>
          <w:tab w:pos="2321" w:val="left" w:leader="none"/>
          <w:tab w:pos="3760" w:val="left" w:leader="none"/>
        </w:tabs>
        <w:spacing w:line="240" w:lineRule="auto" w:before="0" w:after="0"/>
        <w:ind w:left="232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rPr>
          <w:i/>
          <w:sz w:val="14"/>
        </w:rPr>
      </w:pPr>
    </w:p>
    <w:p>
      <w:pPr>
        <w:pStyle w:val="Heading3"/>
        <w:numPr>
          <w:ilvl w:val="1"/>
          <w:numId w:val="8"/>
        </w:numPr>
        <w:tabs>
          <w:tab w:pos="2320" w:val="left" w:leader="none"/>
          <w:tab w:pos="2321" w:val="left" w:leader="none"/>
        </w:tabs>
        <w:spacing w:line="240" w:lineRule="auto" w:before="91" w:after="10"/>
        <w:ind w:left="2320" w:right="0" w:hanging="720"/>
        <w:jc w:val="left"/>
        <w:rPr>
          <w:i/>
        </w:rPr>
      </w:pPr>
      <w:r>
        <w:rPr>
          <w:i/>
          <w:color w:val="FF0000"/>
          <w:u w:val="thick" w:color="FF0000"/>
        </w:rPr>
        <w:t>FIELD</w:t>
      </w:r>
      <w:r>
        <w:rPr>
          <w:i/>
          <w:color w:val="FF0000"/>
          <w:spacing w:val="-9"/>
          <w:u w:val="thick" w:color="FF0000"/>
        </w:rPr>
        <w:t> </w:t>
      </w:r>
      <w:r>
        <w:rPr>
          <w:i/>
          <w:color w:val="FF0000"/>
          <w:u w:val="thick" w:color="FF0000"/>
        </w:rPr>
        <w:t>TESTING</w:t>
      </w:r>
      <w:r>
        <w:rPr>
          <w:i/>
          <w:color w:val="FF0000"/>
        </w:rPr>
        <w:t>:</w:t>
      </w:r>
    </w:p>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523"/>
        <w:gridCol w:w="1411"/>
        <w:gridCol w:w="1422"/>
        <w:gridCol w:w="1597"/>
        <w:gridCol w:w="4073"/>
      </w:tblGrid>
      <w:tr>
        <w:trPr>
          <w:trHeight w:val="248" w:hRule="exact"/>
        </w:trPr>
        <w:tc>
          <w:tcPr>
            <w:tcW w:w="1933" w:type="dxa"/>
            <w:gridSpan w:val="2"/>
          </w:tcPr>
          <w:p>
            <w:pPr>
              <w:pStyle w:val="TableParagraph"/>
              <w:spacing w:line="243" w:lineRule="exact"/>
              <w:ind w:right="275"/>
              <w:jc w:val="right"/>
              <w:rPr>
                <w:b/>
                <w:i/>
                <w:sz w:val="22"/>
              </w:rPr>
            </w:pPr>
            <w:r>
              <w:rPr>
                <w:b/>
                <w:i/>
                <w:color w:val="FF0000"/>
                <w:w w:val="95"/>
                <w:sz w:val="22"/>
              </w:rPr>
              <w:t>1.</w:t>
            </w:r>
          </w:p>
        </w:tc>
        <w:tc>
          <w:tcPr>
            <w:tcW w:w="1422" w:type="dxa"/>
          </w:tcPr>
          <w:p>
            <w:pPr>
              <w:pStyle w:val="TableParagraph"/>
              <w:spacing w:line="243" w:lineRule="exact"/>
              <w:ind w:left="257" w:right="274"/>
              <w:jc w:val="center"/>
              <w:rPr>
                <w:b/>
                <w:i/>
                <w:sz w:val="22"/>
              </w:rPr>
            </w:pPr>
            <w:r>
              <w:rPr>
                <w:b/>
                <w:i/>
                <w:color w:val="FF0000"/>
                <w:sz w:val="22"/>
                <w:u w:val="thick" w:color="FF0000"/>
              </w:rPr>
              <w:t>Article 1</w:t>
            </w:r>
            <w:r>
              <w:rPr>
                <w:b/>
                <w:i/>
                <w:color w:val="FF0000"/>
                <w:sz w:val="22"/>
              </w:rPr>
              <w:t>:</w:t>
            </w:r>
          </w:p>
        </w:tc>
        <w:tc>
          <w:tcPr>
            <w:tcW w:w="5670" w:type="dxa"/>
            <w:gridSpan w:val="2"/>
          </w:tcPr>
          <w:p>
            <w:pPr>
              <w:pStyle w:val="TableParagraph"/>
              <w:spacing w:line="243" w:lineRule="exact"/>
              <w:ind w:left="295"/>
              <w:rPr>
                <w:i/>
                <w:sz w:val="22"/>
              </w:rPr>
            </w:pPr>
            <w:r>
              <w:rPr>
                <w:i/>
                <w:color w:val="FF0000"/>
                <w:sz w:val="22"/>
              </w:rPr>
              <w:t>(summarize and report findings)</w:t>
            </w:r>
          </w:p>
        </w:tc>
      </w:tr>
      <w:tr>
        <w:trPr>
          <w:trHeight w:val="380" w:hRule="exact"/>
        </w:trPr>
        <w:tc>
          <w:tcPr>
            <w:tcW w:w="1933" w:type="dxa"/>
            <w:gridSpan w:val="2"/>
          </w:tcPr>
          <w:p>
            <w:pPr>
              <w:pStyle w:val="TableParagraph"/>
              <w:spacing w:line="248" w:lineRule="exact"/>
              <w:ind w:right="331"/>
              <w:jc w:val="right"/>
              <w:rPr>
                <w:b/>
                <w:i/>
                <w:sz w:val="22"/>
              </w:rPr>
            </w:pPr>
            <w:r>
              <w:rPr>
                <w:b/>
                <w:i/>
                <w:color w:val="FF0000"/>
                <w:w w:val="99"/>
                <w:sz w:val="22"/>
              </w:rPr>
              <w:t>2</w:t>
            </w:r>
          </w:p>
        </w:tc>
        <w:tc>
          <w:tcPr>
            <w:tcW w:w="1422" w:type="dxa"/>
          </w:tcPr>
          <w:p>
            <w:pPr>
              <w:pStyle w:val="TableParagraph"/>
              <w:spacing w:line="248" w:lineRule="exact"/>
              <w:ind w:left="257" w:right="273"/>
              <w:jc w:val="center"/>
              <w:rPr>
                <w:b/>
                <w:i/>
                <w:sz w:val="22"/>
              </w:rPr>
            </w:pPr>
            <w:r>
              <w:rPr>
                <w:b/>
                <w:i/>
                <w:color w:val="FF0000"/>
                <w:sz w:val="22"/>
                <w:u w:val="thick" w:color="FF0000"/>
              </w:rPr>
              <w:t>Article </w:t>
            </w:r>
            <w:r>
              <w:rPr>
                <w:b/>
                <w:i/>
                <w:color w:val="FF0000"/>
                <w:sz w:val="22"/>
              </w:rPr>
              <w:t>2:</w:t>
            </w:r>
          </w:p>
        </w:tc>
        <w:tc>
          <w:tcPr>
            <w:tcW w:w="5670" w:type="dxa"/>
            <w:gridSpan w:val="2"/>
          </w:tcPr>
          <w:p>
            <w:pPr>
              <w:pStyle w:val="TableParagraph"/>
              <w:spacing w:line="248" w:lineRule="exact"/>
              <w:ind w:left="295"/>
              <w:rPr>
                <w:i/>
                <w:sz w:val="22"/>
              </w:rPr>
            </w:pPr>
            <w:r>
              <w:rPr>
                <w:i/>
                <w:color w:val="FF0000"/>
                <w:sz w:val="22"/>
              </w:rPr>
              <w:t>(summarize and report findings)]</w:t>
            </w:r>
          </w:p>
        </w:tc>
      </w:tr>
      <w:tr>
        <w:trPr>
          <w:trHeight w:val="880" w:hRule="exact"/>
        </w:trPr>
        <w:tc>
          <w:tcPr>
            <w:tcW w:w="523" w:type="dxa"/>
          </w:tcPr>
          <w:p>
            <w:pPr>
              <w:pStyle w:val="TableParagraph"/>
              <w:spacing w:before="122"/>
              <w:ind w:left="50"/>
              <w:rPr>
                <w:b/>
                <w:sz w:val="22"/>
              </w:rPr>
            </w:pPr>
            <w:r>
              <w:rPr>
                <w:b/>
                <w:sz w:val="22"/>
              </w:rPr>
              <w:t>II.</w:t>
            </w:r>
          </w:p>
          <w:p>
            <w:pPr>
              <w:pStyle w:val="TableParagraph"/>
              <w:spacing w:before="11"/>
              <w:rPr>
                <w:b/>
                <w:i/>
                <w:sz w:val="21"/>
              </w:rPr>
            </w:pPr>
          </w:p>
          <w:p>
            <w:pPr>
              <w:pStyle w:val="TableParagraph"/>
              <w:ind w:left="50"/>
              <w:rPr>
                <w:b/>
                <w:sz w:val="22"/>
              </w:rPr>
            </w:pPr>
            <w:r>
              <w:rPr>
                <w:b/>
                <w:sz w:val="22"/>
              </w:rPr>
              <w:t>A.</w:t>
            </w:r>
          </w:p>
        </w:tc>
        <w:tc>
          <w:tcPr>
            <w:tcW w:w="4430" w:type="dxa"/>
            <w:gridSpan w:val="3"/>
          </w:tcPr>
          <w:p>
            <w:pPr>
              <w:pStyle w:val="TableParagraph"/>
              <w:spacing w:before="122"/>
              <w:ind w:left="247"/>
              <w:rPr>
                <w:b/>
                <w:sz w:val="22"/>
              </w:rPr>
            </w:pPr>
            <w:r>
              <w:rPr>
                <w:b/>
                <w:sz w:val="22"/>
              </w:rPr>
              <w:t>CONCLUSION</w:t>
            </w:r>
          </w:p>
          <w:p>
            <w:pPr>
              <w:pStyle w:val="TableParagraph"/>
              <w:spacing w:before="11"/>
              <w:rPr>
                <w:b/>
                <w:i/>
                <w:sz w:val="21"/>
              </w:rPr>
            </w:pPr>
          </w:p>
          <w:p>
            <w:pPr>
              <w:pStyle w:val="TableParagraph"/>
              <w:ind w:left="247"/>
              <w:rPr>
                <w:b/>
                <w:sz w:val="22"/>
              </w:rPr>
            </w:pPr>
            <w:r>
              <w:rPr>
                <w:b/>
                <w:sz w:val="22"/>
                <w:u w:val="thick"/>
              </w:rPr>
              <w:t>LITERATURE REVIEW CONCLUSION:</w:t>
            </w:r>
          </w:p>
        </w:tc>
        <w:tc>
          <w:tcPr>
            <w:tcW w:w="4073" w:type="dxa"/>
          </w:tcPr>
          <w:p>
            <w:pPr>
              <w:pStyle w:val="TableParagraph"/>
              <w:rPr>
                <w:b/>
                <w:i/>
                <w:sz w:val="24"/>
              </w:rPr>
            </w:pPr>
          </w:p>
          <w:p>
            <w:pPr>
              <w:pStyle w:val="TableParagraph"/>
              <w:spacing w:before="6"/>
              <w:rPr>
                <w:b/>
                <w:i/>
                <w:sz w:val="30"/>
              </w:rPr>
            </w:pPr>
          </w:p>
          <w:p>
            <w:pPr>
              <w:pStyle w:val="TableParagraph"/>
              <w:ind w:left="137"/>
              <w:rPr>
                <w:i/>
                <w:sz w:val="22"/>
              </w:rPr>
            </w:pPr>
            <w:r>
              <w:rPr>
                <w:i/>
                <w:color w:val="FF0000"/>
                <w:sz w:val="22"/>
              </w:rPr>
              <w:t>[Summarize the study author’s conclusions]</w:t>
            </w:r>
          </w:p>
        </w:tc>
      </w:tr>
    </w:tbl>
    <w:p>
      <w:pPr>
        <w:pStyle w:val="BodyText"/>
        <w:spacing w:before="5"/>
        <w:rPr>
          <w:b/>
          <w:i/>
          <w:sz w:val="28"/>
        </w:rPr>
      </w:pPr>
    </w:p>
    <w:p>
      <w:pPr>
        <w:pStyle w:val="ListParagraph"/>
        <w:numPr>
          <w:ilvl w:val="0"/>
          <w:numId w:val="10"/>
        </w:numPr>
        <w:tabs>
          <w:tab w:pos="879" w:val="left" w:leader="none"/>
          <w:tab w:pos="881" w:val="left" w:leader="none"/>
          <w:tab w:pos="4479" w:val="left" w:leader="none"/>
        </w:tabs>
        <w:spacing w:line="240" w:lineRule="auto" w:before="1" w:after="0"/>
        <w:ind w:left="88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6"/>
        <w:rPr>
          <w:i/>
          <w:sz w:val="20"/>
        </w:rPr>
      </w:pPr>
    </w:p>
    <w:p>
      <w:pPr>
        <w:pStyle w:val="Heading5"/>
        <w:numPr>
          <w:ilvl w:val="0"/>
          <w:numId w:val="10"/>
        </w:numPr>
        <w:tabs>
          <w:tab w:pos="879" w:val="left" w:leader="none"/>
          <w:tab w:pos="881" w:val="left" w:leader="none"/>
          <w:tab w:pos="3039" w:val="left" w:leader="none"/>
        </w:tabs>
        <w:spacing w:line="240" w:lineRule="auto" w:before="90" w:after="0"/>
        <w:ind w:left="88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3"/>
        <w:rPr>
          <w:i/>
          <w:sz w:val="28"/>
        </w:rPr>
      </w:pPr>
    </w:p>
    <w:p>
      <w:pPr>
        <w:pStyle w:val="ListParagraph"/>
        <w:numPr>
          <w:ilvl w:val="0"/>
          <w:numId w:val="10"/>
        </w:numPr>
        <w:tabs>
          <w:tab w:pos="879" w:val="left" w:leader="none"/>
          <w:tab w:pos="881" w:val="left" w:leader="none"/>
        </w:tabs>
        <w:spacing w:line="240" w:lineRule="auto" w:before="1" w:after="0"/>
        <w:ind w:left="88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1"/>
        <w:rPr>
          <w:b/>
          <w:i w:val="0"/>
          <w:sz w:val="25"/>
        </w:rPr>
      </w:pPr>
    </w:p>
    <w:p>
      <w:pPr>
        <w:tabs>
          <w:tab w:pos="879" w:val="left" w:leader="none"/>
          <w:tab w:pos="3039" w:val="left" w:leader="none"/>
        </w:tabs>
        <w:spacing w:before="1"/>
        <w:ind w:left="880" w:right="413" w:hanging="721"/>
        <w:jc w:val="left"/>
        <w:rPr>
          <w:i/>
          <w:sz w:val="22"/>
        </w:rPr>
      </w:pPr>
      <w:r>
        <w:rPr>
          <w:b/>
          <w:sz w:val="22"/>
        </w:rPr>
        <w:t>III.</w:t>
        <w:tab/>
        <w:t>REFERENCES</w:t>
        <w:tab/>
      </w:r>
      <w:r>
        <w:rPr>
          <w:i/>
          <w:color w:val="FF0000"/>
          <w:sz w:val="22"/>
        </w:rPr>
        <w:t>[Provide references that were cited in the study report: methods, studies</w:t>
      </w:r>
      <w:r>
        <w:rPr>
          <w:i/>
          <w:color w:val="FF0000"/>
          <w:spacing w:val="-36"/>
          <w:sz w:val="22"/>
        </w:rPr>
        <w:t> </w:t>
      </w:r>
      <w:r>
        <w:rPr>
          <w:i/>
          <w:color w:val="FF0000"/>
          <w:sz w:val="22"/>
        </w:rPr>
        <w:t>in</w:t>
      </w:r>
      <w:r>
        <w:rPr>
          <w:i/>
          <w:color w:val="FF0000"/>
          <w:spacing w:val="-3"/>
          <w:sz w:val="22"/>
        </w:rPr>
        <w:t> </w:t>
      </w:r>
      <w:r>
        <w:rPr>
          <w:i/>
          <w:color w:val="FF0000"/>
          <w:sz w:val="22"/>
        </w:rPr>
        <w:t>the</w:t>
      </w:r>
      <w:r>
        <w:rPr>
          <w:i/>
          <w:color w:val="FF0000"/>
          <w:w w:val="99"/>
          <w:sz w:val="22"/>
        </w:rPr>
        <w:t> </w:t>
      </w:r>
      <w:r>
        <w:rPr>
          <w:i/>
          <w:color w:val="FF0000"/>
          <w:sz w:val="22"/>
        </w:rPr>
        <w:t>open literature, references to other study reports in the submission or other studies conducted by the applicant.].</w:t>
      </w:r>
    </w:p>
    <w:p>
      <w:pPr>
        <w:pStyle w:val="BodyText"/>
        <w:rPr>
          <w:i/>
          <w:sz w:val="22"/>
        </w:rPr>
      </w:pPr>
    </w:p>
    <w:p>
      <w:pPr>
        <w:spacing w:before="0"/>
        <w:ind w:left="880" w:right="208" w:firstLine="0"/>
        <w:jc w:val="left"/>
        <w:rPr>
          <w:b/>
          <w:sz w:val="22"/>
        </w:rPr>
      </w:pPr>
      <w:r>
        <w:rPr>
          <w:b/>
          <w:color w:val="FF0000"/>
          <w:sz w:val="22"/>
        </w:rPr>
        <w:t>[</w:t>
      </w:r>
      <w:r>
        <w:rPr>
          <w:b/>
          <w:i/>
          <w:color w:val="FF0000"/>
          <w:sz w:val="22"/>
        </w:rPr>
        <w:t>NOTE: Depending on the level of relevance- copies of published literature, previously conducted </w:t>
      </w:r>
      <w:r>
        <w:rPr>
          <w:b/>
          <w:i/>
          <w:color w:val="FF0000"/>
          <w:sz w:val="22"/>
        </w:rPr>
        <w:t>unpublished study and any other background literature that support the use of a literature review as alternative data (including other studies reporting similar findings) should be provided as an appendix attached to the study report for the reviewer’s reference and verification of study details.</w:t>
      </w:r>
      <w:r>
        <w:rPr>
          <w:b/>
          <w:color w:val="FF0000"/>
          <w:sz w:val="22"/>
        </w:rPr>
        <w:t>]</w:t>
      </w:r>
    </w:p>
    <w:sectPr>
      <w:pgSz w:w="12240" w:h="15840"/>
      <w:pgMar w:header="729" w:footer="1084" w:top="1940" w:bottom="1280" w:left="92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ahoma">
    <w:altName w:val="Tahoma"/>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06.720001pt;margin-top:711.93103pt;width:52.35pt;height:13.1pt;mso-position-horizontal-relative:page;mso-position-vertical-relative:page;z-index:-55384" type="#_x0000_t202" filled="false" stroked="false">
          <v:textbox inset="0,0,0,0">
            <w:txbxContent>
              <w:p>
                <w:pPr>
                  <w:spacing w:before="12"/>
                  <w:ind w:left="20" w:right="0" w:firstLine="0"/>
                  <w:jc w:val="left"/>
                  <w:rPr>
                    <w:b/>
                    <w:sz w:val="20"/>
                  </w:rPr>
                </w:pPr>
                <w:r>
                  <w:rPr>
                    <w:sz w:val="20"/>
                  </w:rPr>
                  <w:t>Page </w:t>
                </w:r>
                <w:r>
                  <w:rPr>
                    <w:b/>
                    <w:sz w:val="20"/>
                  </w:rPr>
                  <w:t>1 </w:t>
                </w:r>
                <w:r>
                  <w:rPr>
                    <w:sz w:val="20"/>
                  </w:rPr>
                  <w:t>of </w:t>
                </w:r>
                <w:r>
                  <w:rPr>
                    <w:b/>
                    <w:sz w:val="20"/>
                  </w:rPr>
                  <w:t>26</w:t>
                </w:r>
              </w:p>
            </w:txbxContent>
          </v:textbox>
          <w10:wrap type="none"/>
        </v:shape>
      </w:pict>
    </w:r>
    <w:r>
      <w:rPr/>
      <w:pict>
        <v:shape style="position:absolute;margin-left:53pt;margin-top:712.839966pt;width:167.85pt;height:12pt;mso-position-horizontal-relative:page;mso-position-vertical-relative:page;z-index:-55360" type="#_x0000_t202" filled="false" stroked="false">
          <v:textbox inset="0,0,0,0">
            <w:txbxContent>
              <w:p>
                <w:pPr>
                  <w:spacing w:before="12"/>
                  <w:ind w:left="20" w:right="0" w:firstLine="0"/>
                  <w:jc w:val="left"/>
                  <w:rPr>
                    <w:b/>
                    <w:sz w:val="18"/>
                  </w:rPr>
                </w:pPr>
                <w:r>
                  <w:rPr>
                    <w:b/>
                    <w:sz w:val="18"/>
                  </w:rPr>
                  <w:t>DER Template Version. 2.1 (October 2011)</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726.820007pt;width:85.25pt;height:12pt;mso-position-horizontal-relative:page;mso-position-vertical-relative:page;z-index:-55336" type="#_x0000_t202" filled="false" stroked="false">
          <v:textbox inset="0,0,0,0">
            <w:txbxContent>
              <w:p>
                <w:pPr>
                  <w:spacing w:before="12"/>
                  <w:ind w:left="20" w:right="0" w:firstLine="0"/>
                  <w:jc w:val="left"/>
                  <w:rPr>
                    <w:b/>
                    <w:sz w:val="18"/>
                  </w:rPr>
                </w:pPr>
                <w:r>
                  <w:rPr>
                    <w:b/>
                    <w:sz w:val="18"/>
                  </w:rPr>
                  <w:t>MRID No. </w:t>
                </w:r>
                <w:r>
                  <w:rPr>
                    <w:b/>
                    <w:color w:val="FF0000"/>
                    <w:sz w:val="18"/>
                  </w:rPr>
                  <w:t>#########</w:t>
                </w:r>
              </w:p>
            </w:txbxContent>
          </v:textbox>
          <w10:wrap type="none"/>
        </v:shape>
      </w:pict>
    </w:r>
    <w:r>
      <w:rPr/>
      <w:pict>
        <v:shape style="position:absolute;margin-left:507.256989pt;margin-top:726.820007pt;width:51.8pt;height:12pt;mso-position-horizontal-relative:page;mso-position-vertical-relative:page;z-index:-55312" type="#_x0000_t202" filled="false" stroked="false">
          <v:textbox inset="0,0,0,0">
            <w:txbxContent>
              <w:p>
                <w:pPr>
                  <w:spacing w:before="12"/>
                  <w:ind w:left="20" w:right="0" w:firstLine="0"/>
                  <w:jc w:val="left"/>
                  <w:rPr>
                    <w:b/>
                    <w:sz w:val="18"/>
                  </w:rPr>
                </w:pPr>
                <w:r>
                  <w:rPr>
                    <w:sz w:val="18"/>
                  </w:rPr>
                  <w:t>Page </w:t>
                </w:r>
                <w:r>
                  <w:rPr/>
                  <w:fldChar w:fldCharType="begin"/>
                </w:r>
                <w:r>
                  <w:rPr>
                    <w:b/>
                    <w:sz w:val="18"/>
                  </w:rPr>
                  <w:instrText> PAGE </w:instrText>
                </w:r>
                <w:r>
                  <w:rPr/>
                  <w:fldChar w:fldCharType="separate"/>
                </w:r>
                <w:r>
                  <w:rPr/>
                  <w:t>10</w:t>
                </w:r>
                <w:r>
                  <w:rPr/>
                  <w:fldChar w:fldCharType="end"/>
                </w:r>
                <w:r>
                  <w:rPr>
                    <w:b/>
                    <w:sz w:val="18"/>
                  </w:rPr>
                  <w:t> </w:t>
                </w:r>
                <w:r>
                  <w:rPr>
                    <w:sz w:val="18"/>
                  </w:rPr>
                  <w:t>of </w:t>
                </w:r>
                <w:r>
                  <w:rPr>
                    <w:b/>
                    <w:sz w:val="18"/>
                  </w:rPr>
                  <w:t>26</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55432" from="52.5pt,100.5pt" to="559.501pt,100.5pt" stroked="true" strokeweight=".48pt" strokecolor="#000000">
          <v:stroke dashstyle="solid"/>
          <w10:wrap type="none"/>
        </v:line>
      </w:pict>
    </w:r>
    <w:r>
      <w:rPr/>
      <w:pict>
        <v:shapetype id="_x0000_t202" o:spt="202" coordsize="21600,21600" path="m,l,21600r21600,l21600,xe">
          <v:stroke joinstyle="miter"/>
          <v:path gradientshapeok="t" o:connecttype="rect"/>
        </v:shapetype>
        <v:shape style="position:absolute;margin-left:53pt;margin-top:35.46664pt;width:487.65pt;height:61.3pt;mso-position-horizontal-relative:page;mso-position-vertical-relative:page;z-index:-55408" type="#_x0000_t202" filled="false" stroked="false">
          <v:textbox inset="0,0,0,0">
            <w:txbxContent>
              <w:p>
                <w:pPr>
                  <w:spacing w:before="10"/>
                  <w:ind w:left="20" w:right="0" w:firstLine="0"/>
                  <w:jc w:val="left"/>
                  <w:rPr>
                    <w:b/>
                    <w:i/>
                    <w:sz w:val="24"/>
                  </w:rPr>
                </w:pPr>
                <w:r>
                  <w:rPr>
                    <w:b/>
                    <w:sz w:val="24"/>
                  </w:rPr>
                  <w:t>Freshwater Aquatic Invertebrate Testing - </w:t>
                </w:r>
                <w:r>
                  <w:rPr>
                    <w:b/>
                    <w:i/>
                    <w:color w:val="FF0000"/>
                    <w:sz w:val="24"/>
                  </w:rPr>
                  <w:t>[species] [OR if not review of study report, then insert </w:t>
                </w:r>
                <w:r>
                  <w:rPr>
                    <w:b/>
                    <w:i/>
                    <w:color w:val="FF0000"/>
                    <w:sz w:val="24"/>
                  </w:rPr>
                  <w:t>“Waiver Request”, “Review of Published Study” or “Review of Published Literature”]</w:t>
                </w:r>
              </w:p>
              <w:p>
                <w:pPr>
                  <w:spacing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before="0"/>
                  <w:ind w:left="20" w:right="0" w:firstLine="0"/>
                  <w:jc w:val="left"/>
                  <w:rPr>
                    <w:i/>
                    <w:sz w:val="20"/>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22"/>
                  </w:rPr>
                  <w:t>PMRA </w:t>
                </w:r>
                <w:r>
                  <w:rPr>
                    <w:b/>
                    <w:color w:val="FF0000"/>
                    <w:sz w:val="18"/>
                  </w:rPr>
                  <w:t>#### </w:t>
                </w:r>
                <w:r>
                  <w:rPr>
                    <w:i/>
                    <w:color w:val="FF0000"/>
                    <w:sz w:val="20"/>
                  </w:rPr>
                  <w:t>(if applicable-otherwise delete)]</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2"/>
      <w:numFmt w:val="upperLetter"/>
      <w:lvlText w:val="%1."/>
      <w:lvlJc w:val="left"/>
      <w:pPr>
        <w:ind w:left="880" w:hanging="721"/>
        <w:jc w:val="left"/>
      </w:pPr>
      <w:rPr>
        <w:rFonts w:hint="default" w:ascii="Times New Roman" w:hAnsi="Times New Roman" w:eastAsia="Times New Roman" w:cs="Times New Roman"/>
        <w:b/>
        <w:bCs/>
        <w:w w:val="99"/>
        <w:sz w:val="22"/>
        <w:szCs w:val="22"/>
      </w:rPr>
    </w:lvl>
    <w:lvl w:ilvl="1">
      <w:start w:val="0"/>
      <w:numFmt w:val="bullet"/>
      <w:lvlText w:val="•"/>
      <w:lvlJc w:val="left"/>
      <w:pPr>
        <w:ind w:left="1830" w:hanging="721"/>
      </w:pPr>
      <w:rPr>
        <w:rFonts w:hint="default"/>
      </w:rPr>
    </w:lvl>
    <w:lvl w:ilvl="2">
      <w:start w:val="0"/>
      <w:numFmt w:val="bullet"/>
      <w:lvlText w:val="•"/>
      <w:lvlJc w:val="left"/>
      <w:pPr>
        <w:ind w:left="2780" w:hanging="721"/>
      </w:pPr>
      <w:rPr>
        <w:rFonts w:hint="default"/>
      </w:rPr>
    </w:lvl>
    <w:lvl w:ilvl="3">
      <w:start w:val="0"/>
      <w:numFmt w:val="bullet"/>
      <w:lvlText w:val="•"/>
      <w:lvlJc w:val="left"/>
      <w:pPr>
        <w:ind w:left="3730" w:hanging="721"/>
      </w:pPr>
      <w:rPr>
        <w:rFonts w:hint="default"/>
      </w:rPr>
    </w:lvl>
    <w:lvl w:ilvl="4">
      <w:start w:val="0"/>
      <w:numFmt w:val="bullet"/>
      <w:lvlText w:val="•"/>
      <w:lvlJc w:val="left"/>
      <w:pPr>
        <w:ind w:left="4680" w:hanging="721"/>
      </w:pPr>
      <w:rPr>
        <w:rFonts w:hint="default"/>
      </w:rPr>
    </w:lvl>
    <w:lvl w:ilvl="5">
      <w:start w:val="0"/>
      <w:numFmt w:val="bullet"/>
      <w:lvlText w:val="•"/>
      <w:lvlJc w:val="left"/>
      <w:pPr>
        <w:ind w:left="5630" w:hanging="721"/>
      </w:pPr>
      <w:rPr>
        <w:rFonts w:hint="default"/>
      </w:rPr>
    </w:lvl>
    <w:lvl w:ilvl="6">
      <w:start w:val="0"/>
      <w:numFmt w:val="bullet"/>
      <w:lvlText w:val="•"/>
      <w:lvlJc w:val="left"/>
      <w:pPr>
        <w:ind w:left="6580" w:hanging="721"/>
      </w:pPr>
      <w:rPr>
        <w:rFonts w:hint="default"/>
      </w:rPr>
    </w:lvl>
    <w:lvl w:ilvl="7">
      <w:start w:val="0"/>
      <w:numFmt w:val="bullet"/>
      <w:lvlText w:val="•"/>
      <w:lvlJc w:val="left"/>
      <w:pPr>
        <w:ind w:left="7530" w:hanging="721"/>
      </w:pPr>
      <w:rPr>
        <w:rFonts w:hint="default"/>
      </w:rPr>
    </w:lvl>
    <w:lvl w:ilvl="8">
      <w:start w:val="0"/>
      <w:numFmt w:val="bullet"/>
      <w:lvlText w:val="•"/>
      <w:lvlJc w:val="left"/>
      <w:pPr>
        <w:ind w:left="8480" w:hanging="721"/>
      </w:pPr>
      <w:rPr>
        <w:rFonts w:hint="default"/>
      </w:rPr>
    </w:lvl>
  </w:abstractNum>
  <w:abstractNum w:abstractNumId="8">
    <w:multiLevelType w:val="hybridMultilevel"/>
    <w:lvl w:ilvl="0">
      <w:start w:val="5"/>
      <w:numFmt w:val="lowerLetter"/>
      <w:lvlText w:val="%1"/>
      <w:lvlJc w:val="left"/>
      <w:pPr>
        <w:ind w:left="1143" w:hanging="264"/>
        <w:jc w:val="left"/>
      </w:pPr>
      <w:rPr>
        <w:rFonts w:hint="default"/>
      </w:rPr>
    </w:lvl>
    <w:lvl w:ilvl="1">
      <w:start w:val="7"/>
      <w:numFmt w:val="lowerLetter"/>
      <w:lvlText w:val="%1.%2"/>
      <w:lvlJc w:val="left"/>
      <w:pPr>
        <w:ind w:left="1143" w:hanging="264"/>
        <w:jc w:val="left"/>
      </w:pPr>
      <w:rPr>
        <w:rFonts w:hint="default" w:ascii="Times New Roman" w:hAnsi="Times New Roman" w:eastAsia="Times New Roman" w:cs="Times New Roman"/>
        <w:i/>
        <w:color w:val="FF0000"/>
        <w:spacing w:val="-1"/>
        <w:w w:val="99"/>
        <w:sz w:val="22"/>
        <w:szCs w:val="22"/>
      </w:rPr>
    </w:lvl>
    <w:lvl w:ilvl="2">
      <w:start w:val="1"/>
      <w:numFmt w:val="decimal"/>
      <w:lvlText w:val="%3."/>
      <w:lvlJc w:val="left"/>
      <w:pPr>
        <w:ind w:left="232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111" w:hanging="721"/>
      </w:pPr>
      <w:rPr>
        <w:rFonts w:hint="default"/>
      </w:rPr>
    </w:lvl>
    <w:lvl w:ilvl="4">
      <w:start w:val="0"/>
      <w:numFmt w:val="bullet"/>
      <w:lvlText w:val="•"/>
      <w:lvlJc w:val="left"/>
      <w:pPr>
        <w:ind w:left="5006" w:hanging="721"/>
      </w:pPr>
      <w:rPr>
        <w:rFonts w:hint="default"/>
      </w:rPr>
    </w:lvl>
    <w:lvl w:ilvl="5">
      <w:start w:val="0"/>
      <w:numFmt w:val="bullet"/>
      <w:lvlText w:val="•"/>
      <w:lvlJc w:val="left"/>
      <w:pPr>
        <w:ind w:left="5902" w:hanging="721"/>
      </w:pPr>
      <w:rPr>
        <w:rFonts w:hint="default"/>
      </w:rPr>
    </w:lvl>
    <w:lvl w:ilvl="6">
      <w:start w:val="0"/>
      <w:numFmt w:val="bullet"/>
      <w:lvlText w:val="•"/>
      <w:lvlJc w:val="left"/>
      <w:pPr>
        <w:ind w:left="6797" w:hanging="721"/>
      </w:pPr>
      <w:rPr>
        <w:rFonts w:hint="default"/>
      </w:rPr>
    </w:lvl>
    <w:lvl w:ilvl="7">
      <w:start w:val="0"/>
      <w:numFmt w:val="bullet"/>
      <w:lvlText w:val="•"/>
      <w:lvlJc w:val="left"/>
      <w:pPr>
        <w:ind w:left="7693" w:hanging="721"/>
      </w:pPr>
      <w:rPr>
        <w:rFonts w:hint="default"/>
      </w:rPr>
    </w:lvl>
    <w:lvl w:ilvl="8">
      <w:start w:val="0"/>
      <w:numFmt w:val="bullet"/>
      <w:lvlText w:val="•"/>
      <w:lvlJc w:val="left"/>
      <w:pPr>
        <w:ind w:left="8588" w:hanging="721"/>
      </w:pPr>
      <w:rPr>
        <w:rFonts w:hint="default"/>
      </w:rPr>
    </w:lvl>
  </w:abstractNum>
  <w:abstractNum w:abstractNumId="7">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2"/>
      <w:numFmt w:val="upperLetter"/>
      <w:lvlText w:val="%2."/>
      <w:lvlJc w:val="left"/>
      <w:pPr>
        <w:ind w:left="2320" w:hanging="721"/>
        <w:jc w:val="left"/>
      </w:pPr>
      <w:rPr>
        <w:rFonts w:hint="default" w:ascii="Times New Roman" w:hAnsi="Times New Roman" w:eastAsia="Times New Roman" w:cs="Times New Roman"/>
        <w:b/>
        <w:bCs/>
        <w:i/>
        <w:color w:val="FF0000"/>
        <w:w w:val="99"/>
        <w:sz w:val="22"/>
        <w:szCs w:val="22"/>
      </w:rPr>
    </w:lvl>
    <w:lvl w:ilvl="2">
      <w:start w:val="1"/>
      <w:numFmt w:val="decimal"/>
      <w:lvlText w:val="%3."/>
      <w:lvlJc w:val="left"/>
      <w:pPr>
        <w:ind w:left="232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106" w:hanging="721"/>
      </w:pPr>
      <w:rPr>
        <w:rFonts w:hint="default"/>
      </w:rPr>
    </w:lvl>
    <w:lvl w:ilvl="4">
      <w:start w:val="0"/>
      <w:numFmt w:val="bullet"/>
      <w:lvlText w:val="•"/>
      <w:lvlJc w:val="left"/>
      <w:pPr>
        <w:ind w:left="5000" w:hanging="721"/>
      </w:pPr>
      <w:rPr>
        <w:rFonts w:hint="default"/>
      </w:rPr>
    </w:lvl>
    <w:lvl w:ilvl="5">
      <w:start w:val="0"/>
      <w:numFmt w:val="bullet"/>
      <w:lvlText w:val="•"/>
      <w:lvlJc w:val="left"/>
      <w:pPr>
        <w:ind w:left="5893" w:hanging="721"/>
      </w:pPr>
      <w:rPr>
        <w:rFonts w:hint="default"/>
      </w:rPr>
    </w:lvl>
    <w:lvl w:ilvl="6">
      <w:start w:val="0"/>
      <w:numFmt w:val="bullet"/>
      <w:lvlText w:val="•"/>
      <w:lvlJc w:val="left"/>
      <w:pPr>
        <w:ind w:left="6786" w:hanging="721"/>
      </w:pPr>
      <w:rPr>
        <w:rFonts w:hint="default"/>
      </w:rPr>
    </w:lvl>
    <w:lvl w:ilvl="7">
      <w:start w:val="0"/>
      <w:numFmt w:val="bullet"/>
      <w:lvlText w:val="•"/>
      <w:lvlJc w:val="left"/>
      <w:pPr>
        <w:ind w:left="7680" w:hanging="721"/>
      </w:pPr>
      <w:rPr>
        <w:rFonts w:hint="default"/>
      </w:rPr>
    </w:lvl>
    <w:lvl w:ilvl="8">
      <w:start w:val="0"/>
      <w:numFmt w:val="bullet"/>
      <w:lvlText w:val="•"/>
      <w:lvlJc w:val="left"/>
      <w:pPr>
        <w:ind w:left="8573" w:hanging="721"/>
      </w:pPr>
      <w:rPr>
        <w:rFonts w:hint="default"/>
      </w:rPr>
    </w:lvl>
  </w:abstractNum>
  <w:abstractNum w:abstractNumId="6">
    <w:multiLevelType w:val="hybridMultilevel"/>
    <w:lvl w:ilvl="0">
      <w:start w:val="1"/>
      <w:numFmt w:val="upperRoman"/>
      <w:lvlText w:val="%1."/>
      <w:lvlJc w:val="left"/>
      <w:pPr>
        <w:ind w:left="860"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5">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2300" w:hanging="721"/>
      </w:pPr>
      <w:rPr>
        <w:rFonts w:hint="default"/>
      </w:rPr>
    </w:lvl>
    <w:lvl w:ilvl="2">
      <w:start w:val="0"/>
      <w:numFmt w:val="bullet"/>
      <w:lvlText w:val="•"/>
      <w:lvlJc w:val="left"/>
      <w:pPr>
        <w:ind w:left="3195" w:hanging="721"/>
      </w:pPr>
      <w:rPr>
        <w:rFonts w:hint="default"/>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4">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1"/>
      <w:numFmt w:val="upperLetter"/>
      <w:lvlText w:val="%2."/>
      <w:lvlJc w:val="left"/>
      <w:pPr>
        <w:ind w:left="859" w:hanging="269"/>
        <w:jc w:val="left"/>
      </w:pPr>
      <w:rPr>
        <w:rFonts w:hint="default" w:ascii="Times New Roman" w:hAnsi="Times New Roman" w:eastAsia="Times New Roman" w:cs="Times New Roman"/>
        <w:b/>
        <w:bCs/>
        <w:spacing w:val="-1"/>
        <w:w w:val="99"/>
        <w:sz w:val="22"/>
        <w:szCs w:val="22"/>
      </w:rPr>
    </w:lvl>
    <w:lvl w:ilvl="2">
      <w:start w:val="0"/>
      <w:numFmt w:val="bullet"/>
      <w:lvlText w:val="•"/>
      <w:lvlJc w:val="left"/>
      <w:pPr>
        <w:ind w:left="2760" w:hanging="269"/>
      </w:pPr>
      <w:rPr>
        <w:rFonts w:hint="default"/>
      </w:rPr>
    </w:lvl>
    <w:lvl w:ilvl="3">
      <w:start w:val="0"/>
      <w:numFmt w:val="bullet"/>
      <w:lvlText w:val="•"/>
      <w:lvlJc w:val="left"/>
      <w:pPr>
        <w:ind w:left="3710" w:hanging="269"/>
      </w:pPr>
      <w:rPr>
        <w:rFonts w:hint="default"/>
      </w:rPr>
    </w:lvl>
    <w:lvl w:ilvl="4">
      <w:start w:val="0"/>
      <w:numFmt w:val="bullet"/>
      <w:lvlText w:val="•"/>
      <w:lvlJc w:val="left"/>
      <w:pPr>
        <w:ind w:left="4660" w:hanging="269"/>
      </w:pPr>
      <w:rPr>
        <w:rFonts w:hint="default"/>
      </w:rPr>
    </w:lvl>
    <w:lvl w:ilvl="5">
      <w:start w:val="0"/>
      <w:numFmt w:val="bullet"/>
      <w:lvlText w:val="•"/>
      <w:lvlJc w:val="left"/>
      <w:pPr>
        <w:ind w:left="5610" w:hanging="269"/>
      </w:pPr>
      <w:rPr>
        <w:rFonts w:hint="default"/>
      </w:rPr>
    </w:lvl>
    <w:lvl w:ilvl="6">
      <w:start w:val="0"/>
      <w:numFmt w:val="bullet"/>
      <w:lvlText w:val="•"/>
      <w:lvlJc w:val="left"/>
      <w:pPr>
        <w:ind w:left="6560" w:hanging="269"/>
      </w:pPr>
      <w:rPr>
        <w:rFonts w:hint="default"/>
      </w:rPr>
    </w:lvl>
    <w:lvl w:ilvl="7">
      <w:start w:val="0"/>
      <w:numFmt w:val="bullet"/>
      <w:lvlText w:val="•"/>
      <w:lvlJc w:val="left"/>
      <w:pPr>
        <w:ind w:left="7510" w:hanging="269"/>
      </w:pPr>
      <w:rPr>
        <w:rFonts w:hint="default"/>
      </w:rPr>
    </w:lvl>
    <w:lvl w:ilvl="8">
      <w:start w:val="0"/>
      <w:numFmt w:val="bullet"/>
      <w:lvlText w:val="•"/>
      <w:lvlJc w:val="left"/>
      <w:pPr>
        <w:ind w:left="8460" w:hanging="269"/>
      </w:pPr>
      <w:rPr>
        <w:rFonts w:hint="default"/>
      </w:rPr>
    </w:lvl>
  </w:abstractNum>
  <w:abstractNum w:abstractNumId="3">
    <w:multiLevelType w:val="hybridMultilevel"/>
    <w:lvl w:ilvl="0">
      <w:start w:val="1"/>
      <w:numFmt w:val="upperLetter"/>
      <w:lvlText w:val="%1."/>
      <w:lvlJc w:val="left"/>
      <w:pPr>
        <w:ind w:left="859"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2">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1"/>
      <w:numFmt w:val="decimal"/>
      <w:lvlText w:val="%2."/>
      <w:lvlJc w:val="left"/>
      <w:pPr>
        <w:ind w:left="860" w:hanging="721"/>
        <w:jc w:val="left"/>
      </w:pPr>
      <w:rPr>
        <w:rFonts w:hint="default" w:ascii="Times New Roman" w:hAnsi="Times New Roman" w:eastAsia="Times New Roman" w:cs="Times New Roman"/>
        <w:b/>
        <w:bCs/>
        <w:w w:val="99"/>
        <w:sz w:val="22"/>
        <w:szCs w:val="22"/>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0">
    <w:multiLevelType w:val="hybridMultilevel"/>
    <w:lvl w:ilvl="0">
      <w:start w:val="1"/>
      <w:numFmt w:val="upperRoman"/>
      <w:lvlText w:val="%1."/>
      <w:lvlJc w:val="left"/>
      <w:pPr>
        <w:ind w:left="860"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i/>
      <w:sz w:val="16"/>
      <w:szCs w:val="16"/>
    </w:rPr>
  </w:style>
  <w:style w:styleId="Heading1" w:type="paragraph">
    <w:name w:val="Heading 1"/>
    <w:basedOn w:val="Normal"/>
    <w:uiPriority w:val="1"/>
    <w:qFormat/>
    <w:pPr>
      <w:ind w:left="140"/>
      <w:outlineLvl w:val="1"/>
    </w:pPr>
    <w:rPr>
      <w:rFonts w:ascii="Times New Roman" w:hAnsi="Times New Roman" w:eastAsia="Times New Roman" w:cs="Times New Roman"/>
      <w:b/>
      <w:bCs/>
      <w:i/>
      <w:sz w:val="30"/>
      <w:szCs w:val="30"/>
      <w:u w:val="single" w:color="000000"/>
    </w:rPr>
  </w:style>
  <w:style w:styleId="Heading2" w:type="paragraph">
    <w:name w:val="Heading 2"/>
    <w:basedOn w:val="Normal"/>
    <w:uiPriority w:val="1"/>
    <w:qFormat/>
    <w:pPr>
      <w:ind w:left="860"/>
      <w:outlineLvl w:val="2"/>
    </w:pPr>
    <w:rPr>
      <w:rFonts w:ascii="Times New Roman" w:hAnsi="Times New Roman" w:eastAsia="Times New Roman" w:cs="Times New Roman"/>
      <w:b/>
      <w:bCs/>
      <w:sz w:val="22"/>
      <w:szCs w:val="22"/>
    </w:rPr>
  </w:style>
  <w:style w:styleId="Heading3" w:type="paragraph">
    <w:name w:val="Heading 3"/>
    <w:basedOn w:val="Normal"/>
    <w:uiPriority w:val="1"/>
    <w:qFormat/>
    <w:pPr>
      <w:ind w:left="859"/>
      <w:outlineLvl w:val="3"/>
    </w:pPr>
    <w:rPr>
      <w:rFonts w:ascii="Times New Roman" w:hAnsi="Times New Roman" w:eastAsia="Times New Roman" w:cs="Times New Roman"/>
      <w:b/>
      <w:bCs/>
      <w:i/>
      <w:sz w:val="22"/>
      <w:szCs w:val="22"/>
    </w:rPr>
  </w:style>
  <w:style w:styleId="Heading4" w:type="paragraph">
    <w:name w:val="Heading 4"/>
    <w:basedOn w:val="Normal"/>
    <w:uiPriority w:val="1"/>
    <w:qFormat/>
    <w:pPr>
      <w:ind w:left="860"/>
      <w:outlineLvl w:val="4"/>
    </w:pPr>
    <w:rPr>
      <w:rFonts w:ascii="Times New Roman" w:hAnsi="Times New Roman" w:eastAsia="Times New Roman" w:cs="Times New Roman"/>
      <w:sz w:val="22"/>
      <w:szCs w:val="22"/>
    </w:rPr>
  </w:style>
  <w:style w:styleId="Heading5" w:type="paragraph">
    <w:name w:val="Heading 5"/>
    <w:basedOn w:val="Normal"/>
    <w:uiPriority w:val="1"/>
    <w:qFormat/>
    <w:pPr>
      <w:ind w:left="860"/>
      <w:outlineLvl w:val="5"/>
    </w:pPr>
    <w:rPr>
      <w:rFonts w:ascii="Times New Roman" w:hAnsi="Times New Roman" w:eastAsia="Times New Roman" w:cs="Times New Roman"/>
      <w:i/>
      <w:sz w:val="22"/>
      <w:szCs w:val="22"/>
    </w:rPr>
  </w:style>
  <w:style w:styleId="Heading6" w:type="paragraph">
    <w:name w:val="Heading 6"/>
    <w:basedOn w:val="Normal"/>
    <w:uiPriority w:val="1"/>
    <w:qFormat/>
    <w:pPr>
      <w:spacing w:line="230" w:lineRule="exact"/>
      <w:ind w:left="140"/>
      <w:outlineLvl w:val="6"/>
    </w:pPr>
    <w:rPr>
      <w:rFonts w:ascii="Times New Roman" w:hAnsi="Times New Roman" w:eastAsia="Times New Roman" w:cs="Times New Roman"/>
      <w:i/>
      <w:sz w:val="20"/>
      <w:szCs w:val="20"/>
    </w:rPr>
  </w:style>
  <w:style w:styleId="ListParagraph" w:type="paragraph">
    <w:name w:val="List Paragraph"/>
    <w:basedOn w:val="Normal"/>
    <w:uiPriority w:val="1"/>
    <w:qFormat/>
    <w:pPr>
      <w:ind w:left="860" w:hanging="720"/>
    </w:pPr>
    <w:rPr>
      <w:rFonts w:ascii="Times New Roman" w:hAnsi="Times New Roman" w:eastAsia="Times New Roman" w:cs="Times New Roman"/>
      <w:u w:val="single" w:color="000000"/>
    </w:rPr>
  </w:style>
  <w:style w:styleId="TableParagraph" w:type="paragraph">
    <w:name w:val="Table Paragraph"/>
    <w:basedOn w:val="Normal"/>
    <w:uiPriority w:val="1"/>
    <w:qFormat/>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Annabel Waggoner</dc:creator>
  <dc:title>EPA  Reviewer:</dc:title>
  <dcterms:created xsi:type="dcterms:W3CDTF">2017-10-18T09:13:56Z</dcterms:created>
  <dcterms:modified xsi:type="dcterms:W3CDTF">2017-10-18T09:13:56Z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