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10" w:type="dxa"/>
        <w:tblBorders>
          <w:top w:val="nil"/>
          <w:left w:val="nil"/>
          <w:bottom w:val="nil"/>
          <w:right w:val="nil"/>
          <w:insideH w:val="nil"/>
          <w:insideV w:val="nil"/>
        </w:tblBorders>
        <w:tblLayout w:type="fixed"/>
        <w:tblCellMar>
          <w:top w:w="0" w:type="dxa"/>
          <w:left w:w="0" w:type="dxa"/>
          <w:bottom w:w="0" w:type="dxa"/>
          <w:right w:w="0" w:type="dxa"/>
        </w:tblCellMar>
        <w:tblLook w:val="01E0"/>
      </w:tblPr>
      <w:tblGrid>
        <w:gridCol w:w="2280"/>
        <w:gridCol w:w="2010"/>
        <w:gridCol w:w="1560"/>
        <w:gridCol w:w="2100"/>
      </w:tblGrid>
      <w:tr>
        <w:trPr>
          <w:trHeight w:val="449" w:hRule="exact"/>
        </w:trPr>
        <w:tc>
          <w:tcPr>
            <w:tcW w:w="2280" w:type="dxa"/>
            <w:tcBorders>
              <w:top w:val="single" w:sz="4" w:space="0" w:color="000000"/>
            </w:tcBorders>
          </w:tcPr>
          <w:p>
            <w:pPr>
              <w:pStyle w:val="TableParagraph"/>
              <w:spacing w:before="164"/>
              <w:ind w:right="119"/>
              <w:jc w:val="right"/>
              <w:rPr>
                <w:b/>
                <w:sz w:val="22"/>
              </w:rPr>
            </w:pPr>
            <w:r>
              <w:rPr>
                <w:b/>
                <w:sz w:val="22"/>
                <w:shd w:fill="FFFF00" w:color="auto" w:val="clear"/>
              </w:rPr>
              <w:t>Primary Reviewer:</w:t>
            </w:r>
          </w:p>
        </w:tc>
        <w:tc>
          <w:tcPr>
            <w:tcW w:w="2010" w:type="dxa"/>
            <w:tcBorders>
              <w:top w:val="single" w:sz="4" w:space="0" w:color="000000"/>
              <w:bottom w:val="single" w:sz="4" w:space="0" w:color="000000"/>
            </w:tcBorders>
          </w:tcPr>
          <w:p>
            <w:pPr/>
          </w:p>
        </w:tc>
        <w:tc>
          <w:tcPr>
            <w:tcW w:w="1560" w:type="dxa"/>
            <w:tcBorders>
              <w:top w:val="single" w:sz="4" w:space="0" w:color="000000"/>
              <w:bottom w:val="single" w:sz="4" w:space="0" w:color="000000"/>
            </w:tcBorders>
          </w:tcPr>
          <w:p>
            <w:pPr/>
          </w:p>
        </w:tc>
        <w:tc>
          <w:tcPr>
            <w:tcW w:w="2100" w:type="dxa"/>
            <w:tcBorders>
              <w:top w:val="single" w:sz="4" w:space="0" w:color="000000"/>
              <w:bottom w:val="single" w:sz="4" w:space="0" w:color="000000"/>
            </w:tcBorders>
          </w:tcPr>
          <w:p>
            <w:pPr>
              <w:pStyle w:val="TableParagraph"/>
              <w:spacing w:before="164"/>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299" w:hRule="exact"/>
        </w:trPr>
        <w:tc>
          <w:tcPr>
            <w:tcW w:w="2280" w:type="dxa"/>
          </w:tcPr>
          <w:p>
            <w:pPr>
              <w:pStyle w:val="TableParagraph"/>
              <w:spacing w:before="19"/>
              <w:ind w:right="118"/>
              <w:jc w:val="right"/>
              <w:rPr>
                <w:b/>
                <w:sz w:val="22"/>
              </w:rPr>
            </w:pPr>
            <w:r>
              <w:rPr>
                <w:b/>
                <w:sz w:val="22"/>
                <w:shd w:fill="FFFF00" w:color="auto" w:val="clear"/>
              </w:rPr>
              <w:t>Secondary Reviewer:</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313"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r>
        <w:trPr>
          <w:trHeight w:val="324" w:hRule="exact"/>
        </w:trPr>
        <w:tc>
          <w:tcPr>
            <w:tcW w:w="7950" w:type="dxa"/>
            <w:gridSpan w:val="4"/>
          </w:tcPr>
          <w:p>
            <w:pPr>
              <w:pStyle w:val="TableParagraph"/>
              <w:spacing w:before="19"/>
              <w:ind w:left="150"/>
              <w:rPr>
                <w:b/>
                <w:sz w:val="24"/>
              </w:rPr>
            </w:pPr>
            <w:r>
              <w:rPr>
                <w:b/>
                <w:color w:val="0070C0"/>
                <w:sz w:val="24"/>
                <w:shd w:fill="FFFF00" w:color="auto" w:val="clear"/>
              </w:rPr>
              <w:t>[FOR JOINT REVIEWS ONLY- </w:t>
            </w:r>
            <w:r>
              <w:rPr>
                <w:b/>
                <w:i/>
                <w:color w:val="0070C0"/>
                <w:sz w:val="24"/>
                <w:shd w:fill="FFFF00" w:color="auto" w:val="clear"/>
              </w:rPr>
              <w:t>otherwise delete</w:t>
            </w:r>
            <w:r>
              <w:rPr>
                <w:b/>
                <w:color w:val="0070C0"/>
                <w:sz w:val="24"/>
                <w:shd w:fill="FFFF00" w:color="auto" w:val="clear"/>
              </w:rPr>
              <w:t>]</w:t>
            </w:r>
          </w:p>
        </w:tc>
      </w:tr>
      <w:tr>
        <w:trPr>
          <w:trHeight w:val="299" w:hRule="exact"/>
        </w:trPr>
        <w:tc>
          <w:tcPr>
            <w:tcW w:w="2280" w:type="dxa"/>
          </w:tcPr>
          <w:p>
            <w:pPr>
              <w:pStyle w:val="TableParagraph"/>
              <w:spacing w:before="19"/>
              <w:ind w:right="118"/>
              <w:jc w:val="right"/>
              <w:rPr>
                <w:b/>
                <w:sz w:val="22"/>
              </w:rPr>
            </w:pPr>
            <w:r>
              <w:rPr>
                <w:b/>
                <w:sz w:val="22"/>
                <w:shd w:fill="FFFF00" w:color="auto" w:val="clear"/>
              </w:rPr>
              <w:t>Approved by:</w:t>
            </w:r>
          </w:p>
        </w:tc>
        <w:tc>
          <w:tcPr>
            <w:tcW w:w="2010" w:type="dxa"/>
            <w:tcBorders>
              <w:bottom w:val="single" w:sz="4" w:space="0" w:color="000000"/>
            </w:tcBorders>
          </w:tcPr>
          <w:p>
            <w:pPr/>
          </w:p>
        </w:tc>
        <w:tc>
          <w:tcPr>
            <w:tcW w:w="1560" w:type="dxa"/>
            <w:tcBorders>
              <w:bottom w:val="single" w:sz="4" w:space="0" w:color="000000"/>
            </w:tcBorders>
          </w:tcPr>
          <w:p>
            <w:pPr/>
          </w:p>
        </w:tc>
        <w:tc>
          <w:tcPr>
            <w:tcW w:w="2100" w:type="dxa"/>
            <w:tcBorders>
              <w:bottom w:val="single" w:sz="4" w:space="0" w:color="000000"/>
            </w:tcBorders>
          </w:tcPr>
          <w:p>
            <w:pPr>
              <w:pStyle w:val="TableParagraph"/>
              <w:spacing w:before="19"/>
              <w:ind w:right="-633"/>
              <w:jc w:val="right"/>
              <w:rPr>
                <w:b/>
                <w:sz w:val="22"/>
              </w:rPr>
            </w:pPr>
            <w:r>
              <w:rPr>
                <w:b/>
                <w:sz w:val="22"/>
                <w:shd w:fill="FFFF00" w:color="auto" w:val="clear"/>
              </w:rPr>
              <w:t>Date:</w:t>
            </w:r>
          </w:p>
        </w:tc>
      </w:tr>
      <w:tr>
        <w:trPr>
          <w:trHeight w:val="574" w:hRule="exact"/>
        </w:trPr>
        <w:tc>
          <w:tcPr>
            <w:tcW w:w="2280" w:type="dxa"/>
          </w:tcPr>
          <w:p>
            <w:pPr/>
          </w:p>
        </w:tc>
        <w:tc>
          <w:tcPr>
            <w:tcW w:w="2010" w:type="dxa"/>
            <w:tcBorders>
              <w:top w:val="single" w:sz="4" w:space="0" w:color="000000"/>
            </w:tcBorders>
          </w:tcPr>
          <w:p>
            <w:pPr>
              <w:pStyle w:val="TableParagraph"/>
              <w:spacing w:before="26"/>
              <w:jc w:val="right"/>
              <w:rPr>
                <w:b/>
                <w:i/>
                <w:sz w:val="22"/>
              </w:rPr>
            </w:pPr>
            <w:r>
              <w:rPr>
                <w:b/>
                <w:i/>
                <w:color w:val="FF0000"/>
                <w:sz w:val="22"/>
                <w:shd w:fill="FFFF00" w:color="auto" w:val="clear"/>
              </w:rPr>
              <w:t>[Name, title, and affi</w:t>
            </w:r>
          </w:p>
        </w:tc>
        <w:tc>
          <w:tcPr>
            <w:tcW w:w="1560" w:type="dxa"/>
            <w:tcBorders>
              <w:top w:val="single" w:sz="4" w:space="0" w:color="000000"/>
              <w:bottom w:val="single" w:sz="4" w:space="0" w:color="000000"/>
            </w:tcBorders>
          </w:tcPr>
          <w:p>
            <w:pPr>
              <w:pStyle w:val="TableParagraph"/>
              <w:spacing w:before="26"/>
              <w:ind w:left="-1"/>
              <w:rPr>
                <w:b/>
                <w:i/>
                <w:sz w:val="22"/>
              </w:rPr>
            </w:pPr>
            <w:r>
              <w:rPr>
                <w:b/>
                <w:i/>
                <w:color w:val="FF0000"/>
                <w:sz w:val="22"/>
                <w:shd w:fill="FFFF00" w:color="auto" w:val="clear"/>
              </w:rPr>
              <w:t>liation]</w:t>
            </w:r>
          </w:p>
        </w:tc>
        <w:tc>
          <w:tcPr>
            <w:tcW w:w="2100" w:type="dxa"/>
            <w:tcBorders>
              <w:top w:val="single" w:sz="4" w:space="0" w:color="000000"/>
            </w:tcBorders>
          </w:tcPr>
          <w:p>
            <w:pPr/>
          </w:p>
        </w:tc>
      </w:tr>
    </w:tbl>
    <w:p>
      <w:pPr>
        <w:pStyle w:val="BodyText"/>
        <w:spacing w:before="4"/>
        <w:rPr>
          <w:i w:val="0"/>
          <w:sz w:val="22"/>
        </w:rPr>
      </w:pPr>
      <w:r>
        <w:rPr/>
        <w:pict>
          <v:group style="position:absolute;margin-left:211.350006pt;margin-top:14.811239pt;width:195.3pt;height:24.65pt;mso-position-horizontal-relative:page;mso-position-vertical-relative:paragraph;z-index:1048;mso-wrap-distance-left:0;mso-wrap-distance-right:0" coordorigin="4227,296" coordsize="3906,493">
            <v:shape style="position:absolute;left:4227;top:296;width:3906;height:493" coordorigin="4227,296" coordsize="3906,493" path="m8133,296l4227,296,4227,789,8133,789,8133,769,4247,769,4247,316,8133,316,8133,296xm8133,316l8113,316,8113,769,8133,769,8133,316xm4267,336l4267,749,8093,749,8093,729,4287,729,4287,356,4267,336xm8093,336l4267,336,4287,356,8073,356,8073,729,8093,729,8093,336xe" filled="true" fillcolor="#000000" stroked="false">
              <v:path arrowok="t"/>
              <v:fill type="solid"/>
            </v:shape>
            <v:shape style="position:absolute;left:4227;top:296;width:3906;height:493" type="#_x0000_t202" filled="false" stroked="false">
              <v:textbox inset="0,0,0,0">
                <w:txbxContent>
                  <w:p>
                    <w:pPr>
                      <w:spacing w:before="131"/>
                      <w:ind w:left="220" w:right="0" w:firstLine="0"/>
                      <w:jc w:val="left"/>
                      <w:rPr>
                        <w:b/>
                        <w:sz w:val="24"/>
                      </w:rPr>
                    </w:pPr>
                    <w:r>
                      <w:rPr>
                        <w:b/>
                        <w:sz w:val="24"/>
                      </w:rPr>
                      <w:t>DATA EVALUATION RECORD</w:t>
                    </w:r>
                  </w:p>
                </w:txbxContent>
              </v:textbox>
              <w10:wrap type="none"/>
            </v:shape>
            <w10:wrap type="topAndBottom"/>
          </v:group>
        </w:pict>
      </w:r>
    </w:p>
    <w:p>
      <w:pPr>
        <w:pStyle w:val="BodyText"/>
        <w:spacing w:before="1"/>
        <w:rPr>
          <w:i w:val="0"/>
          <w:sz w:val="19"/>
        </w:rPr>
      </w:pPr>
    </w:p>
    <w:p>
      <w:pPr>
        <w:spacing w:before="92"/>
        <w:ind w:left="291" w:right="289" w:firstLine="1"/>
        <w:jc w:val="center"/>
        <w:rPr>
          <w:b/>
          <w:i/>
          <w:sz w:val="20"/>
        </w:rPr>
      </w:pPr>
      <w:r>
        <w:rPr>
          <w:b/>
          <w:i/>
          <w:color w:val="0070C0"/>
          <w:sz w:val="20"/>
          <w:shd w:fill="FFFF00" w:color="auto" w:val="clear"/>
        </w:rPr>
        <w:t>[</w:t>
      </w:r>
      <w:r>
        <w:rPr>
          <w:b/>
          <w:color w:val="0070C0"/>
          <w:sz w:val="20"/>
          <w:shd w:fill="FFFF00" w:color="auto" w:val="clear"/>
          <w:u w:val="single" w:color="0070C0"/>
        </w:rPr>
        <w:t>NOTE TO REGISTRANT/APPLICANT: </w:t>
      </w:r>
      <w:r>
        <w:rPr>
          <w:b/>
          <w:color w:val="0070C0"/>
          <w:sz w:val="20"/>
          <w:shd w:fill="FFFF00" w:color="auto" w:val="clear"/>
        </w:rPr>
        <w:t>PLEASE DISREGARD </w:t>
      </w:r>
      <w:r>
        <w:rPr>
          <w:b/>
          <w:i/>
          <w:color w:val="0070C0"/>
          <w:sz w:val="20"/>
          <w:shd w:fill="FFFF00" w:color="auto" w:val="clear"/>
        </w:rPr>
        <w:t>the header, footer, and reviewer information; </w:t>
      </w:r>
      <w:r>
        <w:rPr>
          <w:b/>
          <w:i/>
          <w:color w:val="0070C0"/>
          <w:sz w:val="20"/>
          <w:shd w:fill="FFFF00" w:color="auto" w:val="clear"/>
        </w:rPr>
        <w:t>reviewers’ comments in the conclusion section; and study classification statement. These sections are for EPA, PMRA, and OECD data entry only and will be populated upon Agency review.]</w:t>
      </w:r>
    </w:p>
    <w:p>
      <w:pPr>
        <w:pStyle w:val="BodyText"/>
        <w:spacing w:before="9"/>
        <w:rPr>
          <w:b/>
          <w:i/>
          <w:sz w:val="23"/>
        </w:rPr>
      </w:pPr>
    </w:p>
    <w:p>
      <w:pPr>
        <w:tabs>
          <w:tab w:pos="2300" w:val="left" w:leader="none"/>
        </w:tabs>
        <w:spacing w:before="0"/>
        <w:ind w:left="140" w:right="0" w:firstLine="0"/>
        <w:jc w:val="left"/>
        <w:rPr>
          <w:sz w:val="22"/>
        </w:rPr>
      </w:pPr>
      <w:r>
        <w:rPr>
          <w:b/>
          <w:sz w:val="22"/>
          <w:u w:val="thick"/>
        </w:rPr>
        <w:t>REQUIREMENT</w:t>
      </w:r>
      <w:r>
        <w:rPr>
          <w:b/>
          <w:sz w:val="22"/>
        </w:rPr>
        <w:t>:</w:t>
        <w:tab/>
      </w:r>
      <w:r>
        <w:rPr>
          <w:sz w:val="22"/>
        </w:rPr>
        <w:t>Nontarget Insect Testing, Tier</w:t>
      </w:r>
      <w:r>
        <w:rPr>
          <w:spacing w:val="-14"/>
          <w:sz w:val="22"/>
        </w:rPr>
        <w:t> </w:t>
      </w:r>
      <w:r>
        <w:rPr>
          <w:sz w:val="22"/>
        </w:rPr>
        <w:t>I</w:t>
      </w:r>
    </w:p>
    <w:p>
      <w:pPr>
        <w:pStyle w:val="Heading4"/>
        <w:tabs>
          <w:tab w:pos="5180" w:val="left" w:leader="none"/>
        </w:tabs>
        <w:ind w:left="2300"/>
      </w:pPr>
      <w:r>
        <w:rPr/>
        <w:t>U.S. EPA</w:t>
      </w:r>
      <w:r>
        <w:rPr>
          <w:spacing w:val="-5"/>
        </w:rPr>
        <w:t> </w:t>
      </w:r>
      <w:r>
        <w:rPr/>
        <w:t>OCSPP</w:t>
      </w:r>
      <w:r>
        <w:rPr>
          <w:spacing w:val="-2"/>
        </w:rPr>
        <w:t> </w:t>
      </w:r>
      <w:r>
        <w:rPr/>
        <w:t>Guideline:</w:t>
        <w:tab/>
        <w:t>885.4340</w:t>
      </w:r>
    </w:p>
    <w:p>
      <w:pPr>
        <w:tabs>
          <w:tab w:pos="5180" w:val="left" w:leader="none"/>
        </w:tabs>
        <w:spacing w:line="253" w:lineRule="exact" w:before="0"/>
        <w:ind w:left="2300" w:right="0" w:firstLine="0"/>
        <w:jc w:val="left"/>
        <w:rPr>
          <w:sz w:val="22"/>
        </w:rPr>
      </w:pPr>
      <w:r>
        <w:rPr>
          <w:sz w:val="22"/>
        </w:rPr>
        <w:t>PMRA</w:t>
      </w:r>
      <w:r>
        <w:rPr>
          <w:spacing w:val="-3"/>
          <w:sz w:val="22"/>
        </w:rPr>
        <w:t> </w:t>
      </w:r>
      <w:r>
        <w:rPr>
          <w:sz w:val="22"/>
        </w:rPr>
        <w:t>Data</w:t>
      </w:r>
      <w:r>
        <w:rPr>
          <w:spacing w:val="-3"/>
          <w:sz w:val="22"/>
        </w:rPr>
        <w:t> </w:t>
      </w:r>
      <w:r>
        <w:rPr>
          <w:sz w:val="22"/>
        </w:rPr>
        <w:t>Code:</w:t>
        <w:tab/>
        <w:t>M9.5.1–Terrestrial</w:t>
      </w:r>
      <w:r>
        <w:rPr>
          <w:spacing w:val="-11"/>
          <w:sz w:val="22"/>
        </w:rPr>
        <w:t> </w:t>
      </w:r>
      <w:r>
        <w:rPr>
          <w:sz w:val="22"/>
        </w:rPr>
        <w:t>arthropods</w:t>
      </w:r>
    </w:p>
    <w:p>
      <w:pPr>
        <w:spacing w:line="253" w:lineRule="exact" w:before="0"/>
        <w:ind w:left="5180" w:right="0" w:firstLine="0"/>
        <w:jc w:val="left"/>
        <w:rPr>
          <w:sz w:val="22"/>
        </w:rPr>
      </w:pPr>
      <w:r>
        <w:rPr>
          <w:color w:val="FF0000"/>
          <w:sz w:val="22"/>
        </w:rPr>
        <w:t>[</w:t>
      </w:r>
      <w:r>
        <w:rPr>
          <w:b/>
          <w:i/>
          <w:color w:val="FF0000"/>
          <w:sz w:val="22"/>
        </w:rPr>
        <w:t>OR </w:t>
      </w:r>
      <w:r>
        <w:rPr>
          <w:color w:val="FF0000"/>
          <w:sz w:val="22"/>
        </w:rPr>
        <w:t>M9.6–Non-arthropod invertebrates]</w:t>
      </w:r>
    </w:p>
    <w:p>
      <w:pPr>
        <w:tabs>
          <w:tab w:pos="5181" w:val="left" w:leader="none"/>
        </w:tabs>
        <w:spacing w:before="1"/>
        <w:ind w:left="2301" w:right="0" w:firstLine="0"/>
        <w:jc w:val="left"/>
        <w:rPr>
          <w:sz w:val="22"/>
        </w:rPr>
      </w:pPr>
      <w:r>
        <w:rPr>
          <w:sz w:val="22"/>
        </w:rPr>
        <w:t>OECD</w:t>
      </w:r>
      <w:r>
        <w:rPr>
          <w:spacing w:val="-3"/>
          <w:sz w:val="22"/>
        </w:rPr>
        <w:t> </w:t>
      </w:r>
      <w:r>
        <w:rPr>
          <w:sz w:val="22"/>
        </w:rPr>
        <w:t>Data</w:t>
      </w:r>
      <w:r>
        <w:rPr>
          <w:spacing w:val="-1"/>
          <w:sz w:val="22"/>
        </w:rPr>
        <w:t> </w:t>
      </w:r>
      <w:r>
        <w:rPr>
          <w:sz w:val="22"/>
        </w:rPr>
        <w:t>Code:</w:t>
        <w:tab/>
        <w:t>IIM 8.8, IIIM</w:t>
      </w:r>
      <w:r>
        <w:rPr>
          <w:spacing w:val="-4"/>
          <w:sz w:val="22"/>
        </w:rPr>
        <w:t> </w:t>
      </w:r>
      <w:r>
        <w:rPr>
          <w:sz w:val="22"/>
        </w:rPr>
        <w:t>10.4</w:t>
      </w:r>
    </w:p>
    <w:p>
      <w:pPr>
        <w:spacing w:before="0"/>
        <w:ind w:left="5182" w:right="0" w:firstLine="0"/>
        <w:jc w:val="left"/>
        <w:rPr>
          <w:sz w:val="22"/>
        </w:rPr>
      </w:pPr>
      <w:r>
        <w:rPr>
          <w:color w:val="FF0000"/>
          <w:sz w:val="22"/>
        </w:rPr>
        <w:t>[</w:t>
      </w:r>
      <w:r>
        <w:rPr>
          <w:b/>
          <w:color w:val="FF0000"/>
          <w:sz w:val="22"/>
        </w:rPr>
        <w:t>OR </w:t>
      </w:r>
      <w:r>
        <w:rPr>
          <w:color w:val="FF0000"/>
          <w:sz w:val="22"/>
        </w:rPr>
        <w:t>IIM 8.9. IIIM 10.5 (earthworms)]</w:t>
      </w:r>
    </w:p>
    <w:p>
      <w:pPr>
        <w:pStyle w:val="BodyText"/>
        <w:rPr>
          <w:i w:val="0"/>
          <w:sz w:val="24"/>
        </w:rPr>
      </w:pPr>
    </w:p>
    <w:p>
      <w:pPr>
        <w:pStyle w:val="BodyText"/>
        <w:rPr>
          <w:i w:val="0"/>
          <w:sz w:val="20"/>
        </w:rPr>
      </w:pPr>
    </w:p>
    <w:p>
      <w:pPr>
        <w:tabs>
          <w:tab w:pos="3739" w:val="left" w:leader="none"/>
        </w:tabs>
        <w:spacing w:before="0"/>
        <w:ind w:left="140" w:right="0" w:firstLine="0"/>
        <w:jc w:val="left"/>
        <w:rPr>
          <w:i/>
          <w:sz w:val="22"/>
        </w:rPr>
      </w:pPr>
      <w:r>
        <w:rPr>
          <w:b/>
          <w:sz w:val="22"/>
          <w:u w:val="thick"/>
        </w:rPr>
        <w:t>TEST</w:t>
      </w:r>
      <w:r>
        <w:rPr>
          <w:b/>
          <w:spacing w:val="-2"/>
          <w:sz w:val="22"/>
          <w:u w:val="thick"/>
        </w:rPr>
        <w:t> </w:t>
      </w:r>
      <w:r>
        <w:rPr>
          <w:b/>
          <w:sz w:val="22"/>
          <w:u w:val="thick"/>
        </w:rPr>
        <w:t>MATERIAL</w:t>
      </w:r>
      <w:r>
        <w:rPr>
          <w:b/>
          <w:spacing w:val="-2"/>
          <w:sz w:val="22"/>
          <w:u w:val="thick"/>
        </w:rPr>
        <w:t> </w:t>
      </w:r>
      <w:r>
        <w:rPr>
          <w:b/>
          <w:sz w:val="22"/>
          <w:u w:val="thick"/>
        </w:rPr>
        <w:t>(PURITY)</w:t>
      </w:r>
      <w:r>
        <w:rPr>
          <w:b/>
          <w:sz w:val="22"/>
        </w:rPr>
        <w:t>:</w:t>
        <w:tab/>
      </w:r>
      <w:r>
        <w:rPr>
          <w:i/>
          <w:color w:val="FF0000"/>
          <w:sz w:val="22"/>
        </w:rPr>
        <w:t>[use name of material tested as referred to in the study and include</w:t>
      </w:r>
      <w:r>
        <w:rPr>
          <w:i/>
          <w:color w:val="FF0000"/>
          <w:spacing w:val="-34"/>
          <w:sz w:val="22"/>
        </w:rPr>
        <w:t> </w:t>
      </w:r>
      <w:r>
        <w:rPr>
          <w:i/>
          <w:color w:val="FF0000"/>
          <w:sz w:val="22"/>
        </w:rPr>
        <w:t>its</w:t>
      </w:r>
    </w:p>
    <w:p>
      <w:pPr>
        <w:pStyle w:val="Heading5"/>
        <w:ind w:left="3740" w:right="306"/>
      </w:pPr>
      <w:r>
        <w:rPr>
          <w:i/>
          <w:color w:val="FF0000"/>
        </w:rPr>
        <w:t>potency, lot no., biological activity or concentration per unit weight or </w:t>
      </w:r>
      <w:r>
        <w:rPr>
          <w:color w:val="FF0000"/>
        </w:rPr>
        <w:t>volume (% active ingredient name in parenthesis)] or [insert TGAI and EP names if a waiver request is made]</w:t>
      </w:r>
    </w:p>
    <w:p>
      <w:pPr>
        <w:pStyle w:val="BodyText"/>
        <w:rPr>
          <w:i/>
          <w:sz w:val="22"/>
        </w:rPr>
      </w:pPr>
    </w:p>
    <w:p>
      <w:pPr>
        <w:spacing w:before="0"/>
        <w:ind w:left="140" w:right="0" w:firstLine="0"/>
        <w:jc w:val="left"/>
        <w:rPr>
          <w:i/>
          <w:sz w:val="22"/>
        </w:rPr>
      </w:pPr>
      <w:r>
        <w:rPr>
          <w:b/>
          <w:sz w:val="22"/>
          <w:u w:val="thick"/>
        </w:rPr>
        <w:t>SYNONYMS</w:t>
      </w:r>
      <w:r>
        <w:rPr>
          <w:b/>
          <w:sz w:val="22"/>
        </w:rPr>
        <w:t>:  </w:t>
      </w:r>
      <w:r>
        <w:rPr>
          <w:i/>
          <w:color w:val="FF0000"/>
          <w:sz w:val="22"/>
        </w:rPr>
        <w:t>[other names, code names and acronyms]</w:t>
      </w:r>
    </w:p>
    <w:p>
      <w:pPr>
        <w:pStyle w:val="BodyText"/>
        <w:spacing w:before="10"/>
        <w:rPr>
          <w:i/>
          <w:sz w:val="13"/>
        </w:rPr>
      </w:pPr>
    </w:p>
    <w:p>
      <w:pPr>
        <w:tabs>
          <w:tab w:pos="1579" w:val="left" w:leader="none"/>
        </w:tabs>
        <w:spacing w:before="91"/>
        <w:ind w:left="1580" w:right="615" w:hanging="1440"/>
        <w:jc w:val="left"/>
        <w:rPr>
          <w:sz w:val="22"/>
        </w:rPr>
      </w:pPr>
      <w:r>
        <w:rPr>
          <w:b/>
          <w:sz w:val="22"/>
          <w:u w:val="thick"/>
        </w:rPr>
        <w:t>CITATION</w:t>
      </w:r>
      <w:r>
        <w:rPr>
          <w:b/>
          <w:sz w:val="22"/>
        </w:rPr>
        <w:t>:</w:t>
        <w:tab/>
      </w:r>
      <w:r>
        <w:rPr>
          <w:sz w:val="22"/>
        </w:rPr>
        <w:t>Author(s). </w:t>
      </w:r>
      <w:r>
        <w:rPr>
          <w:i/>
          <w:color w:val="FF0000"/>
          <w:sz w:val="22"/>
        </w:rPr>
        <w:t>[Year]</w:t>
      </w:r>
      <w:r>
        <w:rPr>
          <w:sz w:val="22"/>
        </w:rPr>
        <w:t>. Study Title. Laboratory name and address. Laboratory report</w:t>
      </w:r>
      <w:r>
        <w:rPr>
          <w:spacing w:val="-36"/>
          <w:sz w:val="22"/>
        </w:rPr>
        <w:t> </w:t>
      </w:r>
      <w:r>
        <w:rPr>
          <w:sz w:val="22"/>
        </w:rPr>
        <w:t>number,</w:t>
      </w:r>
      <w:r>
        <w:rPr>
          <w:spacing w:val="-4"/>
          <w:sz w:val="22"/>
        </w:rPr>
        <w:t> </w:t>
      </w:r>
      <w:r>
        <w:rPr>
          <w:sz w:val="22"/>
        </w:rPr>
        <w:t>full</w:t>
      </w:r>
      <w:r>
        <w:rPr>
          <w:w w:val="99"/>
          <w:sz w:val="22"/>
        </w:rPr>
        <w:t> </w:t>
      </w:r>
      <w:r>
        <w:rPr>
          <w:sz w:val="22"/>
        </w:rPr>
        <w:t>study date. Unpublished </w:t>
      </w:r>
      <w:r>
        <w:rPr>
          <w:i/>
          <w:color w:val="FF0000"/>
          <w:sz w:val="22"/>
        </w:rPr>
        <w:t>[OR if published, list Journal name, vol.: pages]</w:t>
      </w:r>
      <w:r>
        <w:rPr>
          <w:sz w:val="22"/>
        </w:rPr>
        <w:t>. MRID No. </w:t>
      </w:r>
      <w:r>
        <w:rPr>
          <w:i/>
          <w:color w:val="FF0000"/>
          <w:sz w:val="22"/>
        </w:rPr>
        <w:t>[no </w:t>
      </w:r>
      <w:r>
        <w:rPr>
          <w:i/>
          <w:color w:val="FF0000"/>
          <w:sz w:val="22"/>
        </w:rPr>
        <w:t>hyphen], </w:t>
      </w:r>
      <w:r>
        <w:rPr>
          <w:sz w:val="22"/>
        </w:rPr>
        <w:t>PMRA </w:t>
      </w:r>
      <w:r>
        <w:rPr>
          <w:i/>
          <w:color w:val="FF0000"/>
          <w:sz w:val="22"/>
        </w:rPr>
        <w:t>[number if</w:t>
      </w:r>
      <w:r>
        <w:rPr>
          <w:i/>
          <w:color w:val="FF0000"/>
          <w:spacing w:val="-18"/>
          <w:sz w:val="22"/>
        </w:rPr>
        <w:t> </w:t>
      </w:r>
      <w:r>
        <w:rPr>
          <w:i/>
          <w:color w:val="FF0000"/>
          <w:sz w:val="22"/>
        </w:rPr>
        <w:t>applicable]</w:t>
      </w:r>
      <w:r>
        <w:rPr>
          <w:sz w:val="22"/>
        </w:rPr>
        <w:t>.</w:t>
      </w:r>
    </w:p>
    <w:p>
      <w:pPr>
        <w:pStyle w:val="BodyText"/>
        <w:rPr>
          <w:i w:val="0"/>
          <w:sz w:val="22"/>
        </w:rPr>
      </w:pPr>
    </w:p>
    <w:p>
      <w:pPr>
        <w:pStyle w:val="Heading5"/>
        <w:tabs>
          <w:tab w:pos="1580" w:val="left" w:leader="none"/>
        </w:tabs>
        <w:ind w:left="140"/>
        <w:rPr>
          <w:i/>
        </w:rPr>
      </w:pPr>
      <w:r>
        <w:rPr>
          <w:b/>
          <w:i w:val="0"/>
          <w:u w:val="thick"/>
        </w:rPr>
        <w:t>SPONSOR</w:t>
      </w:r>
      <w:r>
        <w:rPr>
          <w:b/>
          <w:i w:val="0"/>
        </w:rPr>
        <w:t>:</w:t>
        <w:tab/>
      </w:r>
      <w:r>
        <w:rPr>
          <w:i/>
          <w:color w:val="FF0000"/>
        </w:rPr>
        <w:t>[Name</w:t>
      </w:r>
      <w:r>
        <w:rPr>
          <w:i/>
          <w:color w:val="FF0000"/>
          <w:spacing w:val="-4"/>
        </w:rPr>
        <w:t> </w:t>
      </w:r>
      <w:r>
        <w:rPr>
          <w:i/>
          <w:color w:val="FF0000"/>
        </w:rPr>
        <w:t>and</w:t>
      </w:r>
      <w:r>
        <w:rPr>
          <w:i/>
          <w:color w:val="FF0000"/>
          <w:spacing w:val="-3"/>
        </w:rPr>
        <w:t> </w:t>
      </w:r>
      <w:r>
        <w:rPr>
          <w:i/>
          <w:color w:val="FF0000"/>
        </w:rPr>
        <w:t>address</w:t>
      </w:r>
      <w:r>
        <w:rPr>
          <w:i/>
          <w:color w:val="FF0000"/>
          <w:spacing w:val="-4"/>
        </w:rPr>
        <w:t> </w:t>
      </w:r>
      <w:r>
        <w:rPr>
          <w:i/>
          <w:color w:val="FF0000"/>
        </w:rPr>
        <w:t>of</w:t>
      </w:r>
      <w:r>
        <w:rPr>
          <w:i/>
          <w:color w:val="FF0000"/>
          <w:spacing w:val="-3"/>
        </w:rPr>
        <w:t> </w:t>
      </w:r>
      <w:r>
        <w:rPr>
          <w:i/>
          <w:color w:val="FF0000"/>
        </w:rPr>
        <w:t>Study</w:t>
      </w:r>
      <w:r>
        <w:rPr>
          <w:i/>
          <w:color w:val="FF0000"/>
          <w:spacing w:val="-4"/>
        </w:rPr>
        <w:t> </w:t>
      </w:r>
      <w:r>
        <w:rPr>
          <w:i/>
          <w:color w:val="FF0000"/>
        </w:rPr>
        <w:t>Sponsor</w:t>
      </w:r>
      <w:r>
        <w:rPr>
          <w:i/>
          <w:color w:val="FF0000"/>
          <w:spacing w:val="-4"/>
        </w:rPr>
        <w:t> </w:t>
      </w:r>
      <w:r>
        <w:rPr>
          <w:i/>
          <w:color w:val="FF0000"/>
        </w:rPr>
        <w:t>-</w:t>
      </w:r>
      <w:r>
        <w:rPr>
          <w:i/>
          <w:color w:val="FF0000"/>
          <w:spacing w:val="-5"/>
        </w:rPr>
        <w:t> </w:t>
      </w:r>
      <w:r>
        <w:rPr>
          <w:i/>
          <w:color w:val="FF0000"/>
        </w:rPr>
        <w:t>indicate</w:t>
      </w:r>
      <w:r>
        <w:rPr>
          <w:i/>
          <w:color w:val="FF0000"/>
          <w:spacing w:val="-4"/>
        </w:rPr>
        <w:t> </w:t>
      </w:r>
      <w:r>
        <w:rPr>
          <w:i/>
          <w:color w:val="FF0000"/>
        </w:rPr>
        <w:t>if</w:t>
      </w:r>
      <w:r>
        <w:rPr>
          <w:i/>
          <w:color w:val="FF0000"/>
          <w:spacing w:val="-3"/>
        </w:rPr>
        <w:t> </w:t>
      </w:r>
      <w:r>
        <w:rPr>
          <w:i/>
          <w:color w:val="FF0000"/>
        </w:rPr>
        <w:t>different</w:t>
      </w:r>
      <w:r>
        <w:rPr>
          <w:i/>
          <w:color w:val="FF0000"/>
          <w:spacing w:val="-3"/>
        </w:rPr>
        <w:t> </w:t>
      </w:r>
      <w:r>
        <w:rPr>
          <w:i/>
          <w:color w:val="FF0000"/>
        </w:rPr>
        <w:t>from</w:t>
      </w:r>
      <w:r>
        <w:rPr>
          <w:i/>
          <w:color w:val="FF0000"/>
          <w:spacing w:val="-4"/>
        </w:rPr>
        <w:t> </w:t>
      </w:r>
      <w:r>
        <w:rPr>
          <w:i/>
          <w:color w:val="FF0000"/>
        </w:rPr>
        <w:t>Applicant]</w:t>
      </w:r>
    </w:p>
    <w:p>
      <w:pPr>
        <w:pStyle w:val="BodyText"/>
        <w:rPr>
          <w:i/>
          <w:sz w:val="14"/>
        </w:rPr>
      </w:pPr>
    </w:p>
    <w:p>
      <w:pPr>
        <w:tabs>
          <w:tab w:pos="2299" w:val="left" w:leader="none"/>
        </w:tabs>
        <w:spacing w:before="91"/>
        <w:ind w:left="2300" w:right="213" w:hanging="2160"/>
        <w:jc w:val="left"/>
        <w:rPr>
          <w:sz w:val="22"/>
        </w:rPr>
      </w:pPr>
      <w:r>
        <w:rPr>
          <w:b/>
          <w:sz w:val="22"/>
          <w:u w:val="thick"/>
        </w:rPr>
        <w:t>COMPLIANCE</w:t>
      </w:r>
      <w:r>
        <w:rPr>
          <w:b/>
          <w:sz w:val="22"/>
        </w:rPr>
        <w:t>:</w:t>
        <w:tab/>
      </w:r>
      <w:r>
        <w:rPr>
          <w:sz w:val="22"/>
        </w:rPr>
        <w:t>Signed and dated GLP, Quality Assurance, and Data Confidentiality</w:t>
      </w:r>
      <w:r>
        <w:rPr>
          <w:spacing w:val="-37"/>
          <w:sz w:val="22"/>
        </w:rPr>
        <w:t> </w:t>
      </w:r>
      <w:r>
        <w:rPr>
          <w:sz w:val="22"/>
        </w:rPr>
        <w:t>statements</w:t>
      </w:r>
      <w:r>
        <w:rPr>
          <w:spacing w:val="-4"/>
          <w:sz w:val="22"/>
        </w:rPr>
        <w:t> </w:t>
      </w:r>
      <w:r>
        <w:rPr>
          <w:sz w:val="22"/>
        </w:rPr>
        <w:t>were</w:t>
      </w:r>
      <w:r>
        <w:rPr>
          <w:w w:val="99"/>
          <w:sz w:val="22"/>
        </w:rPr>
        <w:t> </w:t>
      </w:r>
      <w:r>
        <w:rPr>
          <w:i/>
          <w:color w:val="FF0000"/>
          <w:sz w:val="22"/>
        </w:rPr>
        <w:t>[not]</w:t>
      </w:r>
      <w:r>
        <w:rPr>
          <w:i/>
          <w:color w:val="FF0000"/>
          <w:spacing w:val="-1"/>
          <w:sz w:val="22"/>
        </w:rPr>
        <w:t> </w:t>
      </w:r>
      <w:r>
        <w:rPr>
          <w:sz w:val="22"/>
        </w:rPr>
        <w:t>provided.</w:t>
      </w:r>
      <w:r>
        <w:rPr>
          <w:spacing w:val="-4"/>
          <w:sz w:val="22"/>
        </w:rPr>
        <w:t> </w:t>
      </w:r>
      <w:r>
        <w:rPr>
          <w:sz w:val="22"/>
        </w:rPr>
        <w:t>The</w:t>
      </w:r>
      <w:r>
        <w:rPr>
          <w:spacing w:val="-5"/>
          <w:sz w:val="22"/>
        </w:rPr>
        <w:t> </w:t>
      </w:r>
      <w:r>
        <w:rPr>
          <w:sz w:val="22"/>
        </w:rPr>
        <w:t>study</w:t>
      </w:r>
      <w:r>
        <w:rPr>
          <w:spacing w:val="-5"/>
          <w:sz w:val="22"/>
        </w:rPr>
        <w:t> </w:t>
      </w:r>
      <w:r>
        <w:rPr>
          <w:sz w:val="22"/>
        </w:rPr>
        <w:t>was</w:t>
      </w:r>
      <w:r>
        <w:rPr>
          <w:spacing w:val="-4"/>
          <w:sz w:val="22"/>
        </w:rPr>
        <w:t> </w:t>
      </w:r>
      <w:r>
        <w:rPr>
          <w:i/>
          <w:color w:val="FF0000"/>
          <w:sz w:val="22"/>
        </w:rPr>
        <w:t>[not] </w:t>
      </w:r>
      <w:r>
        <w:rPr>
          <w:sz w:val="22"/>
        </w:rPr>
        <w:t>conducted</w:t>
      </w:r>
      <w:r>
        <w:rPr>
          <w:spacing w:val="-4"/>
          <w:sz w:val="22"/>
        </w:rPr>
        <w:t> </w:t>
      </w:r>
      <w:r>
        <w:rPr>
          <w:sz w:val="22"/>
        </w:rPr>
        <w:t>in</w:t>
      </w:r>
      <w:r>
        <w:rPr>
          <w:spacing w:val="-4"/>
          <w:sz w:val="22"/>
        </w:rPr>
        <w:t> </w:t>
      </w:r>
      <w:r>
        <w:rPr>
          <w:sz w:val="22"/>
        </w:rPr>
        <w:t>compliance</w:t>
      </w:r>
      <w:r>
        <w:rPr>
          <w:spacing w:val="-5"/>
          <w:sz w:val="22"/>
        </w:rPr>
        <w:t> </w:t>
      </w:r>
      <w:r>
        <w:rPr>
          <w:sz w:val="22"/>
        </w:rPr>
        <w:t>with</w:t>
      </w:r>
      <w:r>
        <w:rPr>
          <w:spacing w:val="-4"/>
          <w:sz w:val="22"/>
        </w:rPr>
        <w:t> </w:t>
      </w:r>
      <w:r>
        <w:rPr>
          <w:sz w:val="22"/>
        </w:rPr>
        <w:t>GLP</w:t>
      </w:r>
      <w:r>
        <w:rPr>
          <w:spacing w:val="-4"/>
          <w:sz w:val="22"/>
        </w:rPr>
        <w:t> </w:t>
      </w:r>
      <w:r>
        <w:rPr>
          <w:sz w:val="22"/>
        </w:rPr>
        <w:t>[40</w:t>
      </w:r>
      <w:r>
        <w:rPr>
          <w:spacing w:val="-4"/>
          <w:sz w:val="22"/>
        </w:rPr>
        <w:t> </w:t>
      </w:r>
      <w:r>
        <w:rPr>
          <w:sz w:val="22"/>
        </w:rPr>
        <w:t>CFR</w:t>
      </w:r>
      <w:r>
        <w:rPr>
          <w:spacing w:val="-4"/>
          <w:sz w:val="22"/>
        </w:rPr>
        <w:t> </w:t>
      </w:r>
      <w:r>
        <w:rPr>
          <w:sz w:val="22"/>
        </w:rPr>
        <w:t>§</w:t>
      </w:r>
      <w:r>
        <w:rPr>
          <w:spacing w:val="-4"/>
          <w:sz w:val="22"/>
        </w:rPr>
        <w:t> </w:t>
      </w:r>
      <w:r>
        <w:rPr>
          <w:sz w:val="22"/>
        </w:rPr>
        <w:t>160]. </w:t>
      </w:r>
      <w:r>
        <w:rPr>
          <w:i/>
          <w:color w:val="FF0000"/>
          <w:sz w:val="22"/>
        </w:rPr>
        <w:t>[Discuss deviations from regulatory requirements] </w:t>
      </w:r>
      <w:r>
        <w:rPr>
          <w:sz w:val="22"/>
        </w:rPr>
        <w:t>This DER does </w:t>
      </w:r>
      <w:r>
        <w:rPr>
          <w:i/>
          <w:color w:val="FF0000"/>
          <w:sz w:val="22"/>
        </w:rPr>
        <w:t>[not] </w:t>
      </w:r>
      <w:r>
        <w:rPr>
          <w:sz w:val="22"/>
        </w:rPr>
        <w:t>contain FIFRA CBI.</w:t>
      </w:r>
    </w:p>
    <w:p>
      <w:pPr>
        <w:pStyle w:val="BodyText"/>
        <w:rPr>
          <w:i w:val="0"/>
          <w:sz w:val="22"/>
        </w:rPr>
      </w:pPr>
    </w:p>
    <w:p>
      <w:pPr>
        <w:tabs>
          <w:tab w:pos="3019" w:val="left" w:leader="none"/>
        </w:tabs>
        <w:spacing w:before="0"/>
        <w:ind w:left="140" w:right="0" w:firstLine="0"/>
        <w:jc w:val="left"/>
        <w:rPr>
          <w:i/>
          <w:sz w:val="22"/>
        </w:rPr>
      </w:pPr>
      <w:r>
        <w:rPr>
          <w:b/>
          <w:sz w:val="22"/>
          <w:u w:val="thick"/>
        </w:rPr>
        <w:t>EXECUTIVE</w:t>
      </w:r>
      <w:r>
        <w:rPr>
          <w:b/>
          <w:spacing w:val="-3"/>
          <w:sz w:val="22"/>
          <w:u w:val="thick"/>
        </w:rPr>
        <w:t> </w:t>
      </w:r>
      <w:r>
        <w:rPr>
          <w:b/>
          <w:sz w:val="22"/>
          <w:u w:val="thick"/>
        </w:rPr>
        <w:t>SUMMARY</w:t>
      </w:r>
      <w:r>
        <w:rPr>
          <w:b/>
          <w:sz w:val="22"/>
        </w:rPr>
        <w:t>:</w:t>
        <w:tab/>
      </w:r>
      <w:r>
        <w:rPr>
          <w:i/>
          <w:color w:val="FF0000"/>
          <w:sz w:val="22"/>
        </w:rPr>
        <w:t>[Describe the study and its</w:t>
      </w:r>
      <w:r>
        <w:rPr>
          <w:i/>
          <w:color w:val="FF0000"/>
          <w:spacing w:val="-20"/>
          <w:sz w:val="22"/>
        </w:rPr>
        <w:t> </w:t>
      </w:r>
      <w:r>
        <w:rPr>
          <w:i/>
          <w:color w:val="FF0000"/>
          <w:sz w:val="22"/>
        </w:rPr>
        <w:t>findings.]</w:t>
      </w:r>
    </w:p>
    <w:p>
      <w:pPr>
        <w:pStyle w:val="BodyText"/>
        <w:rPr>
          <w:i/>
          <w:sz w:val="14"/>
        </w:rPr>
      </w:pPr>
    </w:p>
    <w:p>
      <w:pPr>
        <w:spacing w:before="90"/>
        <w:ind w:left="139" w:right="0" w:firstLine="0"/>
        <w:jc w:val="left"/>
        <w:rPr>
          <w:i/>
          <w:sz w:val="22"/>
        </w:rPr>
      </w:pPr>
      <w:r>
        <w:rPr>
          <w:sz w:val="22"/>
        </w:rPr>
        <w:t>In a </w:t>
      </w:r>
      <w:r>
        <w:rPr>
          <w:i/>
          <w:color w:val="FF0000"/>
          <w:sz w:val="22"/>
        </w:rPr>
        <w:t>[#]</w:t>
      </w:r>
      <w:r>
        <w:rPr>
          <w:sz w:val="22"/>
        </w:rPr>
        <w:t>-day </w:t>
      </w:r>
      <w:r>
        <w:rPr>
          <w:i/>
          <w:color w:val="FF0000"/>
          <w:sz w:val="22"/>
        </w:rPr>
        <w:t>[contact, acute oral or dietary] </w:t>
      </w:r>
      <w:r>
        <w:rPr>
          <w:sz w:val="22"/>
        </w:rPr>
        <w:t>toxicity and pathogenicity study, </w:t>
      </w:r>
      <w:r>
        <w:rPr>
          <w:i/>
          <w:color w:val="FF0000"/>
          <w:sz w:val="22"/>
        </w:rPr>
        <w:t>[common name (scientific name)] </w:t>
      </w:r>
      <w:r>
        <w:rPr>
          <w:sz w:val="22"/>
        </w:rPr>
        <w:t>were exposed to a </w:t>
      </w:r>
      <w:r>
        <w:rPr>
          <w:i/>
          <w:color w:val="FF0000"/>
          <w:sz w:val="22"/>
        </w:rPr>
        <w:t>[single OR #] [indicate exposure method] </w:t>
      </w:r>
      <w:r>
        <w:rPr>
          <w:sz w:val="22"/>
        </w:rPr>
        <w:t>dose of </w:t>
      </w:r>
      <w:r>
        <w:rPr>
          <w:i/>
          <w:color w:val="FF0000"/>
          <w:sz w:val="22"/>
        </w:rPr>
        <w:t>[dose amount] </w:t>
      </w:r>
      <w:r>
        <w:rPr>
          <w:sz w:val="22"/>
        </w:rPr>
        <w:t>of </w:t>
      </w:r>
      <w:r>
        <w:rPr>
          <w:i/>
          <w:color w:val="FF0000"/>
          <w:sz w:val="22"/>
        </w:rPr>
        <w:t>[formulation, note its </w:t>
      </w:r>
      <w:r>
        <w:rPr>
          <w:i/>
          <w:color w:val="FF0000"/>
          <w:sz w:val="22"/>
        </w:rPr>
        <w:t>potency, biological activity and/or concentration per unit weight or volume] </w:t>
      </w:r>
      <w:r>
        <w:rPr>
          <w:sz w:val="22"/>
        </w:rPr>
        <w:t>(containing % </w:t>
      </w:r>
      <w:r>
        <w:rPr>
          <w:i/>
          <w:color w:val="FF0000"/>
          <w:sz w:val="22"/>
        </w:rPr>
        <w:t>a.i. name</w:t>
      </w:r>
      <w:r>
        <w:rPr>
          <w:sz w:val="22"/>
        </w:rPr>
        <w:t>). </w:t>
      </w:r>
      <w:r>
        <w:rPr>
          <w:i/>
          <w:color w:val="FF0000"/>
          <w:sz w:val="22"/>
        </w:rPr>
        <w:t>[Include </w:t>
      </w:r>
      <w:r>
        <w:rPr>
          <w:i/>
          <w:color w:val="FF0000"/>
          <w:sz w:val="22"/>
        </w:rPr>
        <w:t>other pertinent details such as the controls used.]</w:t>
      </w:r>
    </w:p>
    <w:p>
      <w:pPr>
        <w:spacing w:after="0"/>
        <w:jc w:val="left"/>
        <w:rPr>
          <w:sz w:val="22"/>
        </w:rPr>
        <w:sectPr>
          <w:headerReference w:type="default" r:id="rId5"/>
          <w:footerReference w:type="default" r:id="rId6"/>
          <w:type w:val="continuous"/>
          <w:pgSz w:w="12240" w:h="15840"/>
          <w:pgMar w:header="729" w:footer="792" w:top="1860" w:bottom="9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pStyle w:val="BodyText"/>
        <w:spacing w:before="2"/>
        <w:rPr>
          <w:i/>
          <w:sz w:val="27"/>
        </w:rPr>
      </w:pPr>
    </w:p>
    <w:p>
      <w:pPr>
        <w:pStyle w:val="Heading5"/>
        <w:spacing w:before="90"/>
        <w:ind w:left="139" w:right="295"/>
      </w:pPr>
      <w:r>
        <w:rPr>
          <w:i/>
          <w:color w:val="FF0000"/>
        </w:rPr>
        <w:t>[Describe findings briefly including mortality, behavioral abnormalities, and other signs of toxicity. If there was </w:t>
      </w:r>
      <w:r>
        <w:rPr>
          <w:color w:val="FF0000"/>
        </w:rPr>
        <w:t>no toxicity, state that there was no test material-related toxic or pathogenic effect.]</w:t>
      </w:r>
    </w:p>
    <w:p>
      <w:pPr>
        <w:pStyle w:val="BodyText"/>
        <w:spacing w:before="1"/>
        <w:rPr>
          <w:i/>
          <w:sz w:val="22"/>
        </w:rPr>
      </w:pPr>
    </w:p>
    <w:p>
      <w:pPr>
        <w:spacing w:line="237" w:lineRule="auto" w:before="0"/>
        <w:ind w:left="139" w:right="124" w:firstLine="0"/>
        <w:jc w:val="left"/>
        <w:rPr>
          <w:sz w:val="22"/>
        </w:rPr>
      </w:pPr>
      <w:r>
        <w:rPr>
          <w:sz w:val="22"/>
        </w:rPr>
        <w:t>The </w:t>
      </w:r>
      <w:r>
        <w:rPr>
          <w:i/>
          <w:color w:val="FF0000"/>
          <w:sz w:val="22"/>
        </w:rPr>
        <w:t>[#]</w:t>
      </w:r>
      <w:r>
        <w:rPr>
          <w:sz w:val="22"/>
        </w:rPr>
        <w:t>-day LC</w:t>
      </w:r>
      <w:r>
        <w:rPr>
          <w:position w:val="-1"/>
          <w:sz w:val="14"/>
        </w:rPr>
        <w:t>50 </w:t>
      </w:r>
      <w:r>
        <w:rPr>
          <w:i/>
          <w:color w:val="FF0000"/>
          <w:sz w:val="22"/>
        </w:rPr>
        <w:t>[or LD</w:t>
      </w:r>
      <w:r>
        <w:rPr>
          <w:i/>
          <w:color w:val="FF0000"/>
          <w:position w:val="-1"/>
          <w:sz w:val="14"/>
        </w:rPr>
        <w:t>50</w:t>
      </w:r>
      <w:r>
        <w:rPr>
          <w:i/>
          <w:color w:val="FF0000"/>
          <w:sz w:val="22"/>
        </w:rPr>
        <w:t>] </w:t>
      </w:r>
      <w:r>
        <w:rPr>
          <w:sz w:val="22"/>
        </w:rPr>
        <w:t>was </w:t>
      </w:r>
      <w:r>
        <w:rPr>
          <w:i/>
          <w:color w:val="FF0000"/>
          <w:sz w:val="22"/>
        </w:rPr>
        <w:t>[</w:t>
      </w:r>
      <w:r>
        <w:rPr>
          <w:b/>
          <w:i/>
          <w:color w:val="FF0000"/>
          <w:sz w:val="22"/>
        </w:rPr>
        <w:t>=, &gt; or &lt;</w:t>
      </w:r>
      <w:r>
        <w:rPr>
          <w:i/>
          <w:color w:val="FF0000"/>
          <w:sz w:val="22"/>
        </w:rPr>
        <w:t>] [insert LC</w:t>
      </w:r>
      <w:r>
        <w:rPr>
          <w:i/>
          <w:color w:val="FF0000"/>
          <w:position w:val="-1"/>
          <w:sz w:val="14"/>
        </w:rPr>
        <w:t>50 </w:t>
      </w:r>
      <w:r>
        <w:rPr>
          <w:i/>
          <w:color w:val="FF0000"/>
          <w:sz w:val="22"/>
        </w:rPr>
        <w:t>or LD</w:t>
      </w:r>
      <w:r>
        <w:rPr>
          <w:i/>
          <w:color w:val="FF0000"/>
          <w:position w:val="-1"/>
          <w:sz w:val="14"/>
        </w:rPr>
        <w:t>50 </w:t>
      </w:r>
      <w:r>
        <w:rPr>
          <w:i/>
          <w:color w:val="FF0000"/>
          <w:sz w:val="22"/>
        </w:rPr>
        <w:t>in appropriate units]. [If the study included </w:t>
      </w:r>
      <w:r>
        <w:rPr>
          <w:i/>
          <w:color w:val="FF0000"/>
          <w:sz w:val="22"/>
        </w:rPr>
        <w:t>sublethal test endpoints and/or sublethal effects were observed and/or additional subchronic testing was triggered include the following text: </w:t>
      </w:r>
      <w:r>
        <w:rPr>
          <w:sz w:val="22"/>
        </w:rPr>
        <w:t>The EC</w:t>
      </w:r>
      <w:r>
        <w:rPr>
          <w:position w:val="-1"/>
          <w:sz w:val="14"/>
        </w:rPr>
        <w:t>50 </w:t>
      </w:r>
      <w:r>
        <w:rPr>
          <w:i/>
          <w:color w:val="FF0000"/>
          <w:sz w:val="22"/>
        </w:rPr>
        <w:t>[or ED</w:t>
      </w:r>
      <w:r>
        <w:rPr>
          <w:i/>
          <w:color w:val="FF0000"/>
          <w:position w:val="-1"/>
          <w:sz w:val="14"/>
        </w:rPr>
        <w:t>50</w:t>
      </w:r>
      <w:r>
        <w:rPr>
          <w:i/>
          <w:color w:val="FF0000"/>
          <w:sz w:val="22"/>
        </w:rPr>
        <w:t>] </w:t>
      </w:r>
      <w:r>
        <w:rPr>
          <w:sz w:val="22"/>
        </w:rPr>
        <w:t>based on sublethal effects was </w:t>
      </w:r>
      <w:r>
        <w:rPr>
          <w:i/>
          <w:color w:val="FF0000"/>
          <w:sz w:val="22"/>
        </w:rPr>
        <w:t>[</w:t>
      </w:r>
      <w:r>
        <w:rPr>
          <w:b/>
          <w:i/>
          <w:color w:val="FF0000"/>
          <w:sz w:val="22"/>
        </w:rPr>
        <w:t>=, &gt; or &lt;</w:t>
      </w:r>
      <w:r>
        <w:rPr>
          <w:i/>
          <w:color w:val="FF0000"/>
          <w:sz w:val="22"/>
        </w:rPr>
        <w:t>] [insert EC</w:t>
      </w:r>
      <w:r>
        <w:rPr>
          <w:i/>
          <w:color w:val="FF0000"/>
          <w:position w:val="-1"/>
          <w:sz w:val="14"/>
        </w:rPr>
        <w:t>50</w:t>
      </w:r>
      <w:r>
        <w:rPr>
          <w:i/>
          <w:color w:val="FF0000"/>
          <w:sz w:val="22"/>
        </w:rPr>
        <w:t>/ED</w:t>
      </w:r>
      <w:r>
        <w:rPr>
          <w:i/>
          <w:color w:val="FF0000"/>
          <w:position w:val="-1"/>
          <w:sz w:val="14"/>
        </w:rPr>
        <w:t>50 </w:t>
      </w:r>
      <w:r>
        <w:rPr>
          <w:i/>
          <w:color w:val="FF0000"/>
          <w:sz w:val="22"/>
        </w:rPr>
        <w:t>in </w:t>
      </w:r>
      <w:r>
        <w:rPr>
          <w:i/>
          <w:color w:val="FF0000"/>
          <w:sz w:val="22"/>
        </w:rPr>
        <w:t>appropriate units]</w:t>
      </w:r>
      <w:r>
        <w:rPr>
          <w:sz w:val="22"/>
        </w:rPr>
        <w:t>. The NOEC </w:t>
      </w:r>
      <w:r>
        <w:rPr>
          <w:i/>
          <w:color w:val="FF0000"/>
          <w:sz w:val="22"/>
        </w:rPr>
        <w:t>[or NOEL] </w:t>
      </w:r>
      <w:r>
        <w:rPr>
          <w:sz w:val="22"/>
        </w:rPr>
        <w:t>value, based on mortality </w:t>
      </w:r>
      <w:r>
        <w:rPr>
          <w:i/>
          <w:color w:val="FF0000"/>
          <w:sz w:val="22"/>
        </w:rPr>
        <w:t>[and sublethal effects (if applicable)]</w:t>
      </w:r>
      <w:r>
        <w:rPr>
          <w:sz w:val="22"/>
        </w:rPr>
        <w:t>, was </w:t>
      </w:r>
      <w:r>
        <w:rPr>
          <w:i/>
          <w:color w:val="FF0000"/>
          <w:sz w:val="22"/>
        </w:rPr>
        <w:t>[</w:t>
      </w:r>
      <w:r>
        <w:rPr>
          <w:b/>
          <w:i/>
          <w:color w:val="FF0000"/>
          <w:sz w:val="22"/>
        </w:rPr>
        <w:t>=, &gt; or &lt;</w:t>
      </w:r>
      <w:r>
        <w:rPr>
          <w:i/>
          <w:color w:val="FF0000"/>
          <w:sz w:val="22"/>
        </w:rPr>
        <w:t>] [insert NOEC/NOEL in appropriate units]</w:t>
      </w:r>
      <w:r>
        <w:rPr>
          <w:sz w:val="22"/>
        </w:rPr>
        <w:t>.</w:t>
      </w:r>
    </w:p>
    <w:p>
      <w:pPr>
        <w:pStyle w:val="BodyText"/>
        <w:spacing w:before="11"/>
        <w:rPr>
          <w:i w:val="0"/>
          <w:sz w:val="21"/>
        </w:rPr>
      </w:pPr>
    </w:p>
    <w:p>
      <w:pPr>
        <w:spacing w:before="0"/>
        <w:ind w:left="139" w:right="213" w:firstLine="0"/>
        <w:jc w:val="left"/>
        <w:rPr>
          <w:i/>
          <w:sz w:val="22"/>
        </w:rPr>
      </w:pPr>
      <w:r>
        <w:rPr>
          <w:sz w:val="22"/>
        </w:rPr>
        <w:t>This study is classified as </w:t>
      </w:r>
      <w:r>
        <w:rPr>
          <w:i/>
          <w:color w:val="FF0000"/>
          <w:sz w:val="22"/>
        </w:rPr>
        <w:t>[acceptable, unacceptable, supplemental]. </w:t>
      </w:r>
      <w:r>
        <w:rPr>
          <w:sz w:val="22"/>
        </w:rPr>
        <w:t>This study was </w:t>
      </w:r>
      <w:r>
        <w:rPr>
          <w:i/>
          <w:color w:val="FF0000"/>
          <w:sz w:val="22"/>
        </w:rPr>
        <w:t>[not] </w:t>
      </w:r>
      <w:r>
        <w:rPr>
          <w:sz w:val="22"/>
        </w:rPr>
        <w:t>conducted in accordance with the guideline recommendations for a </w:t>
      </w:r>
      <w:r>
        <w:rPr>
          <w:i/>
          <w:color w:val="FF0000"/>
          <w:sz w:val="22"/>
        </w:rPr>
        <w:t>[contact, oral or dietary] </w:t>
      </w:r>
      <w:r>
        <w:rPr>
          <w:sz w:val="22"/>
        </w:rPr>
        <w:t>toxicity and pathogenicity study for nontarget insects (OCSPP 885.4340; PMRA: M9.5.1 and OECD: IIM 8.8, IIIM 10.4) in the </w:t>
      </w:r>
      <w:r>
        <w:rPr>
          <w:i/>
          <w:color w:val="FF0000"/>
          <w:sz w:val="22"/>
        </w:rPr>
        <w:t>[species]</w:t>
      </w:r>
      <w:r>
        <w:rPr>
          <w:color w:val="FF0000"/>
          <w:sz w:val="22"/>
        </w:rPr>
        <w:t>. </w:t>
      </w:r>
      <w:r>
        <w:rPr>
          <w:i/>
          <w:color w:val="FF0000"/>
          <w:sz w:val="22"/>
        </w:rPr>
        <w:t>[If it </w:t>
      </w:r>
      <w:r>
        <w:rPr>
          <w:i/>
          <w:color w:val="FF0000"/>
          <w:sz w:val="22"/>
        </w:rPr>
        <w:t>does not satisfy the requirement, concisely list only major deficiencies or refer to deficiency section.]</w:t>
      </w:r>
    </w:p>
    <w:p>
      <w:pPr>
        <w:pStyle w:val="BodyText"/>
        <w:spacing w:before="10"/>
        <w:rPr>
          <w:i/>
          <w:sz w:val="21"/>
        </w:rPr>
      </w:pPr>
    </w:p>
    <w:p>
      <w:pPr>
        <w:pStyle w:val="Heading2"/>
        <w:ind w:left="140"/>
      </w:pPr>
      <w:r>
        <w:rPr>
          <w:u w:val="thick"/>
        </w:rPr>
        <w:t>CLASSIFICATION</w:t>
      </w:r>
      <w:r>
        <w:rPr/>
        <w:t>:   </w:t>
      </w:r>
      <w:r>
        <w:rPr>
          <w:color w:val="FF0000"/>
        </w:rPr>
        <w:t>[ACCEPTABLE / UNACCEPTABLE / SUPPLEMENTAL, but UPGRADEABLE]</w:t>
      </w:r>
    </w:p>
    <w:p>
      <w:pPr>
        <w:pStyle w:val="BodyText"/>
        <w:spacing w:before="5"/>
        <w:rPr>
          <w:b/>
          <w:i w:val="0"/>
          <w:sz w:val="22"/>
        </w:rPr>
      </w:pPr>
    </w:p>
    <w:p>
      <w:pPr>
        <w:spacing w:before="87"/>
        <w:ind w:left="140" w:right="161" w:firstLine="0"/>
        <w:jc w:val="left"/>
        <w:rPr>
          <w:b/>
          <w:i/>
          <w:sz w:val="32"/>
        </w:rPr>
      </w:pPr>
      <w:r>
        <w:rPr>
          <w:b/>
          <w:i/>
          <w:color w:val="FF0000"/>
          <w:sz w:val="32"/>
        </w:rPr>
        <w:t>(Use the following template if a study report (i.e. toxicity test) was submitted. </w:t>
      </w:r>
      <w:r>
        <w:rPr>
          <w:b/>
          <w:i/>
          <w:color w:val="FF0000"/>
          <w:sz w:val="32"/>
        </w:rPr>
        <w:t>If a request for the use of alternative data is submitted in lieu of a new study, delete study template section and proceed to last section of DER template for alternative data</w:t>
      </w:r>
      <w:r>
        <w:rPr>
          <w:b/>
          <w:i/>
          <w:color w:val="FF0000"/>
          <w:spacing w:val="-19"/>
          <w:sz w:val="32"/>
        </w:rPr>
        <w:t> </w:t>
      </w:r>
      <w:r>
        <w:rPr>
          <w:b/>
          <w:i/>
          <w:color w:val="FF0000"/>
          <w:sz w:val="32"/>
        </w:rPr>
        <w:t>requests)</w:t>
      </w:r>
    </w:p>
    <w:p>
      <w:pPr>
        <w:pStyle w:val="BodyText"/>
        <w:spacing w:before="11"/>
        <w:rPr>
          <w:b/>
          <w:i/>
          <w:sz w:val="29"/>
        </w:rPr>
      </w:pPr>
    </w:p>
    <w:p>
      <w:pPr>
        <w:pStyle w:val="Heading1"/>
        <w:spacing w:before="0"/>
        <w:ind w:left="139" w:right="213"/>
        <w:rPr>
          <w:u w:val="none"/>
        </w:rPr>
      </w:pPr>
      <w:r>
        <w:rPr>
          <w:i/>
          <w:color w:val="0070C0"/>
          <w:u w:val="none"/>
        </w:rPr>
        <w:t>(</w:t>
      </w:r>
      <w:r>
        <w:rPr>
          <w:i/>
          <w:color w:val="0070C0"/>
          <w:u w:val="thick" w:color="0070C0"/>
        </w:rPr>
        <w:t>NOTE</w:t>
      </w:r>
      <w:r>
        <w:rPr>
          <w:i/>
          <w:color w:val="0070C0"/>
          <w:u w:val="none"/>
        </w:rPr>
        <w:t>: Guidance on populating the DER are reflected as </w:t>
      </w:r>
      <w:r>
        <w:rPr>
          <w:i/>
          <w:color w:val="FF0000"/>
          <w:u w:val="thick" w:color="FF0000"/>
        </w:rPr>
        <w:t>[red italics]</w:t>
      </w:r>
      <w:r>
        <w:rPr>
          <w:i/>
          <w:color w:val="0070C0"/>
          <w:u w:val="none"/>
        </w:rPr>
        <w:t>- please </w:t>
      </w:r>
      <w:r>
        <w:rPr>
          <w:color w:val="0070C0"/>
          <w:u w:val="none"/>
        </w:rPr>
        <w:t>replace this text with requested data. Excerpts of study recommendations/criteria are reflected as </w:t>
      </w:r>
      <w:r>
        <w:rPr>
          <w:color w:val="4F81BD"/>
          <w:u w:val="thick" w:color="4F81BD"/>
        </w:rPr>
        <w:t>blue italicized </w:t>
      </w:r>
      <w:r>
        <w:rPr>
          <w:color w:val="0070C0"/>
          <w:u w:val="none"/>
        </w:rPr>
        <w:t>text from the respective OSCPP Guideline and should be deleted upon completion of the DER template. For best preparation of data submission- refer to respective OSCPP Guideline and use both the DER template and guideline criteria. However, the overall structure of the templates should not be altered and data evaluation elements reflected in </w:t>
      </w:r>
      <w:r>
        <w:rPr>
          <w:i w:val="0"/>
          <w:u w:val="thick"/>
        </w:rPr>
        <w:t>black </w:t>
      </w:r>
      <w:r>
        <w:rPr>
          <w:i/>
          <w:color w:val="0070C0"/>
          <w:u w:val="none"/>
        </w:rPr>
        <w:t>text should </w:t>
      </w:r>
      <w:r>
        <w:rPr>
          <w:color w:val="0070C0"/>
          <w:u w:val="none"/>
        </w:rPr>
        <w:t>not be deleted (i.e. headings, test parameters, tables, results section). Also- note for data elements of the template that are not applicable- insert “not applicable.” For unavailable information- insert “not available” with a brief explanation for the omission of data.)</w:t>
      </w:r>
    </w:p>
    <w:p>
      <w:pPr>
        <w:pStyle w:val="Heading2"/>
        <w:numPr>
          <w:ilvl w:val="0"/>
          <w:numId w:val="1"/>
        </w:numPr>
        <w:tabs>
          <w:tab w:pos="859" w:val="left" w:leader="none"/>
          <w:tab w:pos="860" w:val="left" w:leader="none"/>
        </w:tabs>
        <w:spacing w:line="240" w:lineRule="auto" w:before="251" w:after="0"/>
        <w:ind w:left="860" w:right="0" w:hanging="720"/>
        <w:jc w:val="left"/>
      </w:pPr>
      <w:r>
        <w:rPr/>
        <w:t>MATERIALS AND</w:t>
      </w:r>
      <w:r>
        <w:rPr>
          <w:spacing w:val="-14"/>
        </w:rPr>
        <w:t> </w:t>
      </w:r>
      <w:r>
        <w:rPr/>
        <w:t>METHODS:</w:t>
      </w:r>
    </w:p>
    <w:p>
      <w:pPr>
        <w:pStyle w:val="BodyText"/>
        <w:spacing w:before="10"/>
        <w:rPr>
          <w:b/>
          <w:i w:val="0"/>
          <w:sz w:val="21"/>
        </w:rPr>
      </w:pPr>
    </w:p>
    <w:p>
      <w:pPr>
        <w:pStyle w:val="ListParagraph"/>
        <w:numPr>
          <w:ilvl w:val="0"/>
          <w:numId w:val="2"/>
        </w:numPr>
        <w:tabs>
          <w:tab w:pos="859" w:val="left" w:leader="none"/>
          <w:tab w:pos="861" w:val="left" w:leader="none"/>
        </w:tabs>
        <w:spacing w:line="245" w:lineRule="exact" w:before="0" w:after="0"/>
        <w:ind w:left="860" w:right="0" w:hanging="720"/>
        <w:jc w:val="left"/>
        <w:rPr>
          <w:i/>
          <w:sz w:val="22"/>
          <w:u w:val="none"/>
        </w:rPr>
      </w:pPr>
      <w:r>
        <w:rPr>
          <w:b/>
          <w:sz w:val="22"/>
          <w:u w:val="thick"/>
        </w:rPr>
        <w:t>GUIDELINE FOLLOWED</w:t>
      </w:r>
      <w:r>
        <w:rPr>
          <w:b/>
          <w:sz w:val="22"/>
          <w:u w:val="none"/>
        </w:rPr>
        <w:t>:   </w:t>
      </w:r>
      <w:r>
        <w:rPr>
          <w:i/>
          <w:color w:val="FF0000"/>
          <w:sz w:val="22"/>
          <w:u w:val="none"/>
        </w:rPr>
        <w:t>[Indicate which guideline was followed most closely in testing. Such</w:t>
      </w:r>
      <w:r>
        <w:rPr>
          <w:i/>
          <w:color w:val="FF0000"/>
          <w:spacing w:val="-11"/>
          <w:sz w:val="22"/>
          <w:u w:val="none"/>
        </w:rPr>
        <w:t> </w:t>
      </w:r>
      <w:r>
        <w:rPr>
          <w:i/>
          <w:color w:val="FF0000"/>
          <w:sz w:val="22"/>
          <w:u w:val="none"/>
        </w:rPr>
        <w:t>as:</w:t>
      </w:r>
    </w:p>
    <w:p>
      <w:pPr>
        <w:pStyle w:val="Heading5"/>
        <w:spacing w:line="254" w:lineRule="exact" w:before="9"/>
        <w:ind w:left="3740" w:right="1201"/>
        <w:rPr>
          <w:sz w:val="14"/>
        </w:rPr>
      </w:pPr>
      <w:r>
        <w:rPr>
          <w:i/>
          <w:color w:val="FF0000"/>
        </w:rPr>
        <w:t>U.S. EPA OCSPP 885.4340–Nontarget insect testing, Tier I.</w:t>
      </w:r>
      <w:r>
        <w:rPr>
          <w:i/>
          <w:color w:val="FF0000"/>
          <w:position w:val="9"/>
          <w:sz w:val="14"/>
        </w:rPr>
        <w:t>1 </w:t>
      </w:r>
      <w:r>
        <w:rPr>
          <w:color w:val="FF0000"/>
        </w:rPr>
        <w:t>PMRA DIR 2001-02 Part 9.5.1</w:t>
      </w:r>
      <w:r>
        <w:rPr>
          <w:color w:val="FF0000"/>
          <w:position w:val="9"/>
          <w:sz w:val="14"/>
        </w:rPr>
        <w:t>1</w:t>
      </w:r>
    </w:p>
    <w:p>
      <w:pPr>
        <w:spacing w:line="254" w:lineRule="exact" w:before="0"/>
        <w:ind w:left="3740" w:right="1622" w:firstLine="0"/>
        <w:jc w:val="left"/>
        <w:rPr>
          <w:i/>
          <w:sz w:val="14"/>
        </w:rPr>
      </w:pPr>
      <w:r>
        <w:rPr>
          <w:i/>
          <w:color w:val="FF0000"/>
          <w:sz w:val="22"/>
        </w:rPr>
        <w:t>Environment Canada EPS 1/RM/44 Section 13.2.3</w:t>
      </w:r>
      <w:r>
        <w:rPr>
          <w:i/>
          <w:color w:val="FF0000"/>
          <w:position w:val="9"/>
          <w:sz w:val="14"/>
        </w:rPr>
        <w:t>1</w:t>
      </w:r>
      <w:r>
        <w:rPr>
          <w:i/>
          <w:color w:val="FF0000"/>
          <w:sz w:val="22"/>
        </w:rPr>
        <w:t>] </w:t>
      </w:r>
      <w:r>
        <w:rPr>
          <w:i/>
          <w:color w:val="FF0000"/>
          <w:sz w:val="22"/>
        </w:rPr>
        <w:t>[</w:t>
      </w:r>
      <w:r>
        <w:rPr>
          <w:b/>
          <w:i/>
          <w:color w:val="FF0000"/>
          <w:sz w:val="22"/>
        </w:rPr>
        <w:t>OR </w:t>
      </w:r>
      <w:r>
        <w:rPr>
          <w:i/>
          <w:color w:val="FF0000"/>
          <w:sz w:val="22"/>
        </w:rPr>
        <w:t>for Terrestrial non-arthropod invertebrate testing</w:t>
      </w:r>
      <w:r>
        <w:rPr>
          <w:i/>
          <w:color w:val="FF0000"/>
          <w:position w:val="9"/>
          <w:sz w:val="14"/>
        </w:rPr>
        <w:t>3</w:t>
      </w:r>
      <w:r>
        <w:rPr>
          <w:i/>
          <w:color w:val="FF0000"/>
          <w:sz w:val="22"/>
        </w:rPr>
        <w:t>- </w:t>
      </w:r>
      <w:r>
        <w:rPr>
          <w:i/>
          <w:color w:val="FF0000"/>
          <w:sz w:val="22"/>
        </w:rPr>
        <w:t>PMRA DIR 2001-02 Part 9.6</w:t>
      </w:r>
      <w:r>
        <w:rPr>
          <w:i/>
          <w:color w:val="FF0000"/>
          <w:position w:val="9"/>
          <w:sz w:val="14"/>
        </w:rPr>
        <w:t>1</w:t>
      </w:r>
    </w:p>
    <w:p>
      <w:pPr>
        <w:spacing w:line="249" w:lineRule="exact" w:before="1"/>
        <w:ind w:left="3740" w:right="0" w:firstLine="0"/>
        <w:jc w:val="left"/>
        <w:rPr>
          <w:i/>
          <w:sz w:val="14"/>
        </w:rPr>
      </w:pPr>
      <w:r>
        <w:rPr>
          <w:i/>
          <w:color w:val="FF0000"/>
          <w:sz w:val="22"/>
        </w:rPr>
        <w:t>Environment Canada EPS 1/RM/44 Section 13.2.2</w:t>
      </w:r>
      <w:r>
        <w:rPr>
          <w:i/>
          <w:color w:val="FF0000"/>
          <w:position w:val="9"/>
          <w:sz w:val="14"/>
        </w:rPr>
        <w:t>1</w:t>
      </w:r>
    </w:p>
    <w:p>
      <w:pPr>
        <w:spacing w:after="0" w:line="249" w:lineRule="exact"/>
        <w:jc w:val="left"/>
        <w:rPr>
          <w:sz w:val="14"/>
        </w:rPr>
        <w:sectPr>
          <w:footerReference w:type="default" r:id="rId7"/>
          <w:pgSz w:w="12240" w:h="15840"/>
          <w:pgMar w:footer="796" w:header="729" w:top="1860" w:bottom="980" w:left="940" w:right="940"/>
          <w:pgNumType w:start="2"/>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spacing w:before="134"/>
        <w:ind w:left="3740" w:right="0" w:firstLine="0"/>
        <w:jc w:val="left"/>
        <w:rPr>
          <w:i/>
          <w:sz w:val="22"/>
        </w:rPr>
      </w:pPr>
      <w:r>
        <w:rPr>
          <w:i/>
          <w:color w:val="FF0000"/>
          <w:sz w:val="22"/>
        </w:rPr>
        <w:t>OECD 207–Earthworm acute toxicity tests</w:t>
      </w:r>
      <w:r>
        <w:rPr>
          <w:i/>
          <w:color w:val="FF0000"/>
          <w:position w:val="9"/>
          <w:sz w:val="14"/>
        </w:rPr>
        <w:t>2</w:t>
      </w:r>
      <w:r>
        <w:rPr>
          <w:i/>
          <w:color w:val="FF0000"/>
          <w:sz w:val="22"/>
        </w:rPr>
        <w:t>]</w:t>
      </w:r>
    </w:p>
    <w:p>
      <w:pPr>
        <w:pStyle w:val="BodyText"/>
        <w:spacing w:before="4"/>
        <w:rPr>
          <w:i/>
          <w:sz w:val="21"/>
        </w:rPr>
      </w:pPr>
    </w:p>
    <w:p>
      <w:pPr>
        <w:spacing w:line="209" w:lineRule="exact" w:before="0"/>
        <w:ind w:left="860" w:right="0" w:firstLine="0"/>
        <w:jc w:val="left"/>
        <w:rPr>
          <w:i/>
          <w:sz w:val="18"/>
        </w:rPr>
      </w:pPr>
      <w:r>
        <w:rPr>
          <w:i/>
          <w:color w:val="FF0000"/>
          <w:position w:val="6"/>
          <w:sz w:val="12"/>
        </w:rPr>
        <w:t>1 </w:t>
      </w:r>
      <w:r>
        <w:rPr>
          <w:i/>
          <w:color w:val="FF0000"/>
          <w:sz w:val="18"/>
        </w:rPr>
        <w:t>Guideline designed to test toxicity and pathogenicity of microbial agents.</w:t>
      </w:r>
    </w:p>
    <w:p>
      <w:pPr>
        <w:spacing w:line="207" w:lineRule="exact" w:before="0"/>
        <w:ind w:left="860" w:right="0" w:firstLine="0"/>
        <w:jc w:val="left"/>
        <w:rPr>
          <w:i/>
          <w:sz w:val="18"/>
        </w:rPr>
      </w:pPr>
      <w:r>
        <w:rPr>
          <w:i/>
          <w:color w:val="FF0000"/>
          <w:position w:val="6"/>
          <w:sz w:val="12"/>
        </w:rPr>
        <w:t>2 </w:t>
      </w:r>
      <w:r>
        <w:rPr>
          <w:i/>
          <w:color w:val="FF0000"/>
          <w:sz w:val="18"/>
        </w:rPr>
        <w:t>Guideline designed to test acute toxicity of chemical agents.</w:t>
      </w:r>
    </w:p>
    <w:p>
      <w:pPr>
        <w:spacing w:before="0"/>
        <w:ind w:left="859" w:right="252" w:firstLine="0"/>
        <w:jc w:val="left"/>
        <w:rPr>
          <w:i/>
          <w:sz w:val="18"/>
        </w:rPr>
      </w:pPr>
      <w:r>
        <w:rPr>
          <w:i/>
          <w:color w:val="FF0000"/>
          <w:position w:val="6"/>
          <w:sz w:val="12"/>
        </w:rPr>
        <w:t>3 </w:t>
      </w:r>
      <w:r>
        <w:rPr>
          <w:i/>
          <w:color w:val="FF0000"/>
          <w:sz w:val="18"/>
        </w:rPr>
        <w:t>Supplemental guidance for test procedures/reporting requirements are provided in seperate PRMA, Environment Canada EPS </w:t>
      </w:r>
      <w:r>
        <w:rPr>
          <w:i/>
          <w:color w:val="FF0000"/>
          <w:sz w:val="18"/>
        </w:rPr>
        <w:t>and OECD guidelines that are specific for nontarget insect testing on “</w:t>
      </w:r>
      <w:r>
        <w:rPr>
          <w:i/>
          <w:color w:val="FF0000"/>
          <w:sz w:val="18"/>
          <w:u w:val="single" w:color="FF0000"/>
        </w:rPr>
        <w:t>Terrestrial non-arthropod invertebrate testing.</w:t>
      </w:r>
      <w:r>
        <w:rPr>
          <w:i/>
          <w:color w:val="FF0000"/>
          <w:sz w:val="18"/>
        </w:rPr>
        <w:t>” This guidance can be found under each guideline criterion (designated with </w:t>
      </w:r>
      <w:r>
        <w:rPr>
          <w:i/>
          <w:color w:val="FF0000"/>
          <w:sz w:val="18"/>
          <w:u w:val="single" w:color="FF0000"/>
        </w:rPr>
        <w:t>underlined </w:t>
      </w:r>
      <w:r>
        <w:rPr>
          <w:i/>
          <w:color w:val="FF0000"/>
          <w:sz w:val="18"/>
        </w:rPr>
        <w:t>subheadings). If there is no additional guidance stated for “</w:t>
      </w:r>
      <w:r>
        <w:rPr>
          <w:i/>
          <w:color w:val="FF0000"/>
          <w:sz w:val="18"/>
          <w:u w:val="single" w:color="FF0000"/>
        </w:rPr>
        <w:t>Terrestrial non-arthropod invertebrate testing,</w:t>
      </w:r>
      <w:r>
        <w:rPr>
          <w:i/>
          <w:color w:val="FF0000"/>
          <w:sz w:val="18"/>
        </w:rPr>
        <w:t>” then defer to each guideline criterion as guidance in general.</w:t>
      </w:r>
    </w:p>
    <w:p>
      <w:pPr>
        <w:pStyle w:val="BodyText"/>
        <w:rPr>
          <w:i/>
          <w:sz w:val="20"/>
        </w:rPr>
      </w:pPr>
    </w:p>
    <w:p>
      <w:pPr>
        <w:pStyle w:val="BodyText"/>
        <w:spacing w:before="5"/>
        <w:rPr>
          <w:i/>
          <w:sz w:val="20"/>
        </w:rPr>
      </w:pPr>
    </w:p>
    <w:p>
      <w:pPr>
        <w:spacing w:before="0"/>
        <w:ind w:left="860" w:right="155" w:firstLine="0"/>
        <w:jc w:val="left"/>
        <w:rPr>
          <w:i/>
          <w:sz w:val="22"/>
        </w:rPr>
      </w:pPr>
      <w:r>
        <w:rPr>
          <w:b/>
          <w:sz w:val="22"/>
        </w:rPr>
        <w:t>Deviations from guideline: </w:t>
      </w:r>
      <w:r>
        <w:rPr>
          <w:i/>
          <w:color w:val="FF0000"/>
          <w:sz w:val="22"/>
        </w:rPr>
        <w:t>[Indicate if there were any deviations from the test procedures and reporting </w:t>
      </w:r>
      <w:r>
        <w:rPr>
          <w:i/>
          <w:color w:val="FF0000"/>
          <w:sz w:val="22"/>
        </w:rPr>
        <w:t>requirements stated in guideline(s).This information is usually stated in the Good Laboratory Practices (GLP) and Quality Assurance (QA) statements in the introductory section of the study report. State the reasons for such deviations and its overall effect on the validity of the study.]</w:t>
      </w:r>
    </w:p>
    <w:p>
      <w:pPr>
        <w:pStyle w:val="BodyText"/>
        <w:rPr>
          <w:i/>
          <w:sz w:val="22"/>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MATERIALS</w:t>
      </w:r>
      <w:r>
        <w:rPr>
          <w:b/>
          <w:sz w:val="22"/>
          <w:u w:val="none"/>
        </w:rPr>
        <w:t>:</w:t>
      </w:r>
    </w:p>
    <w:p>
      <w:pPr>
        <w:pStyle w:val="BodyText"/>
        <w:rPr>
          <w:b/>
          <w:i w:val="0"/>
          <w:sz w:val="14"/>
        </w:rPr>
      </w:pPr>
    </w:p>
    <w:p>
      <w:pPr>
        <w:pStyle w:val="ListParagraph"/>
        <w:numPr>
          <w:ilvl w:val="1"/>
          <w:numId w:val="2"/>
        </w:numPr>
        <w:tabs>
          <w:tab w:pos="859" w:val="left" w:leader="none"/>
          <w:tab w:pos="861" w:val="left" w:leader="none"/>
        </w:tabs>
        <w:spacing w:line="240" w:lineRule="auto" w:before="91" w:after="0"/>
        <w:ind w:left="860" w:right="0" w:hanging="720"/>
        <w:jc w:val="left"/>
        <w:rPr>
          <w:i/>
          <w:sz w:val="22"/>
          <w:u w:val="none"/>
        </w:rPr>
      </w:pPr>
      <w:r>
        <w:rPr>
          <w:b/>
          <w:sz w:val="22"/>
          <w:u w:val="thick"/>
        </w:rPr>
        <w:t>Test Material</w:t>
      </w:r>
      <w:r>
        <w:rPr>
          <w:b/>
          <w:sz w:val="22"/>
          <w:u w:val="none"/>
        </w:rPr>
        <w:t>: </w:t>
      </w:r>
      <w:r>
        <w:rPr>
          <w:i/>
          <w:color w:val="FF0000"/>
          <w:sz w:val="22"/>
          <w:u w:val="none"/>
        </w:rPr>
        <w:t>[Name of test material as cited in the study</w:t>
      </w:r>
      <w:r>
        <w:rPr>
          <w:i/>
          <w:color w:val="FF0000"/>
          <w:spacing w:val="-1"/>
          <w:sz w:val="22"/>
          <w:u w:val="none"/>
        </w:rPr>
        <w:t> </w:t>
      </w:r>
      <w:r>
        <w:rPr>
          <w:i/>
          <w:color w:val="FF0000"/>
          <w:sz w:val="22"/>
          <w:u w:val="none"/>
        </w:rPr>
        <w:t>report.]</w:t>
      </w:r>
    </w:p>
    <w:p>
      <w:pPr>
        <w:pStyle w:val="BodyText"/>
        <w:spacing w:before="2"/>
        <w:rPr>
          <w:i/>
          <w:sz w:val="14"/>
        </w:rPr>
      </w:pPr>
    </w:p>
    <w:p>
      <w:pPr>
        <w:pStyle w:val="Heading5"/>
        <w:tabs>
          <w:tab w:pos="2300" w:val="left" w:leader="none"/>
        </w:tabs>
        <w:spacing w:before="90"/>
        <w:rPr>
          <w:i/>
        </w:rPr>
      </w:pPr>
      <w:r>
        <w:rPr>
          <w:b/>
          <w:i w:val="0"/>
        </w:rPr>
        <w:t>Description:</w:t>
        <w:tab/>
      </w:r>
      <w:r>
        <w:rPr>
          <w:i/>
          <w:color w:val="FF0000"/>
        </w:rPr>
        <w:t>[e.g. Physical-chemical state of the test</w:t>
      </w:r>
      <w:r>
        <w:rPr>
          <w:i/>
          <w:color w:val="FF0000"/>
          <w:spacing w:val="-28"/>
        </w:rPr>
        <w:t> </w:t>
      </w:r>
      <w:r>
        <w:rPr>
          <w:i/>
          <w:color w:val="FF0000"/>
        </w:rPr>
        <w:t>material.]</w:t>
      </w:r>
    </w:p>
    <w:p>
      <w:pPr>
        <w:pStyle w:val="BodyText"/>
        <w:rPr>
          <w:i/>
          <w:sz w:val="22"/>
        </w:rPr>
      </w:pPr>
    </w:p>
    <w:p>
      <w:pPr>
        <w:tabs>
          <w:tab w:pos="2300" w:val="left" w:leader="none"/>
        </w:tabs>
        <w:spacing w:before="0"/>
        <w:ind w:left="860" w:right="0" w:firstLine="0"/>
        <w:jc w:val="left"/>
        <w:rPr>
          <w:i/>
          <w:sz w:val="22"/>
        </w:rPr>
      </w:pPr>
      <w:r>
        <w:rPr>
          <w:b/>
          <w:sz w:val="22"/>
        </w:rPr>
        <w:t>Lot/Batch</w:t>
      </w:r>
      <w:r>
        <w:rPr>
          <w:b/>
          <w:spacing w:val="-1"/>
          <w:sz w:val="22"/>
        </w:rPr>
        <w:t> </w:t>
      </w:r>
      <w:r>
        <w:rPr>
          <w:b/>
          <w:sz w:val="22"/>
        </w:rPr>
        <w:t>#:</w:t>
        <w:tab/>
      </w:r>
      <w:r>
        <w:rPr>
          <w:i/>
          <w:color w:val="FF0000"/>
          <w:sz w:val="22"/>
        </w:rPr>
        <w:t>[Insert the test material’s lot or batch</w:t>
      </w:r>
      <w:r>
        <w:rPr>
          <w:i/>
          <w:color w:val="FF0000"/>
          <w:spacing w:val="-27"/>
          <w:sz w:val="22"/>
        </w:rPr>
        <w:t> </w:t>
      </w:r>
      <w:r>
        <w:rPr>
          <w:i/>
          <w:color w:val="FF0000"/>
          <w:sz w:val="22"/>
        </w:rPr>
        <w:t>number.]</w:t>
      </w:r>
    </w:p>
    <w:p>
      <w:pPr>
        <w:pStyle w:val="BodyText"/>
        <w:spacing w:before="10"/>
        <w:rPr>
          <w:i/>
          <w:sz w:val="21"/>
        </w:rPr>
      </w:pPr>
    </w:p>
    <w:p>
      <w:pPr>
        <w:spacing w:before="0"/>
        <w:ind w:left="860" w:right="228" w:firstLine="0"/>
        <w:jc w:val="left"/>
        <w:rPr>
          <w:b/>
          <w:i/>
          <w:sz w:val="22"/>
        </w:rPr>
      </w:pPr>
      <w:r>
        <w:rPr>
          <w:b/>
          <w:i/>
          <w:color w:val="FF0000"/>
          <w:sz w:val="22"/>
        </w:rPr>
        <w:t>[NOTE: Verify that test material is derived from same source (i.e. lot/batch # or certificate of analysis) </w:t>
      </w:r>
      <w:r>
        <w:rPr>
          <w:b/>
          <w:i/>
          <w:color w:val="FF0000"/>
          <w:sz w:val="22"/>
        </w:rPr>
        <w:t>of MPCA (TGAI, MP or EP) that was previously characterized and data were acceptable]</w:t>
      </w:r>
    </w:p>
    <w:p>
      <w:pPr>
        <w:pStyle w:val="BodyText"/>
        <w:spacing w:before="11"/>
        <w:rPr>
          <w:b/>
          <w:i/>
          <w:sz w:val="21"/>
        </w:rPr>
      </w:pPr>
    </w:p>
    <w:p>
      <w:pPr>
        <w:pStyle w:val="Heading5"/>
        <w:tabs>
          <w:tab w:pos="2300" w:val="left" w:leader="none"/>
        </w:tabs>
        <w:ind w:right="579" w:hanging="1"/>
      </w:pPr>
      <w:r>
        <w:rPr>
          <w:b/>
          <w:i w:val="0"/>
        </w:rPr>
        <w:t>Purity:</w:t>
        <w:tab/>
      </w:r>
      <w:r>
        <w:rPr>
          <w:i/>
          <w:color w:val="FF0000"/>
        </w:rPr>
        <w:t>[Insert the test material’s potency and/or</w:t>
      </w:r>
      <w:r>
        <w:rPr>
          <w:i/>
          <w:color w:val="FF0000"/>
          <w:spacing w:val="-39"/>
        </w:rPr>
        <w:t> </w:t>
      </w:r>
      <w:r>
        <w:rPr>
          <w:i/>
          <w:color w:val="FF0000"/>
        </w:rPr>
        <w:t>concentration per unit weight or volume</w:t>
      </w:r>
      <w:r>
        <w:rPr>
          <w:i/>
          <w:color w:val="FF0000"/>
          <w:spacing w:val="-5"/>
        </w:rPr>
        <w:t> </w:t>
      </w:r>
      <w:r>
        <w:rPr>
          <w:i/>
          <w:color w:val="FF0000"/>
        </w:rPr>
        <w:t>as</w:t>
      </w:r>
      <w:r>
        <w:rPr>
          <w:color w:val="FF0000"/>
          <w:w w:val="99"/>
        </w:rPr>
        <w:t> </w:t>
      </w:r>
      <w:r>
        <w:rPr>
          <w:color w:val="FF0000"/>
        </w:rPr>
        <w:t>indicated by the study</w:t>
      </w:r>
      <w:r>
        <w:rPr>
          <w:color w:val="FF0000"/>
          <w:spacing w:val="-19"/>
        </w:rPr>
        <w:t> </w:t>
      </w:r>
      <w:r>
        <w:rPr>
          <w:color w:val="FF0000"/>
        </w:rPr>
        <w:t>sponsor.]</w:t>
      </w:r>
    </w:p>
    <w:p>
      <w:pPr>
        <w:pStyle w:val="BodyText"/>
        <w:rPr>
          <w:i/>
          <w:sz w:val="22"/>
        </w:rPr>
      </w:pPr>
    </w:p>
    <w:p>
      <w:pPr>
        <w:tabs>
          <w:tab w:pos="3020" w:val="left" w:leader="none"/>
        </w:tabs>
        <w:spacing w:before="0"/>
        <w:ind w:left="860" w:right="916" w:hanging="1"/>
        <w:jc w:val="left"/>
        <w:rPr>
          <w:i/>
          <w:sz w:val="22"/>
        </w:rPr>
      </w:pPr>
      <w:r>
        <w:rPr>
          <w:b/>
          <w:sz w:val="22"/>
        </w:rPr>
        <w:t>Storage</w:t>
      </w:r>
      <w:r>
        <w:rPr>
          <w:b/>
          <w:spacing w:val="-3"/>
          <w:sz w:val="22"/>
        </w:rPr>
        <w:t> </w:t>
      </w:r>
      <w:r>
        <w:rPr>
          <w:b/>
          <w:sz w:val="22"/>
        </w:rPr>
        <w:t>conditions:</w:t>
        <w:tab/>
      </w:r>
      <w:r>
        <w:rPr>
          <w:i/>
          <w:color w:val="FF0000"/>
          <w:sz w:val="22"/>
        </w:rPr>
        <w:t>[Indicate how the test material was maintained, i.e.,</w:t>
      </w:r>
      <w:r>
        <w:rPr>
          <w:i/>
          <w:color w:val="FF0000"/>
          <w:spacing w:val="-33"/>
          <w:sz w:val="22"/>
        </w:rPr>
        <w:t> </w:t>
      </w:r>
      <w:r>
        <w:rPr>
          <w:i/>
          <w:color w:val="FF0000"/>
          <w:sz w:val="22"/>
        </w:rPr>
        <w:t>frozen,</w:t>
      </w:r>
      <w:r>
        <w:rPr>
          <w:i/>
          <w:color w:val="FF0000"/>
          <w:spacing w:val="-4"/>
          <w:sz w:val="22"/>
        </w:rPr>
        <w:t> </w:t>
      </w:r>
      <w:r>
        <w:rPr>
          <w:i/>
          <w:color w:val="FF0000"/>
          <w:sz w:val="22"/>
        </w:rPr>
        <w:t>refrigerated,</w:t>
      </w:r>
      <w:r>
        <w:rPr>
          <w:i/>
          <w:color w:val="FF0000"/>
          <w:w w:val="99"/>
          <w:sz w:val="22"/>
        </w:rPr>
        <w:t> </w:t>
      </w:r>
      <w:r>
        <w:rPr>
          <w:i/>
          <w:color w:val="FF0000"/>
          <w:sz w:val="22"/>
        </w:rPr>
        <w:t>maintained</w:t>
      </w:r>
      <w:r>
        <w:rPr>
          <w:i/>
          <w:color w:val="FF0000"/>
          <w:spacing w:val="-3"/>
          <w:sz w:val="22"/>
        </w:rPr>
        <w:t> </w:t>
      </w:r>
      <w:r>
        <w:rPr>
          <w:i/>
          <w:color w:val="FF0000"/>
          <w:sz w:val="22"/>
        </w:rPr>
        <w:t>in</w:t>
      </w:r>
      <w:r>
        <w:rPr>
          <w:i/>
          <w:color w:val="FF0000"/>
          <w:spacing w:val="-4"/>
          <w:sz w:val="22"/>
        </w:rPr>
        <w:t> </w:t>
      </w:r>
      <w:r>
        <w:rPr>
          <w:i/>
          <w:color w:val="FF0000"/>
          <w:sz w:val="22"/>
        </w:rPr>
        <w:t>the</w:t>
      </w:r>
      <w:r>
        <w:rPr>
          <w:i/>
          <w:color w:val="FF0000"/>
          <w:spacing w:val="-4"/>
          <w:sz w:val="22"/>
        </w:rPr>
        <w:t> </w:t>
      </w:r>
      <w:r>
        <w:rPr>
          <w:i/>
          <w:color w:val="FF0000"/>
          <w:sz w:val="22"/>
        </w:rPr>
        <w:t>dark,</w:t>
      </w:r>
      <w:r>
        <w:rPr>
          <w:i/>
          <w:color w:val="FF0000"/>
          <w:spacing w:val="-3"/>
          <w:sz w:val="22"/>
        </w:rPr>
        <w:t> </w:t>
      </w:r>
      <w:r>
        <w:rPr>
          <w:i/>
          <w:color w:val="FF0000"/>
          <w:sz w:val="22"/>
        </w:rPr>
        <w:t>etc.,</w:t>
      </w:r>
      <w:r>
        <w:rPr>
          <w:i/>
          <w:color w:val="FF0000"/>
          <w:spacing w:val="-3"/>
          <w:sz w:val="22"/>
        </w:rPr>
        <w:t> </w:t>
      </w:r>
      <w:r>
        <w:rPr>
          <w:i/>
          <w:color w:val="FF0000"/>
          <w:sz w:val="22"/>
        </w:rPr>
        <w:t>and</w:t>
      </w:r>
      <w:r>
        <w:rPr>
          <w:i/>
          <w:color w:val="FF0000"/>
          <w:spacing w:val="-4"/>
          <w:sz w:val="22"/>
        </w:rPr>
        <w:t> </w:t>
      </w:r>
      <w:r>
        <w:rPr>
          <w:i/>
          <w:color w:val="FF0000"/>
          <w:sz w:val="22"/>
        </w:rPr>
        <w:t>comment</w:t>
      </w:r>
      <w:r>
        <w:rPr>
          <w:i/>
          <w:color w:val="FF0000"/>
          <w:spacing w:val="-3"/>
          <w:sz w:val="22"/>
        </w:rPr>
        <w:t> </w:t>
      </w:r>
      <w:r>
        <w:rPr>
          <w:i/>
          <w:color w:val="FF0000"/>
          <w:sz w:val="22"/>
        </w:rPr>
        <w:t>on</w:t>
      </w:r>
      <w:r>
        <w:rPr>
          <w:i/>
          <w:color w:val="FF0000"/>
          <w:spacing w:val="-3"/>
          <w:sz w:val="22"/>
        </w:rPr>
        <w:t> </w:t>
      </w:r>
      <w:r>
        <w:rPr>
          <w:i/>
          <w:color w:val="FF0000"/>
          <w:sz w:val="22"/>
        </w:rPr>
        <w:t>the</w:t>
      </w:r>
      <w:r>
        <w:rPr>
          <w:i/>
          <w:color w:val="FF0000"/>
          <w:spacing w:val="-4"/>
          <w:sz w:val="22"/>
        </w:rPr>
        <w:t> </w:t>
      </w:r>
      <w:r>
        <w:rPr>
          <w:i/>
          <w:color w:val="FF0000"/>
          <w:sz w:val="22"/>
        </w:rPr>
        <w:t>stability</w:t>
      </w:r>
      <w:r>
        <w:rPr>
          <w:i/>
          <w:color w:val="FF0000"/>
          <w:spacing w:val="-4"/>
          <w:sz w:val="22"/>
        </w:rPr>
        <w:t> </w:t>
      </w:r>
      <w:r>
        <w:rPr>
          <w:i/>
          <w:color w:val="FF0000"/>
          <w:sz w:val="22"/>
        </w:rPr>
        <w:t>of</w:t>
      </w:r>
      <w:r>
        <w:rPr>
          <w:i/>
          <w:color w:val="FF0000"/>
          <w:spacing w:val="-3"/>
          <w:sz w:val="22"/>
        </w:rPr>
        <w:t> </w:t>
      </w:r>
      <w:r>
        <w:rPr>
          <w:i/>
          <w:color w:val="FF0000"/>
          <w:sz w:val="22"/>
        </w:rPr>
        <w:t>sample</w:t>
      </w:r>
      <w:r>
        <w:rPr>
          <w:i/>
          <w:color w:val="FF0000"/>
          <w:spacing w:val="-4"/>
          <w:sz w:val="22"/>
        </w:rPr>
        <w:t> </w:t>
      </w:r>
      <w:r>
        <w:rPr>
          <w:i/>
          <w:color w:val="FF0000"/>
          <w:sz w:val="22"/>
        </w:rPr>
        <w:t>under</w:t>
      </w:r>
      <w:r>
        <w:rPr>
          <w:i/>
          <w:color w:val="FF0000"/>
          <w:spacing w:val="-4"/>
          <w:sz w:val="22"/>
        </w:rPr>
        <w:t> </w:t>
      </w:r>
      <w:r>
        <w:rPr>
          <w:i/>
          <w:color w:val="FF0000"/>
          <w:sz w:val="22"/>
        </w:rPr>
        <w:t>these</w:t>
      </w:r>
      <w:r>
        <w:rPr>
          <w:i/>
          <w:color w:val="FF0000"/>
          <w:spacing w:val="-4"/>
          <w:sz w:val="22"/>
        </w:rPr>
        <w:t> </w:t>
      </w:r>
      <w:r>
        <w:rPr>
          <w:i/>
          <w:color w:val="FF0000"/>
          <w:sz w:val="22"/>
        </w:rPr>
        <w:t>conditions.]</w:t>
      </w:r>
    </w:p>
    <w:p>
      <w:pPr>
        <w:pStyle w:val="BodyText"/>
        <w:rPr>
          <w:i/>
          <w:sz w:val="22"/>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Test</w:t>
      </w:r>
      <w:r>
        <w:rPr>
          <w:b/>
          <w:spacing w:val="-9"/>
          <w:sz w:val="22"/>
          <w:u w:val="thick"/>
        </w:rPr>
        <w:t> </w:t>
      </w:r>
      <w:r>
        <w:rPr>
          <w:b/>
          <w:sz w:val="22"/>
          <w:u w:val="thick"/>
        </w:rPr>
        <w:t>Organism</w:t>
      </w:r>
      <w:r>
        <w:rPr>
          <w:b/>
          <w:sz w:val="22"/>
          <w:u w:val="none"/>
        </w:rPr>
        <w:t>:</w:t>
      </w:r>
    </w:p>
    <w:p>
      <w:pPr>
        <w:pStyle w:val="BodyText"/>
        <w:rPr>
          <w:b/>
          <w:i w:val="0"/>
          <w:sz w:val="14"/>
        </w:rPr>
      </w:pPr>
    </w:p>
    <w:p>
      <w:pPr>
        <w:spacing w:before="91"/>
        <w:ind w:left="860" w:right="0" w:firstLine="0"/>
        <w:jc w:val="left"/>
        <w:rPr>
          <w:i/>
          <w:sz w:val="22"/>
        </w:rPr>
      </w:pPr>
      <w:r>
        <w:rPr>
          <w:b/>
          <w:sz w:val="22"/>
        </w:rPr>
        <w:t>Species (common and scientific names): </w:t>
      </w:r>
      <w:r>
        <w:rPr>
          <w:i/>
          <w:color w:val="FF0000"/>
          <w:sz w:val="22"/>
        </w:rPr>
        <w:t>[Insert test species name(s).]</w:t>
      </w:r>
    </w:p>
    <w:p>
      <w:pPr>
        <w:pStyle w:val="BodyText"/>
        <w:rPr>
          <w:i/>
          <w:sz w:val="24"/>
        </w:rPr>
      </w:pPr>
    </w:p>
    <w:p>
      <w:pPr>
        <w:pStyle w:val="BodyText"/>
        <w:spacing w:before="158"/>
        <w:ind w:left="859" w:right="124"/>
      </w:pPr>
      <w:r>
        <w:rPr>
          <w:b/>
          <w:i/>
          <w:color w:val="0070C0"/>
        </w:rPr>
        <w:t>U.S. EPA OCSPP 885.4340 </w:t>
      </w:r>
      <w:r>
        <w:rPr>
          <w:i/>
          <w:color w:val="0070C0"/>
        </w:rPr>
        <w:t>Testing should be performed on three species of insects that are important parasites or predators of the target host, </w:t>
      </w:r>
      <w:r>
        <w:rPr>
          <w:color w:val="0070C0"/>
        </w:rPr>
        <w:t>and/or representing at least two of the following groups - parasitic dipterans, predaceous hemipterans, predaceous coleopterans, predaceous mites, predaceous neuropterans, and parasitic hymenopterans. Selection of test species is the responsibility of the researcher, and a rationale for selection must be provided.</w:t>
      </w:r>
    </w:p>
    <w:p>
      <w:pPr>
        <w:pStyle w:val="BodyText"/>
        <w:ind w:left="860" w:right="775" w:firstLine="719"/>
      </w:pPr>
      <w:r>
        <w:rPr>
          <w:i/>
          <w:color w:val="0070C0"/>
        </w:rPr>
        <w:t>–For </w:t>
      </w:r>
      <w:r>
        <w:rPr>
          <w:i/>
          <w:color w:val="0070C0"/>
          <w:u w:val="single" w:color="0070C0"/>
        </w:rPr>
        <w:t>viruses</w:t>
      </w:r>
      <w:r>
        <w:rPr>
          <w:i/>
          <w:color w:val="0070C0"/>
        </w:rPr>
        <w:t>, testing shall be performed on three species of insects representative of those parasites and predators known or </w:t>
      </w:r>
      <w:r>
        <w:rPr>
          <w:color w:val="0070C0"/>
        </w:rPr>
        <w:t>suspected to attack the target host or to share the same ecological habitat.</w:t>
      </w:r>
    </w:p>
    <w:p>
      <w:pPr>
        <w:pStyle w:val="BodyText"/>
        <w:ind w:left="860" w:right="259" w:firstLine="719"/>
      </w:pPr>
      <w:r>
        <w:rPr>
          <w:i/>
          <w:color w:val="0070C0"/>
        </w:rPr>
        <w:t>–For </w:t>
      </w:r>
      <w:r>
        <w:rPr>
          <w:i/>
          <w:color w:val="0070C0"/>
          <w:u w:val="single" w:color="0070C0"/>
        </w:rPr>
        <w:t>protozoa</w:t>
      </w:r>
      <w:r>
        <w:rPr>
          <w:i/>
          <w:color w:val="0070C0"/>
        </w:rPr>
        <w:t>, at least one arthropod species should be a major (i.e. important) parasite of the target host. Many protozoans have a </w:t>
      </w:r>
      <w:r>
        <w:rPr>
          <w:color w:val="0070C0"/>
        </w:rPr>
        <w:t>wide host range. Accordingly, if possible, more than the minimum (three) species of non-target organisms should be tested.</w:t>
      </w:r>
    </w:p>
    <w:p>
      <w:pPr>
        <w:pStyle w:val="BodyText"/>
        <w:ind w:left="860" w:right="303" w:firstLine="719"/>
      </w:pPr>
      <w:r>
        <w:rPr>
          <w:i/>
          <w:color w:val="0070C0"/>
        </w:rPr>
        <w:t>–For </w:t>
      </w:r>
      <w:r>
        <w:rPr>
          <w:i/>
          <w:color w:val="0070C0"/>
          <w:u w:val="single" w:color="0070C0"/>
        </w:rPr>
        <w:t>fungi</w:t>
      </w:r>
      <w:r>
        <w:rPr>
          <w:i/>
          <w:color w:val="0070C0"/>
        </w:rPr>
        <w:t>, assuming testing is justified, the test species should be the major predacious and parasitic regulatory agents common to </w:t>
      </w:r>
      <w:r>
        <w:rPr>
          <w:color w:val="0070C0"/>
        </w:rPr>
        <w:t>the ecosystem where the MPCA will be applied. In addition, testing could include parasites and/or predators specific to the host of the fungal agent.</w:t>
      </w:r>
    </w:p>
    <w:p>
      <w:pPr>
        <w:pStyle w:val="BodyText"/>
        <w:ind w:left="860" w:right="695" w:firstLine="719"/>
      </w:pPr>
      <w:r>
        <w:rPr>
          <w:i/>
          <w:color w:val="0070C0"/>
        </w:rPr>
        <w:t>–For </w:t>
      </w:r>
      <w:r>
        <w:rPr>
          <w:i/>
          <w:color w:val="0070C0"/>
          <w:u w:val="single" w:color="0070C0"/>
        </w:rPr>
        <w:t>bacteria</w:t>
      </w:r>
      <w:r>
        <w:rPr>
          <w:i/>
          <w:color w:val="0070C0"/>
        </w:rPr>
        <w:t>, testing shall be performed on three species of insects representative of those parasites and predators known or </w:t>
      </w:r>
      <w:r>
        <w:rPr>
          <w:color w:val="0070C0"/>
        </w:rPr>
        <w:t>suspected to attack the target host or to share the same ecological habitat.</w:t>
      </w:r>
    </w:p>
    <w:p>
      <w:pPr>
        <w:pStyle w:val="BodyText"/>
        <w:ind w:left="859" w:right="366"/>
      </w:pPr>
      <w:r>
        <w:rPr>
          <w:b/>
          <w:i/>
          <w:color w:val="0070C0"/>
        </w:rPr>
        <w:t>PMRA DIR 2001-02 </w:t>
      </w:r>
      <w:r>
        <w:rPr>
          <w:i/>
          <w:color w:val="0070C0"/>
        </w:rPr>
        <w:t>Non-target arthropod species selected for testing should be representative of groups that will be exposed to the MPCA </w:t>
      </w:r>
      <w:r>
        <w:rPr>
          <w:color w:val="0070C0"/>
        </w:rPr>
        <w:t>under actual conditions of use, and that have some important relationship with the target pest species, and should be representative of species found in the ecozone(s) of intended use. See DIR 2001-02, Appendix XI for suggestions.</w:t>
      </w:r>
    </w:p>
    <w:p>
      <w:pPr>
        <w:spacing w:line="184" w:lineRule="exact" w:before="0"/>
        <w:ind w:left="859" w:right="0" w:firstLine="0"/>
        <w:jc w:val="left"/>
        <w:rPr>
          <w:i/>
          <w:sz w:val="16"/>
        </w:rPr>
      </w:pPr>
      <w:r>
        <w:rPr>
          <w:b/>
          <w:i/>
          <w:color w:val="0070C0"/>
          <w:sz w:val="16"/>
        </w:rPr>
        <w:t>Environment Canada EPS 1/RM/44  </w:t>
      </w:r>
      <w:r>
        <w:rPr>
          <w:i/>
          <w:color w:val="0070C0"/>
          <w:sz w:val="16"/>
        </w:rPr>
        <w:t>Collembolan springtail (Folsomia candida) is the test species.</w:t>
      </w:r>
    </w:p>
    <w:p>
      <w:pPr>
        <w:pStyle w:val="Heading7"/>
        <w:spacing w:line="240" w:lineRule="auto"/>
        <w:ind w:left="1580"/>
        <w:rPr>
          <w:i/>
        </w:rPr>
      </w:pPr>
      <w:r>
        <w:rPr>
          <w:i/>
          <w:color w:val="0070C0"/>
          <w:u w:val="single" w:color="0070C0"/>
        </w:rPr>
        <w:t>Supplemental guidance for terrestrial non-arthropod invertebrates:</w:t>
      </w:r>
    </w:p>
    <w:p>
      <w:pPr>
        <w:spacing w:after="0" w:line="240" w:lineRule="auto"/>
        <w:sectPr>
          <w:pgSz w:w="12240" w:h="15840"/>
          <w:pgMar w:header="729" w:footer="796" w:top="1860" w:bottom="980" w:left="940" w:right="940"/>
        </w:sectPr>
      </w:pPr>
    </w:p>
    <w:p>
      <w:pPr>
        <w:pStyle w:val="BodyText"/>
        <w:spacing w:before="134"/>
        <w:ind w:left="859" w:right="155"/>
      </w:pPr>
      <w:r>
        <w:rPr>
          <w:b/>
          <w:i/>
          <w:color w:val="0070C0"/>
        </w:rPr>
        <w:t>PMRA DIR 2001-02  </w:t>
      </w:r>
      <w:r>
        <w:rPr>
          <w:i/>
          <w:color w:val="0070C0"/>
        </w:rPr>
        <w:t>Non-target non-arthropod invertebrate species selected for testing should be representative of groups that will be exposed </w:t>
      </w:r>
      <w:r>
        <w:rPr>
          <w:color w:val="0070C0"/>
        </w:rPr>
        <w:t>to the MPCA under actual conditions of use, have some important relationship with the target pest species, and should be representative of species found in the ecozone(s) of intended use. See DIR 2001-02, Appendix XI for suggestions.</w:t>
      </w:r>
    </w:p>
    <w:p>
      <w:pPr>
        <w:spacing w:line="184" w:lineRule="exact" w:before="0"/>
        <w:ind w:left="859" w:right="0" w:firstLine="0"/>
        <w:jc w:val="left"/>
        <w:rPr>
          <w:i/>
          <w:sz w:val="16"/>
        </w:rPr>
      </w:pPr>
      <w:r>
        <w:rPr>
          <w:b/>
          <w:i/>
          <w:color w:val="0070C0"/>
          <w:sz w:val="16"/>
        </w:rPr>
        <w:t>Environment Canada EPS 1/RM/44   </w:t>
      </w:r>
      <w:r>
        <w:rPr>
          <w:i/>
          <w:color w:val="0070C0"/>
          <w:sz w:val="16"/>
        </w:rPr>
        <w:t>The earthworm (Eisenia andrei) is the test species.</w:t>
      </w:r>
    </w:p>
    <w:p>
      <w:pPr>
        <w:spacing w:line="184" w:lineRule="exact" w:before="0"/>
        <w:ind w:left="859" w:right="0" w:firstLine="0"/>
        <w:jc w:val="left"/>
        <w:rPr>
          <w:i/>
          <w:sz w:val="16"/>
        </w:rPr>
      </w:pPr>
      <w:r>
        <w:rPr>
          <w:b/>
          <w:i/>
          <w:color w:val="0070C0"/>
          <w:sz w:val="16"/>
        </w:rPr>
        <w:t>Environment Canada EPS 1/RM 43  </w:t>
      </w:r>
      <w:r>
        <w:rPr>
          <w:i/>
          <w:color w:val="0070C0"/>
          <w:sz w:val="16"/>
        </w:rPr>
        <w:t>The earthworms (Eisenia andrei, Eisenia fetida or Lumbricus terrestris) are the test species.</w:t>
      </w:r>
    </w:p>
    <w:p>
      <w:pPr>
        <w:pStyle w:val="BodyText"/>
        <w:spacing w:line="184" w:lineRule="exact"/>
        <w:ind w:left="859"/>
        <w:rPr>
          <w:i/>
        </w:rPr>
      </w:pPr>
      <w:r>
        <w:rPr>
          <w:b/>
          <w:i/>
          <w:color w:val="0070C0"/>
        </w:rPr>
        <w:t>OECD 207  </w:t>
      </w:r>
      <w:r>
        <w:rPr>
          <w:i/>
          <w:color w:val="0070C0"/>
        </w:rPr>
        <w:t>Eisenia fetida fetida is the preferred test species. Other species may be used if the necessary methodology is  available.</w:t>
      </w:r>
    </w:p>
    <w:p>
      <w:pPr>
        <w:pStyle w:val="BodyText"/>
        <w:spacing w:before="2"/>
        <w:rPr>
          <w:i/>
          <w:sz w:val="22"/>
        </w:rPr>
      </w:pPr>
    </w:p>
    <w:p>
      <w:pPr>
        <w:spacing w:before="0"/>
        <w:ind w:left="860" w:right="0" w:firstLine="0"/>
        <w:jc w:val="left"/>
        <w:rPr>
          <w:i/>
          <w:sz w:val="22"/>
        </w:rPr>
      </w:pPr>
      <w:r>
        <w:rPr>
          <w:b/>
          <w:sz w:val="22"/>
        </w:rPr>
        <w:t>Age at test initiation</w:t>
      </w:r>
      <w:r>
        <w:rPr>
          <w:sz w:val="22"/>
        </w:rPr>
        <w:t>: </w:t>
      </w:r>
      <w:r>
        <w:rPr>
          <w:i/>
          <w:color w:val="FF0000"/>
          <w:sz w:val="22"/>
        </w:rPr>
        <w:t>[Insert age of test organisms (mean and range).]</w:t>
      </w:r>
    </w:p>
    <w:p>
      <w:pPr>
        <w:pStyle w:val="BodyText"/>
        <w:spacing w:before="10"/>
        <w:rPr>
          <w:i/>
          <w:sz w:val="21"/>
        </w:rPr>
      </w:pPr>
    </w:p>
    <w:p>
      <w:pPr>
        <w:spacing w:line="184" w:lineRule="exact" w:before="0"/>
        <w:ind w:left="860" w:right="0" w:firstLine="0"/>
        <w:jc w:val="left"/>
        <w:rPr>
          <w:i/>
          <w:sz w:val="16"/>
        </w:rPr>
      </w:pPr>
      <w:r>
        <w:rPr>
          <w:b/>
          <w:i/>
          <w:color w:val="0070C0"/>
          <w:sz w:val="16"/>
        </w:rPr>
        <w:t>U.S. EPA OCSPP 885.4340   </w:t>
      </w:r>
      <w:r>
        <w:rPr>
          <w:i/>
          <w:color w:val="0070C0"/>
          <w:sz w:val="16"/>
        </w:rPr>
        <w:t>No specific recommendations.</w:t>
      </w:r>
    </w:p>
    <w:p>
      <w:pPr>
        <w:pStyle w:val="BodyText"/>
        <w:ind w:left="859" w:right="295"/>
      </w:pPr>
      <w:r>
        <w:rPr>
          <w:b/>
          <w:i/>
          <w:color w:val="0070C0"/>
        </w:rPr>
        <w:t>PMRA DIR 2001-02 </w:t>
      </w:r>
      <w:r>
        <w:rPr>
          <w:i/>
          <w:color w:val="0070C0"/>
        </w:rPr>
        <w:t>The life stage that is most likely to be exposed to the MPCA, or the life stage that is most susceptible to the MPCA should </w:t>
      </w:r>
      <w:r>
        <w:rPr>
          <w:color w:val="0070C0"/>
        </w:rPr>
        <w:t>be chosen.</w:t>
      </w:r>
    </w:p>
    <w:p>
      <w:pPr>
        <w:spacing w:before="1"/>
        <w:ind w:left="860" w:right="0" w:firstLine="0"/>
        <w:jc w:val="left"/>
        <w:rPr>
          <w:i/>
          <w:sz w:val="16"/>
        </w:rPr>
      </w:pPr>
      <w:r>
        <w:rPr>
          <w:b/>
          <w:i/>
          <w:color w:val="0070C0"/>
          <w:sz w:val="16"/>
        </w:rPr>
        <w:t>Environment Canada EPS 1/RM/44   </w:t>
      </w:r>
      <w:r>
        <w:rPr>
          <w:i/>
          <w:color w:val="0070C0"/>
          <w:sz w:val="16"/>
        </w:rPr>
        <w:t>Juvenile (10–12-day-old) springtails.</w:t>
      </w:r>
    </w:p>
    <w:p>
      <w:pPr>
        <w:pStyle w:val="Heading7"/>
        <w:spacing w:before="3"/>
        <w:ind w:right="4327"/>
        <w:jc w:val="center"/>
        <w:rPr>
          <w:i/>
        </w:rPr>
      </w:pPr>
      <w:r>
        <w:rPr>
          <w:i/>
          <w:color w:val="0070C0"/>
          <w:u w:val="single" w:color="0070C0"/>
        </w:rPr>
        <w:t>Supplemental guidance for terrestrial non-arthropod invertebrates:</w:t>
      </w:r>
    </w:p>
    <w:p>
      <w:pPr>
        <w:pStyle w:val="BodyText"/>
        <w:ind w:left="859" w:right="306"/>
      </w:pPr>
      <w:r>
        <w:rPr>
          <w:b/>
          <w:i/>
          <w:color w:val="0070C0"/>
        </w:rPr>
        <w:t>Environment Canada EPS 1/RM/43 </w:t>
      </w:r>
      <w:r>
        <w:rPr>
          <w:i/>
          <w:color w:val="0070C0"/>
        </w:rPr>
        <w:t>Sub-adults or sexually mature adults with clitellum, if to be used in an acute lethality test. Clitellated </w:t>
      </w:r>
      <w:r>
        <w:rPr>
          <w:color w:val="0070C0"/>
        </w:rPr>
        <w:t>adults only for an acute avoidance or 8-week test.</w:t>
      </w:r>
    </w:p>
    <w:p>
      <w:pPr>
        <w:pStyle w:val="BodyText"/>
        <w:spacing w:line="184" w:lineRule="exact" w:before="2"/>
        <w:ind w:left="859"/>
        <w:rPr>
          <w:i/>
        </w:rPr>
      </w:pPr>
      <w:r>
        <w:rPr>
          <w:b/>
          <w:i/>
          <w:color w:val="0070C0"/>
        </w:rPr>
        <w:t>OECD 207   </w:t>
      </w:r>
      <w:r>
        <w:rPr>
          <w:i/>
          <w:color w:val="0070C0"/>
        </w:rPr>
        <w:t>Worms should be adult (at least 2 months old, with clitellum).</w:t>
      </w:r>
    </w:p>
    <w:p>
      <w:pPr>
        <w:pStyle w:val="BodyText"/>
        <w:spacing w:before="2"/>
        <w:rPr>
          <w:i/>
          <w:sz w:val="22"/>
        </w:rPr>
      </w:pPr>
    </w:p>
    <w:p>
      <w:pPr>
        <w:pStyle w:val="Heading5"/>
        <w:rPr>
          <w:i/>
        </w:rPr>
      </w:pPr>
      <w:r>
        <w:rPr>
          <w:b/>
          <w:i w:val="0"/>
        </w:rPr>
        <w:t>Strain/Source: </w:t>
      </w:r>
      <w:r>
        <w:rPr>
          <w:i/>
          <w:color w:val="FF0000"/>
        </w:rPr>
        <w:t>[Report the strain, supplier and/or source of the test organism.]</w:t>
      </w:r>
    </w:p>
    <w:p>
      <w:pPr>
        <w:pStyle w:val="BodyText"/>
        <w:spacing w:before="8"/>
        <w:rPr>
          <w:i/>
          <w:sz w:val="21"/>
        </w:rPr>
      </w:pPr>
    </w:p>
    <w:p>
      <w:pPr>
        <w:pStyle w:val="BodyText"/>
        <w:spacing w:line="184" w:lineRule="exact"/>
        <w:ind w:left="860"/>
        <w:rPr>
          <w:i/>
        </w:rPr>
      </w:pPr>
      <w:r>
        <w:rPr>
          <w:b/>
          <w:i/>
          <w:color w:val="0070C0"/>
        </w:rPr>
        <w:t>U.S. EPA OCSPP 885.4340 </w:t>
      </w:r>
      <w:r>
        <w:rPr>
          <w:i/>
          <w:color w:val="0070C0"/>
        </w:rPr>
        <w:t>Selection of the test species is the responsibility of the researcher. Rationale for selection must be provided.</w:t>
      </w:r>
    </w:p>
    <w:p>
      <w:pPr>
        <w:spacing w:line="184" w:lineRule="exact" w:before="0"/>
        <w:ind w:left="859" w:right="0" w:firstLine="0"/>
        <w:jc w:val="left"/>
        <w:rPr>
          <w:i/>
          <w:sz w:val="16"/>
        </w:rPr>
      </w:pPr>
      <w:r>
        <w:rPr>
          <w:b/>
          <w:i/>
          <w:color w:val="0070C0"/>
          <w:sz w:val="16"/>
        </w:rPr>
        <w:t>PMRA DIR 2001-02   </w:t>
      </w:r>
      <w:r>
        <w:rPr>
          <w:i/>
          <w:color w:val="0070C0"/>
          <w:sz w:val="16"/>
        </w:rPr>
        <w:t>No specific recommendations.</w:t>
      </w:r>
    </w:p>
    <w:p>
      <w:pPr>
        <w:spacing w:line="184" w:lineRule="exact" w:before="0"/>
        <w:ind w:left="859" w:right="0" w:firstLine="0"/>
        <w:jc w:val="left"/>
        <w:rPr>
          <w:i/>
          <w:sz w:val="16"/>
        </w:rPr>
      </w:pPr>
      <w:r>
        <w:rPr>
          <w:b/>
          <w:i/>
          <w:color w:val="0070C0"/>
          <w:sz w:val="16"/>
        </w:rPr>
        <w:t>Environment Canada EPS 1/RM/44   </w:t>
      </w:r>
      <w:r>
        <w:rPr>
          <w:i/>
          <w:color w:val="0070C0"/>
          <w:sz w:val="16"/>
        </w:rPr>
        <w:t>Laboratory-raised springtails are used.</w:t>
      </w:r>
    </w:p>
    <w:p>
      <w:pPr>
        <w:pStyle w:val="Heading7"/>
        <w:spacing w:before="3"/>
        <w:ind w:right="4327"/>
        <w:jc w:val="center"/>
        <w:rPr>
          <w:i/>
        </w:rPr>
      </w:pPr>
      <w:r>
        <w:rPr>
          <w:i/>
          <w:color w:val="0070C0"/>
          <w:u w:val="single" w:color="0070C0"/>
        </w:rPr>
        <w:t>Supplemental guidance for terrestrial non-arthropod invertebrates:</w:t>
      </w:r>
    </w:p>
    <w:p>
      <w:pPr>
        <w:pStyle w:val="BodyText"/>
        <w:ind w:left="859" w:right="155"/>
      </w:pPr>
      <w:r>
        <w:rPr>
          <w:b/>
          <w:i/>
          <w:color w:val="0070C0"/>
        </w:rPr>
        <w:t>Environment Canada EPS 1/RM/43 </w:t>
      </w:r>
      <w:r>
        <w:rPr>
          <w:i/>
          <w:color w:val="0070C0"/>
        </w:rPr>
        <w:t>Cocoons, juveniles or adults from a government, private or commercial culture, all from the same source, </w:t>
      </w:r>
      <w:r>
        <w:rPr>
          <w:color w:val="0070C0"/>
        </w:rPr>
        <w:t>and identification to species confirmed. Worms cultured in 10–50 L plastic trays with perforated lid, and sides or lid transparent to allow light penetration to substrate surface. Substrate (e.g., mixture of potting soil, artificial soil and peat moss, or mixture of shredded un-inked paper, artificial soil and sphagnum peat moss) hydrated with sufficient distilled/deionized water to keep surface moist without standing water at bottom of culture chambers. Soil particles should not adhere to earthworms. Minimum substrate depth 10 cm, pH 6.0–7.5 (adjusted with CaCO</w:t>
      </w:r>
      <w:r>
        <w:rPr>
          <w:color w:val="0070C0"/>
          <w:position w:val="-1"/>
          <w:sz w:val="10"/>
        </w:rPr>
        <w:t>3</w:t>
      </w:r>
      <w:r>
        <w:rPr>
          <w:color w:val="0070C0"/>
        </w:rPr>
        <w:t>), temperature 20 ± 2 C, lighting incandescent or fluorescent 400–800 lux at substrate surface. Fixed photoperiod (e.g., 16 h light/8 h dark or 12 h light/12 h dark). Worms fed cooked oatmeal or alfalfa pellets saturated with water once per week after removing excess (unused) food from previous feeding. Substrate renewed as required, at least once every 2–3 months. The culture is healthy if worms move actively through the substrate, do not try to leave it and reproduce continually and results for reference toxicity test using worms from the culture fall with historic warning limits; discard culture if &gt;10% of juvenile or adult worms are dead, inactive or unhealthy at any time.</w:t>
      </w:r>
    </w:p>
    <w:p>
      <w:pPr>
        <w:pStyle w:val="BodyText"/>
        <w:spacing w:line="184" w:lineRule="exact" w:before="2"/>
        <w:ind w:left="859"/>
        <w:rPr>
          <w:i/>
        </w:rPr>
      </w:pPr>
      <w:r>
        <w:rPr>
          <w:b/>
          <w:i/>
          <w:color w:val="0070C0"/>
        </w:rPr>
        <w:t>OECD 207  </w:t>
      </w:r>
      <w:r>
        <w:rPr>
          <w:i/>
          <w:color w:val="0070C0"/>
        </w:rPr>
        <w:t>Cocoons can be purchased commercially or distributed from a central source to ensure the same strain is used.</w:t>
      </w:r>
    </w:p>
    <w:p>
      <w:pPr>
        <w:pStyle w:val="BodyText"/>
        <w:spacing w:before="2"/>
        <w:rPr>
          <w:i/>
          <w:sz w:val="22"/>
        </w:rPr>
      </w:pPr>
    </w:p>
    <w:p>
      <w:pPr>
        <w:spacing w:before="0"/>
        <w:ind w:left="860" w:right="0" w:firstLine="0"/>
        <w:jc w:val="left"/>
        <w:rPr>
          <w:i/>
          <w:sz w:val="22"/>
        </w:rPr>
      </w:pPr>
      <w:r>
        <w:rPr>
          <w:b/>
          <w:sz w:val="22"/>
        </w:rPr>
        <w:t>Weight at test initiation: </w:t>
      </w:r>
      <w:r>
        <w:rPr>
          <w:i/>
          <w:color w:val="FF0000"/>
          <w:sz w:val="22"/>
        </w:rPr>
        <w:t>[mean and range]</w:t>
      </w:r>
    </w:p>
    <w:p>
      <w:pPr>
        <w:pStyle w:val="BodyText"/>
        <w:spacing w:before="6"/>
        <w:rPr>
          <w:i/>
          <w:sz w:val="22"/>
        </w:rPr>
      </w:pPr>
    </w:p>
    <w:p>
      <w:pPr>
        <w:spacing w:line="180" w:lineRule="exact" w:before="0"/>
        <w:ind w:left="860" w:right="3609" w:firstLine="1439"/>
        <w:jc w:val="left"/>
        <w:rPr>
          <w:i/>
          <w:sz w:val="16"/>
        </w:rPr>
      </w:pPr>
      <w:r>
        <w:rPr>
          <w:b/>
          <w:i/>
          <w:color w:val="0070C0"/>
          <w:sz w:val="16"/>
          <w:u w:val="single" w:color="0070C0"/>
        </w:rPr>
        <w:t>Supplemental guidance for terrestrial non-arthropod invertebrates: </w:t>
      </w:r>
      <w:r>
        <w:rPr>
          <w:b/>
          <w:i/>
          <w:color w:val="0070C0"/>
          <w:sz w:val="16"/>
        </w:rPr>
        <w:t>PMRA DIR 2001-02   </w:t>
      </w:r>
      <w:r>
        <w:rPr>
          <w:i/>
          <w:color w:val="0070C0"/>
          <w:sz w:val="16"/>
        </w:rPr>
        <w:t>No specific recommendations.</w:t>
      </w:r>
    </w:p>
    <w:p>
      <w:pPr>
        <w:spacing w:line="183" w:lineRule="exact" w:before="0"/>
        <w:ind w:left="860" w:right="0" w:firstLine="0"/>
        <w:jc w:val="left"/>
        <w:rPr>
          <w:i/>
          <w:sz w:val="16"/>
        </w:rPr>
      </w:pPr>
      <w:r>
        <w:rPr>
          <w:b/>
          <w:i/>
          <w:color w:val="0070C0"/>
          <w:sz w:val="16"/>
        </w:rPr>
        <w:t>Environment Canada EPS 1 RM/44  </w:t>
      </w:r>
      <w:r>
        <w:rPr>
          <w:i/>
          <w:color w:val="0070C0"/>
          <w:sz w:val="16"/>
        </w:rPr>
        <w:t>250–600 mg wet weight (choose worms as similar in wet weight as possible).</w:t>
      </w:r>
    </w:p>
    <w:p>
      <w:pPr>
        <w:spacing w:line="184" w:lineRule="exact" w:before="0"/>
        <w:ind w:left="859" w:right="0" w:firstLine="0"/>
        <w:jc w:val="left"/>
        <w:rPr>
          <w:i/>
          <w:sz w:val="16"/>
        </w:rPr>
      </w:pPr>
      <w:r>
        <w:rPr>
          <w:b/>
          <w:i/>
          <w:color w:val="0070C0"/>
          <w:sz w:val="16"/>
        </w:rPr>
        <w:t>OECD 207   </w:t>
      </w:r>
      <w:r>
        <w:rPr>
          <w:i/>
          <w:color w:val="0070C0"/>
          <w:sz w:val="16"/>
        </w:rPr>
        <w:t>300–600 mg.</w:t>
      </w:r>
    </w:p>
    <w:p>
      <w:pPr>
        <w:pStyle w:val="BodyText"/>
        <w:spacing w:before="1"/>
        <w:rPr>
          <w:i/>
          <w:sz w:val="22"/>
        </w:rPr>
      </w:pPr>
    </w:p>
    <w:p>
      <w:pPr>
        <w:tabs>
          <w:tab w:pos="3739" w:val="left" w:leader="none"/>
        </w:tabs>
        <w:spacing w:before="1"/>
        <w:ind w:left="860" w:right="0" w:firstLine="0"/>
        <w:jc w:val="left"/>
        <w:rPr>
          <w:i/>
          <w:sz w:val="22"/>
        </w:rPr>
      </w:pPr>
      <w:r>
        <w:rPr>
          <w:b/>
          <w:sz w:val="22"/>
        </w:rPr>
        <w:t>Date</w:t>
      </w:r>
      <w:r>
        <w:rPr>
          <w:b/>
          <w:spacing w:val="-3"/>
          <w:sz w:val="22"/>
        </w:rPr>
        <w:t> </w:t>
      </w:r>
      <w:r>
        <w:rPr>
          <w:b/>
          <w:sz w:val="22"/>
        </w:rPr>
        <w:t>of</w:t>
      </w:r>
      <w:r>
        <w:rPr>
          <w:b/>
          <w:spacing w:val="-2"/>
          <w:sz w:val="22"/>
        </w:rPr>
        <w:t> </w:t>
      </w:r>
      <w:r>
        <w:rPr>
          <w:b/>
          <w:sz w:val="22"/>
        </w:rPr>
        <w:t>collection:</w:t>
        <w:tab/>
      </w:r>
      <w:r>
        <w:rPr>
          <w:i/>
          <w:color w:val="FF0000"/>
          <w:sz w:val="22"/>
        </w:rPr>
        <w:t>[Insert if</w:t>
      </w:r>
      <w:r>
        <w:rPr>
          <w:i/>
          <w:color w:val="FF0000"/>
          <w:spacing w:val="-14"/>
          <w:sz w:val="22"/>
        </w:rPr>
        <w:t> </w:t>
      </w:r>
      <w:r>
        <w:rPr>
          <w:i/>
          <w:color w:val="FF0000"/>
          <w:sz w:val="22"/>
        </w:rPr>
        <w:t>applicable.]</w:t>
      </w:r>
    </w:p>
    <w:p>
      <w:pPr>
        <w:pStyle w:val="BodyText"/>
        <w:rPr>
          <w:i/>
          <w:sz w:val="22"/>
        </w:rPr>
      </w:pPr>
    </w:p>
    <w:p>
      <w:pPr>
        <w:pStyle w:val="Heading5"/>
        <w:tabs>
          <w:tab w:pos="3740" w:val="left" w:leader="none"/>
        </w:tabs>
        <w:rPr>
          <w:i/>
        </w:rPr>
      </w:pPr>
      <w:r>
        <w:rPr>
          <w:b/>
          <w:i w:val="0"/>
        </w:rPr>
        <w:t>Rationale:</w:t>
        <w:tab/>
      </w:r>
      <w:r>
        <w:rPr>
          <w:i/>
          <w:color w:val="FF0000"/>
        </w:rPr>
        <w:t>[Insert rationale for using this test organism, if</w:t>
      </w:r>
      <w:r>
        <w:rPr>
          <w:i/>
          <w:color w:val="FF0000"/>
          <w:spacing w:val="-32"/>
        </w:rPr>
        <w:t> </w:t>
      </w:r>
      <w:r>
        <w:rPr>
          <w:i/>
          <w:color w:val="FF0000"/>
        </w:rPr>
        <w:t>applicable.]</w:t>
      </w:r>
    </w:p>
    <w:p>
      <w:pPr>
        <w:pStyle w:val="BodyText"/>
        <w:spacing w:before="10"/>
        <w:rPr>
          <w:i/>
          <w:sz w:val="21"/>
        </w:rPr>
      </w:pPr>
    </w:p>
    <w:p>
      <w:pPr>
        <w:pStyle w:val="ListParagraph"/>
        <w:numPr>
          <w:ilvl w:val="0"/>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STUDY DESIGN AND</w:t>
      </w:r>
      <w:r>
        <w:rPr>
          <w:b/>
          <w:spacing w:val="-15"/>
          <w:sz w:val="22"/>
          <w:u w:val="thick"/>
        </w:rPr>
        <w:t> </w:t>
      </w:r>
      <w:r>
        <w:rPr>
          <w:b/>
          <w:sz w:val="22"/>
          <w:u w:val="thick"/>
        </w:rPr>
        <w:t>METHODS</w:t>
      </w:r>
      <w:r>
        <w:rPr>
          <w:b/>
          <w:sz w:val="22"/>
          <w:u w:val="none"/>
        </w:rPr>
        <w:t>:</w:t>
      </w:r>
    </w:p>
    <w:p>
      <w:pPr>
        <w:pStyle w:val="BodyText"/>
        <w:spacing w:before="1"/>
        <w:rPr>
          <w:b/>
          <w:i w:val="0"/>
          <w:sz w:val="14"/>
        </w:rPr>
      </w:pPr>
    </w:p>
    <w:p>
      <w:pPr>
        <w:spacing w:before="91"/>
        <w:ind w:left="860" w:right="0" w:firstLine="0"/>
        <w:jc w:val="left"/>
        <w:rPr>
          <w:i/>
          <w:sz w:val="22"/>
        </w:rPr>
      </w:pPr>
      <w:r>
        <w:rPr>
          <w:i/>
          <w:color w:val="FF0000"/>
          <w:sz w:val="22"/>
        </w:rPr>
        <w:t>[Briefly describe the experimental design.]</w:t>
      </w:r>
    </w:p>
    <w:p>
      <w:pPr>
        <w:pStyle w:val="BodyText"/>
        <w:spacing w:before="8"/>
        <w:rPr>
          <w:i/>
          <w:sz w:val="21"/>
        </w:rPr>
      </w:pPr>
    </w:p>
    <w:p>
      <w:pPr>
        <w:pStyle w:val="BodyText"/>
        <w:ind w:left="860"/>
      </w:pPr>
      <w:r>
        <w:rPr>
          <w:b/>
          <w:i/>
          <w:color w:val="0070C0"/>
        </w:rPr>
        <w:t>U.S. EPA OCSPP 885.4340 </w:t>
      </w:r>
      <w:r>
        <w:rPr>
          <w:i/>
          <w:color w:val="0070C0"/>
        </w:rPr>
        <w:t>Experimental design is highly dependent on the nature of the MPCA. Please see the guideline, and “Experimental </w:t>
      </w:r>
      <w:r>
        <w:rPr>
          <w:color w:val="0070C0"/>
        </w:rPr>
        <w:t>Methods and Conditions” below for details.</w:t>
      </w:r>
    </w:p>
    <w:p>
      <w:pPr>
        <w:pStyle w:val="BodyText"/>
        <w:ind w:left="860" w:right="124"/>
      </w:pPr>
      <w:r>
        <w:rPr>
          <w:b/>
          <w:i/>
          <w:color w:val="0070C0"/>
        </w:rPr>
        <w:t>PMRA DIR 2001-02 </w:t>
      </w:r>
      <w:r>
        <w:rPr>
          <w:i/>
          <w:color w:val="0070C0"/>
        </w:rPr>
        <w:t>Test arthropods should be exposed to the MPCA at the maximum challenge concentration (MCC) in a manner consistent </w:t>
      </w:r>
      <w:r>
        <w:rPr>
          <w:color w:val="0070C0"/>
        </w:rPr>
        <w:t>with the route of exposure, mode of action and greatest degree of susceptibility under natural environmental conditions, either topically, in the environment (e.g., mixed in the soil), in the diet, or as a combination of these routes of exposure. For topical exposure, the test organisms should be treated for 5 successive days and then observed for an additional 16 days. For environmental or dietary exposure, the non-target arthropod should be exposed to or fed the MPCA for at least 21 days, or until mortality in the control group increases to a significant level.</w:t>
      </w:r>
    </w:p>
    <w:p>
      <w:pPr>
        <w:pStyle w:val="BodyText"/>
        <w:spacing w:before="1"/>
        <w:ind w:left="860" w:right="213"/>
      </w:pPr>
      <w:r>
        <w:rPr>
          <w:b/>
          <w:i/>
          <w:color w:val="0070C0"/>
        </w:rPr>
        <w:t>Environment Canada EPS 1/RM/44 </w:t>
      </w:r>
      <w:r>
        <w:rPr>
          <w:i/>
          <w:color w:val="0070C0"/>
        </w:rPr>
        <w:t>Collembolan springtails are exposed to the MPCA in the soil for 28 days, in a single-concentration test to </w:t>
      </w:r>
      <w:r>
        <w:rPr>
          <w:color w:val="0070C0"/>
        </w:rPr>
        <w:t>the maximum hazard concentration (MHC) in soil, or in a multi-concentration test to a range of at least 7 concentrations in soil, including the MHC.</w:t>
      </w:r>
    </w:p>
    <w:p>
      <w:pPr>
        <w:pStyle w:val="Heading7"/>
        <w:spacing w:line="240" w:lineRule="auto"/>
        <w:ind w:left="1579"/>
        <w:rPr>
          <w:i/>
        </w:rPr>
      </w:pPr>
      <w:r>
        <w:rPr>
          <w:i/>
          <w:color w:val="0070C0"/>
          <w:u w:val="single" w:color="0070C0"/>
        </w:rPr>
        <w:t>Supplemental guidance for terrestrial non-arthropod invertebrates:</w:t>
      </w:r>
    </w:p>
    <w:p>
      <w:pPr>
        <w:spacing w:after="0" w:line="240" w:lineRule="auto"/>
        <w:sectPr>
          <w:headerReference w:type="default" r:id="rId8"/>
          <w:pgSz w:w="12240" w:h="15840"/>
          <w:pgMar w:header="729" w:footer="796" w:top="1880" w:bottom="980" w:left="940" w:right="940"/>
        </w:sectPr>
      </w:pPr>
    </w:p>
    <w:p>
      <w:pPr>
        <w:spacing w:before="134"/>
        <w:ind w:left="859" w:right="0" w:firstLine="0"/>
        <w:jc w:val="both"/>
        <w:rPr>
          <w:i/>
          <w:sz w:val="16"/>
        </w:rPr>
      </w:pPr>
      <w:r>
        <w:rPr>
          <w:b/>
          <w:i/>
          <w:color w:val="0070C0"/>
          <w:sz w:val="16"/>
        </w:rPr>
        <w:t>PMRA DIR 2001-02   </w:t>
      </w:r>
      <w:r>
        <w:rPr>
          <w:i/>
          <w:color w:val="0070C0"/>
          <w:sz w:val="16"/>
        </w:rPr>
        <w:t>No specific recommendations.</w:t>
      </w:r>
    </w:p>
    <w:p>
      <w:pPr>
        <w:spacing w:line="184" w:lineRule="exact" w:before="1"/>
        <w:ind w:left="859" w:right="0" w:firstLine="0"/>
        <w:jc w:val="both"/>
        <w:rPr>
          <w:i/>
          <w:sz w:val="16"/>
        </w:rPr>
      </w:pPr>
      <w:r>
        <w:rPr>
          <w:b/>
          <w:i/>
          <w:color w:val="0070C0"/>
          <w:sz w:val="16"/>
        </w:rPr>
        <w:t>Environment Canada EPS 1/RM/43   </w:t>
      </w:r>
      <w:r>
        <w:rPr>
          <w:i/>
          <w:color w:val="0070C0"/>
          <w:sz w:val="16"/>
        </w:rPr>
        <w:t>Three experimental protocols are described:</w:t>
      </w:r>
    </w:p>
    <w:p>
      <w:pPr>
        <w:pStyle w:val="BodyText"/>
        <w:ind w:left="859" w:right="340" w:firstLine="719"/>
      </w:pPr>
      <w:r>
        <w:rPr>
          <w:i/>
          <w:color w:val="0070C0"/>
        </w:rPr>
        <w:t>–14-day lethality test: worms introduced into test chambers filled with a range of concentrations of the test substance mixed in soil, </w:t>
      </w:r>
      <w:r>
        <w:rPr>
          <w:color w:val="0070C0"/>
        </w:rPr>
        <w:t>mortality and number of worms on the soil surface assessed on Days 0, 7 and 14, LC</w:t>
      </w:r>
      <w:r>
        <w:rPr>
          <w:color w:val="0070C0"/>
          <w:position w:val="-1"/>
          <w:sz w:val="10"/>
        </w:rPr>
        <w:t>50 </w:t>
      </w:r>
      <w:r>
        <w:rPr>
          <w:color w:val="0070C0"/>
        </w:rPr>
        <w:t>calculated for Days 7 and 14;</w:t>
      </w:r>
    </w:p>
    <w:p>
      <w:pPr>
        <w:pStyle w:val="BodyText"/>
        <w:ind w:left="859" w:right="168" w:firstLine="719"/>
      </w:pPr>
      <w:r>
        <w:rPr>
          <w:i/>
          <w:color w:val="0070C0"/>
        </w:rPr>
        <w:t>–Sublethal avoidance test: conducted in a circular container with 6 pie-shaped interconnecting compartments alternately filled with a </w:t>
      </w:r>
      <w:r>
        <w:rPr>
          <w:color w:val="0070C0"/>
        </w:rPr>
        <w:t>single concentration test soil or control soil; worms are introduced into a seventh, central, circular compartment that is not filled with soil. The compartment into which each worm migrates from the central compartment is recorded at study initiation. At 48 or 72 hours, the number of live/dead worms in each compartment is counted to calculate an EC</w:t>
      </w:r>
      <w:r>
        <w:rPr>
          <w:color w:val="0070C0"/>
          <w:position w:val="-1"/>
          <w:sz w:val="10"/>
        </w:rPr>
        <w:t>50 </w:t>
      </w:r>
      <w:r>
        <w:rPr>
          <w:color w:val="0070C0"/>
        </w:rPr>
        <w:t>for avoidance.</w:t>
      </w:r>
    </w:p>
    <w:p>
      <w:pPr>
        <w:pStyle w:val="BodyText"/>
        <w:ind w:left="859" w:right="306" w:firstLine="719"/>
      </w:pPr>
      <w:r>
        <w:rPr>
          <w:i/>
          <w:color w:val="0070C0"/>
        </w:rPr>
        <w:t>–Prolonged exposure test: worms are introduced into test chambers filled with soil, in which a range of concentrations of the test </w:t>
      </w:r>
      <w:r>
        <w:rPr>
          <w:color w:val="0070C0"/>
        </w:rPr>
        <w:t>substance has been mixed. After 28 days exposure, adults are removed from soil, and mortality and growth effects recorded. Effects on reproduction are assessed after 56 days by counting the number of offspring present in the soil. The reproductive output is compared between treated and control worms to determine the NOEC and/or EC</w:t>
      </w:r>
      <w:r>
        <w:rPr>
          <w:color w:val="0070C0"/>
          <w:position w:val="-1"/>
          <w:sz w:val="10"/>
        </w:rPr>
        <w:t>50</w:t>
      </w:r>
      <w:r>
        <w:rPr>
          <w:color w:val="0070C0"/>
        </w:rPr>
        <w:t>.</w:t>
      </w:r>
    </w:p>
    <w:p>
      <w:pPr>
        <w:pStyle w:val="BodyText"/>
        <w:ind w:left="860" w:right="207"/>
        <w:jc w:val="both"/>
      </w:pPr>
      <w:r>
        <w:rPr>
          <w:b/>
          <w:i/>
          <w:color w:val="0070C0"/>
        </w:rPr>
        <w:t>OECD 207 </w:t>
      </w:r>
      <w:r>
        <w:rPr>
          <w:i/>
          <w:color w:val="0070C0"/>
        </w:rPr>
        <w:t>In an optional preliminary screening test, earthworms are exposed in glass vials to a test substance on moist filter paper, to identify </w:t>
      </w:r>
      <w:r>
        <w:rPr>
          <w:color w:val="0070C0"/>
        </w:rPr>
        <w:t>chemicals that are potentially toxic and will require more detailed testing in artificial soil. In the artificial soil test, the test substance is applied at a range of concentrations to aliquots of artificial soil in which earthworms are kept. Mortality is assessed 7 and 14 days after application.</w:t>
      </w:r>
    </w:p>
    <w:p>
      <w:pPr>
        <w:pStyle w:val="BodyText"/>
        <w:rPr>
          <w:i/>
          <w:sz w:val="18"/>
        </w:rPr>
      </w:pPr>
    </w:p>
    <w:p>
      <w:pPr>
        <w:pStyle w:val="BodyText"/>
        <w:spacing w:before="9"/>
        <w:rPr>
          <w:i/>
          <w:sz w:val="20"/>
        </w:rPr>
      </w:pPr>
    </w:p>
    <w:p>
      <w:pPr>
        <w:pStyle w:val="Heading2"/>
        <w:numPr>
          <w:ilvl w:val="1"/>
          <w:numId w:val="2"/>
        </w:numPr>
        <w:tabs>
          <w:tab w:pos="859" w:val="left" w:leader="none"/>
          <w:tab w:pos="861" w:val="left" w:leader="none"/>
        </w:tabs>
        <w:spacing w:line="240" w:lineRule="auto" w:before="0" w:after="0"/>
        <w:ind w:left="860" w:right="0" w:hanging="720"/>
        <w:jc w:val="left"/>
      </w:pPr>
      <w:r>
        <w:rPr>
          <w:u w:val="thick"/>
        </w:rPr>
        <w:t>Experimental Methods and</w:t>
      </w:r>
      <w:r>
        <w:rPr>
          <w:spacing w:val="-14"/>
          <w:u w:val="thick"/>
        </w:rPr>
        <w:t> </w:t>
      </w:r>
      <w:r>
        <w:rPr>
          <w:u w:val="thick"/>
        </w:rPr>
        <w:t>Conditions</w:t>
      </w:r>
      <w:r>
        <w:rPr/>
        <w:t>:</w:t>
      </w:r>
    </w:p>
    <w:p>
      <w:pPr>
        <w:pStyle w:val="BodyText"/>
        <w:spacing w:before="1"/>
        <w:rPr>
          <w:b/>
          <w:i w:val="0"/>
          <w:sz w:val="14"/>
        </w:rPr>
      </w:pPr>
    </w:p>
    <w:p>
      <w:pPr>
        <w:spacing w:before="90"/>
        <w:ind w:left="860" w:right="0" w:firstLine="0"/>
        <w:jc w:val="left"/>
        <w:rPr>
          <w:b/>
          <w:sz w:val="22"/>
        </w:rPr>
      </w:pPr>
      <w:r>
        <w:rPr>
          <w:b/>
          <w:sz w:val="22"/>
        </w:rPr>
        <w:t>Acclimation:</w:t>
      </w:r>
    </w:p>
    <w:p>
      <w:pPr>
        <w:pStyle w:val="BodyText"/>
        <w:spacing w:before="8"/>
        <w:rPr>
          <w:b/>
          <w:i w:val="0"/>
          <w:sz w:val="21"/>
        </w:rPr>
      </w:pPr>
    </w:p>
    <w:p>
      <w:pPr>
        <w:pStyle w:val="Heading4"/>
        <w:ind w:right="8314" w:hanging="1"/>
      </w:pPr>
      <w:r>
        <w:rPr/>
        <w:t>Duration:</w:t>
      </w:r>
    </w:p>
    <w:p>
      <w:pPr>
        <w:spacing w:before="0"/>
        <w:ind w:left="860" w:right="8314" w:firstLine="0"/>
        <w:jc w:val="left"/>
        <w:rPr>
          <w:sz w:val="22"/>
        </w:rPr>
      </w:pPr>
      <w:r>
        <w:rPr>
          <w:sz w:val="22"/>
        </w:rPr>
        <w:t>Feeding:</w:t>
      </w:r>
    </w:p>
    <w:p>
      <w:pPr>
        <w:spacing w:before="0"/>
        <w:ind w:left="860" w:right="8314" w:firstLine="0"/>
        <w:jc w:val="left"/>
        <w:rPr>
          <w:sz w:val="22"/>
        </w:rPr>
      </w:pPr>
      <w:r>
        <w:rPr>
          <w:sz w:val="22"/>
        </w:rPr>
        <w:t>Water:</w:t>
      </w:r>
    </w:p>
    <w:p>
      <w:pPr>
        <w:spacing w:before="0"/>
        <w:ind w:left="860" w:right="8314" w:firstLine="0"/>
        <w:jc w:val="left"/>
        <w:rPr>
          <w:sz w:val="22"/>
        </w:rPr>
      </w:pPr>
      <w:r>
        <w:rPr>
          <w:w w:val="95"/>
          <w:sz w:val="22"/>
        </w:rPr>
        <w:t>Temperature:</w:t>
      </w:r>
    </w:p>
    <w:p>
      <w:pPr>
        <w:spacing w:before="0"/>
        <w:ind w:left="860" w:right="0" w:firstLine="0"/>
        <w:jc w:val="left"/>
        <w:rPr>
          <w:sz w:val="22"/>
        </w:rPr>
      </w:pPr>
      <w:r>
        <w:rPr>
          <w:sz w:val="22"/>
        </w:rPr>
        <w:t>Relative humidity:</w:t>
      </w:r>
    </w:p>
    <w:p>
      <w:pPr>
        <w:pStyle w:val="BodyText"/>
        <w:spacing w:before="11"/>
        <w:rPr>
          <w:i w:val="0"/>
          <w:sz w:val="21"/>
        </w:rPr>
      </w:pPr>
    </w:p>
    <w:p>
      <w:pPr>
        <w:pStyle w:val="Heading5"/>
        <w:rPr>
          <w:i/>
        </w:rPr>
      </w:pPr>
      <w:r>
        <w:rPr>
          <w:i/>
          <w:color w:val="FF0000"/>
        </w:rPr>
        <w:t>[Insert acclimation conditions. Were they the same as those reported during testing?]</w:t>
      </w:r>
    </w:p>
    <w:p>
      <w:pPr>
        <w:pStyle w:val="BodyText"/>
        <w:spacing w:before="9"/>
        <w:rPr>
          <w:i/>
          <w:sz w:val="21"/>
        </w:rPr>
      </w:pPr>
    </w:p>
    <w:p>
      <w:pPr>
        <w:spacing w:line="184" w:lineRule="exact" w:before="0"/>
        <w:ind w:left="860" w:right="0" w:firstLine="0"/>
        <w:jc w:val="left"/>
        <w:rPr>
          <w:i/>
          <w:sz w:val="16"/>
        </w:rPr>
      </w:pPr>
      <w:r>
        <w:rPr>
          <w:b/>
          <w:i/>
          <w:color w:val="0070C0"/>
          <w:sz w:val="16"/>
        </w:rPr>
        <w:t>U.S. EPA OCSPP 885.4340   </w:t>
      </w:r>
      <w:r>
        <w:rPr>
          <w:i/>
          <w:color w:val="0070C0"/>
          <w:sz w:val="16"/>
        </w:rPr>
        <w:t>No specific recommendations.</w:t>
      </w:r>
    </w:p>
    <w:p>
      <w:pPr>
        <w:spacing w:before="0"/>
        <w:ind w:left="859" w:right="0" w:firstLine="0"/>
        <w:jc w:val="left"/>
        <w:rPr>
          <w:i/>
          <w:sz w:val="16"/>
        </w:rPr>
      </w:pPr>
      <w:r>
        <w:rPr>
          <w:b/>
          <w:i/>
          <w:color w:val="0070C0"/>
          <w:sz w:val="16"/>
        </w:rPr>
        <w:t>PMRA DIR 2001-02   </w:t>
      </w:r>
      <w:r>
        <w:rPr>
          <w:i/>
          <w:color w:val="0070C0"/>
          <w:sz w:val="16"/>
        </w:rPr>
        <w:t>No specific recommendations.</w:t>
      </w:r>
    </w:p>
    <w:p>
      <w:pPr>
        <w:spacing w:line="184" w:lineRule="exact" w:before="1"/>
        <w:ind w:left="859" w:right="0" w:firstLine="0"/>
        <w:jc w:val="left"/>
        <w:rPr>
          <w:i/>
          <w:sz w:val="16"/>
        </w:rPr>
      </w:pPr>
      <w:r>
        <w:rPr>
          <w:b/>
          <w:i/>
          <w:color w:val="0070C0"/>
          <w:sz w:val="16"/>
        </w:rPr>
        <w:t>Environment Canada EPS 1/RM/44   </w:t>
      </w:r>
      <w:r>
        <w:rPr>
          <w:i/>
          <w:color w:val="0070C0"/>
          <w:sz w:val="16"/>
        </w:rPr>
        <w:t>No specific recommendations.</w:t>
      </w:r>
    </w:p>
    <w:p>
      <w:pPr>
        <w:spacing w:line="184" w:lineRule="exact" w:before="0"/>
        <w:ind w:left="859" w:right="0" w:firstLine="0"/>
        <w:jc w:val="left"/>
        <w:rPr>
          <w:i/>
          <w:sz w:val="16"/>
        </w:rPr>
      </w:pPr>
      <w:r>
        <w:rPr>
          <w:b/>
          <w:i/>
          <w:color w:val="0070C0"/>
          <w:sz w:val="16"/>
        </w:rPr>
        <w:t>OECD 207   </w:t>
      </w:r>
      <w:r>
        <w:rPr>
          <w:i/>
          <w:color w:val="0070C0"/>
          <w:sz w:val="16"/>
        </w:rPr>
        <w:t>No specific recommendations.</w:t>
      </w:r>
    </w:p>
    <w:p>
      <w:pPr>
        <w:pStyle w:val="BodyText"/>
        <w:rPr>
          <w:i/>
          <w:sz w:val="18"/>
        </w:rPr>
      </w:pPr>
    </w:p>
    <w:p>
      <w:pPr>
        <w:pStyle w:val="BodyText"/>
        <w:spacing w:before="2"/>
        <w:rPr>
          <w:i/>
          <w:sz w:val="26"/>
        </w:rPr>
      </w:pPr>
    </w:p>
    <w:p>
      <w:pPr>
        <w:pStyle w:val="Heading2"/>
        <w:spacing w:before="1"/>
      </w:pPr>
      <w:r>
        <w:rPr/>
        <w:t>Test chamber - description and size:</w:t>
      </w:r>
    </w:p>
    <w:p>
      <w:pPr>
        <w:pStyle w:val="BodyText"/>
        <w:rPr>
          <w:b/>
          <w:i w:val="0"/>
          <w:sz w:val="22"/>
        </w:rPr>
      </w:pPr>
    </w:p>
    <w:p>
      <w:pPr>
        <w:pStyle w:val="Heading5"/>
        <w:rPr>
          <w:i/>
        </w:rPr>
      </w:pPr>
      <w:r>
        <w:rPr>
          <w:i/>
          <w:color w:val="FF0000"/>
        </w:rPr>
        <w:t>[Insert details of cage size and construction]</w:t>
      </w:r>
    </w:p>
    <w:p>
      <w:pPr>
        <w:pStyle w:val="BodyText"/>
        <w:spacing w:before="7"/>
        <w:rPr>
          <w:i/>
          <w:sz w:val="21"/>
        </w:rPr>
      </w:pPr>
    </w:p>
    <w:p>
      <w:pPr>
        <w:spacing w:line="184" w:lineRule="exact" w:before="0"/>
        <w:ind w:left="860" w:right="0" w:firstLine="0"/>
        <w:jc w:val="left"/>
        <w:rPr>
          <w:i/>
          <w:sz w:val="16"/>
        </w:rPr>
      </w:pPr>
      <w:r>
        <w:rPr>
          <w:b/>
          <w:i/>
          <w:color w:val="0070C0"/>
          <w:sz w:val="16"/>
        </w:rPr>
        <w:t>U.S. EPA OCSPP 885.4340   </w:t>
      </w:r>
      <w:r>
        <w:rPr>
          <w:i/>
          <w:color w:val="0070C0"/>
          <w:sz w:val="16"/>
        </w:rPr>
        <w:t>No specific recommendations.</w:t>
      </w:r>
    </w:p>
    <w:p>
      <w:pPr>
        <w:spacing w:before="0"/>
        <w:ind w:left="860" w:right="0" w:firstLine="0"/>
        <w:jc w:val="left"/>
        <w:rPr>
          <w:i/>
          <w:sz w:val="16"/>
        </w:rPr>
      </w:pPr>
      <w:r>
        <w:rPr>
          <w:b/>
          <w:i/>
          <w:color w:val="0070C0"/>
          <w:sz w:val="16"/>
        </w:rPr>
        <w:t>PMRA DIR 2001-02   </w:t>
      </w:r>
      <w:r>
        <w:rPr>
          <w:i/>
          <w:color w:val="0070C0"/>
          <w:sz w:val="16"/>
        </w:rPr>
        <w:t>No specific recommendations.</w:t>
      </w:r>
    </w:p>
    <w:p>
      <w:pPr>
        <w:spacing w:before="1"/>
        <w:ind w:left="860" w:right="0" w:firstLine="0"/>
        <w:jc w:val="left"/>
        <w:rPr>
          <w:i/>
          <w:sz w:val="16"/>
        </w:rPr>
      </w:pPr>
      <w:r>
        <w:rPr>
          <w:b/>
          <w:i/>
          <w:color w:val="0070C0"/>
          <w:sz w:val="16"/>
        </w:rPr>
        <w:t>Environment Canada EPS 1/RM/44  </w:t>
      </w:r>
      <w:r>
        <w:rPr>
          <w:i/>
          <w:color w:val="0070C0"/>
          <w:sz w:val="16"/>
        </w:rPr>
        <w:t>Glass beaker or jar, 100-mL capacity, diameter ~5 cm, covered with a suitable lid.</w:t>
      </w:r>
    </w:p>
    <w:p>
      <w:pPr>
        <w:pStyle w:val="Heading7"/>
        <w:spacing w:before="2"/>
        <w:ind w:left="1579"/>
        <w:rPr>
          <w:i/>
        </w:rPr>
      </w:pPr>
      <w:r>
        <w:rPr>
          <w:i/>
          <w:color w:val="0070C0"/>
          <w:u w:val="single" w:color="0070C0"/>
        </w:rPr>
        <w:t>Supplemental guidance for terrestrial non-arthropod invertebrates:</w:t>
      </w:r>
    </w:p>
    <w:p>
      <w:pPr>
        <w:pStyle w:val="BodyText"/>
        <w:ind w:left="859" w:right="424"/>
      </w:pPr>
      <w:r>
        <w:rPr>
          <w:b/>
          <w:i/>
          <w:color w:val="0070C0"/>
        </w:rPr>
        <w:t>Environment Canada EPS 1/RM/44 </w:t>
      </w:r>
      <w:r>
        <w:rPr>
          <w:i/>
          <w:color w:val="0070C0"/>
        </w:rPr>
        <w:t>500 mL glass jar; perforated aluminum foil secured with a screw-top ring recommended as cover. </w:t>
      </w:r>
      <w:r>
        <w:rPr>
          <w:b/>
          <w:i/>
          <w:color w:val="0070C0"/>
        </w:rPr>
        <w:t>OECD 207 </w:t>
      </w:r>
      <w:r>
        <w:rPr>
          <w:i/>
          <w:color w:val="0070C0"/>
        </w:rPr>
        <w:t>Glass containers: for filter-paper test, flat bottomed glass vials (8 cm long × 3 cm diameter); for artificial soil test, crystallizing </w:t>
      </w:r>
      <w:r>
        <w:rPr>
          <w:color w:val="0070C0"/>
        </w:rPr>
        <w:t>dishes or spoutless beakers ~1 L, covered with glass lids or perforated plastic film.</w:t>
      </w:r>
    </w:p>
    <w:p>
      <w:pPr>
        <w:pStyle w:val="BodyText"/>
        <w:rPr>
          <w:i/>
          <w:sz w:val="18"/>
        </w:rPr>
      </w:pPr>
    </w:p>
    <w:p>
      <w:pPr>
        <w:pStyle w:val="BodyText"/>
        <w:spacing w:before="6"/>
        <w:rPr>
          <w:i/>
          <w:sz w:val="20"/>
        </w:rPr>
      </w:pPr>
    </w:p>
    <w:p>
      <w:pPr>
        <w:spacing w:line="480" w:lineRule="auto" w:before="0"/>
        <w:ind w:left="860" w:right="5325" w:firstLine="0"/>
        <w:jc w:val="left"/>
        <w:rPr>
          <w:i/>
          <w:sz w:val="22"/>
        </w:rPr>
      </w:pPr>
      <w:r>
        <w:rPr>
          <w:b/>
          <w:sz w:val="22"/>
        </w:rPr>
        <w:t>Amount of soil per test chamber: </w:t>
      </w:r>
      <w:r>
        <w:rPr>
          <w:i/>
          <w:color w:val="FF0000"/>
          <w:sz w:val="22"/>
        </w:rPr>
        <w:t>[If used] </w:t>
      </w:r>
      <w:r>
        <w:rPr>
          <w:i/>
          <w:color w:val="FF0000"/>
          <w:sz w:val="22"/>
        </w:rPr>
        <w:t>[Give the mass or volume of soil.]</w:t>
      </w:r>
    </w:p>
    <w:p>
      <w:pPr>
        <w:spacing w:before="7"/>
        <w:ind w:left="859" w:right="5325" w:firstLine="0"/>
        <w:jc w:val="left"/>
        <w:rPr>
          <w:i/>
          <w:sz w:val="16"/>
        </w:rPr>
      </w:pPr>
      <w:r>
        <w:rPr>
          <w:b/>
          <w:i/>
          <w:color w:val="0070C0"/>
          <w:sz w:val="16"/>
        </w:rPr>
        <w:t>U.S. EPA OCSPP 885.4340 </w:t>
      </w:r>
      <w:r>
        <w:rPr>
          <w:i/>
          <w:color w:val="0070C0"/>
          <w:sz w:val="16"/>
        </w:rPr>
        <w:t>No specific recommendations. </w:t>
      </w:r>
      <w:r>
        <w:rPr>
          <w:b/>
          <w:i/>
          <w:color w:val="0070C0"/>
          <w:sz w:val="16"/>
        </w:rPr>
        <w:t>PMRA DIR 2001-02 </w:t>
      </w:r>
      <w:r>
        <w:rPr>
          <w:i/>
          <w:color w:val="0070C0"/>
          <w:sz w:val="16"/>
        </w:rPr>
        <w:t>No specific recommendations. </w:t>
      </w:r>
      <w:r>
        <w:rPr>
          <w:b/>
          <w:i/>
          <w:color w:val="0070C0"/>
          <w:sz w:val="16"/>
        </w:rPr>
        <w:t>Environment Canada EPS 1/RM/44   </w:t>
      </w:r>
      <w:r>
        <w:rPr>
          <w:i/>
          <w:color w:val="0070C0"/>
          <w:sz w:val="16"/>
        </w:rPr>
        <w:t>30 g (wet weight).</w:t>
      </w:r>
    </w:p>
    <w:p>
      <w:pPr>
        <w:pStyle w:val="Heading7"/>
        <w:ind w:left="1579"/>
        <w:rPr>
          <w:i/>
        </w:rPr>
      </w:pPr>
      <w:r>
        <w:rPr>
          <w:i/>
          <w:color w:val="0070C0"/>
          <w:u w:val="single" w:color="0070C0"/>
        </w:rPr>
        <w:t>Supplemental guidance for terrestrial non-arthropod invertebrates:</w:t>
      </w:r>
    </w:p>
    <w:p>
      <w:pPr>
        <w:spacing w:line="182" w:lineRule="exact" w:before="0"/>
        <w:ind w:left="860" w:right="0" w:firstLine="0"/>
        <w:jc w:val="left"/>
        <w:rPr>
          <w:i/>
          <w:sz w:val="16"/>
        </w:rPr>
      </w:pPr>
      <w:r>
        <w:rPr>
          <w:b/>
          <w:i/>
          <w:color w:val="0070C0"/>
          <w:sz w:val="16"/>
        </w:rPr>
        <w:t>Environment Canada EPS 1/RM/44 </w:t>
      </w:r>
      <w:r>
        <w:rPr>
          <w:i/>
          <w:color w:val="0070C0"/>
          <w:sz w:val="16"/>
        </w:rPr>
        <w:t>Identical wet weight, equivalent to a volume of ~350 mL (~200 g dry weight, if artificial soil).</w:t>
      </w:r>
    </w:p>
    <w:p>
      <w:pPr>
        <w:pStyle w:val="BodyText"/>
        <w:spacing w:line="184" w:lineRule="exact"/>
        <w:ind w:left="859"/>
        <w:rPr>
          <w:i/>
        </w:rPr>
      </w:pPr>
      <w:r>
        <w:rPr>
          <w:b/>
          <w:i/>
          <w:color w:val="0070C0"/>
        </w:rPr>
        <w:t>OECD 207   </w:t>
      </w:r>
      <w:r>
        <w:rPr>
          <w:i/>
          <w:color w:val="0070C0"/>
        </w:rPr>
        <w:t>None for filter paper test, 750 g of soil for artificial soil test.</w:t>
      </w:r>
    </w:p>
    <w:p>
      <w:pPr>
        <w:spacing w:after="0" w:line="184" w:lineRule="exact"/>
        <w:sectPr>
          <w:pgSz w:w="12240" w:h="15840"/>
          <w:pgMar w:header="729" w:footer="796" w:top="1880" w:bottom="980" w:left="940" w:right="940"/>
        </w:sectPr>
      </w:pPr>
    </w:p>
    <w:p>
      <w:pPr>
        <w:spacing w:before="136"/>
        <w:ind w:left="860" w:right="0" w:firstLine="0"/>
        <w:jc w:val="left"/>
        <w:rPr>
          <w:i/>
          <w:sz w:val="22"/>
        </w:rPr>
      </w:pPr>
      <w:r>
        <w:rPr>
          <w:b/>
          <w:sz w:val="22"/>
        </w:rPr>
        <w:t>Soil parameters: </w:t>
      </w:r>
      <w:r>
        <w:rPr>
          <w:i/>
          <w:color w:val="FF0000"/>
          <w:sz w:val="22"/>
        </w:rPr>
        <w:t>[If used]</w:t>
      </w:r>
    </w:p>
    <w:p>
      <w:pPr>
        <w:pStyle w:val="BodyText"/>
        <w:spacing w:before="11"/>
        <w:rPr>
          <w:i/>
          <w:sz w:val="21"/>
        </w:rPr>
      </w:pPr>
    </w:p>
    <w:p>
      <w:pPr>
        <w:pStyle w:val="Heading5"/>
        <w:rPr>
          <w:i/>
        </w:rPr>
      </w:pPr>
      <w:r>
        <w:rPr>
          <w:i/>
          <w:color w:val="FF0000"/>
        </w:rPr>
        <w:t>[Indicate whether the test soil is natural or artificial (give soil constituents), and describe it.]</w:t>
      </w:r>
    </w:p>
    <w:p>
      <w:pPr>
        <w:pStyle w:val="BodyText"/>
        <w:spacing w:before="10"/>
        <w:rPr>
          <w:i/>
          <w:sz w:val="21"/>
        </w:rPr>
      </w:pPr>
    </w:p>
    <w:p>
      <w:pPr>
        <w:spacing w:line="253" w:lineRule="exact" w:before="0"/>
        <w:ind w:left="860" w:right="0" w:firstLine="0"/>
        <w:jc w:val="left"/>
        <w:rPr>
          <w:sz w:val="22"/>
        </w:rPr>
      </w:pPr>
      <w:r>
        <w:rPr>
          <w:sz w:val="22"/>
        </w:rPr>
        <w:t>Moisture content:</w:t>
      </w:r>
    </w:p>
    <w:p>
      <w:pPr>
        <w:spacing w:before="0"/>
        <w:ind w:left="860" w:right="6652" w:hanging="1"/>
        <w:jc w:val="left"/>
        <w:rPr>
          <w:sz w:val="22"/>
        </w:rPr>
      </w:pPr>
      <w:r>
        <w:rPr>
          <w:sz w:val="22"/>
        </w:rPr>
        <w:t>Water holding capacity (WHC): pH:</w:t>
      </w:r>
    </w:p>
    <w:p>
      <w:pPr>
        <w:spacing w:before="1"/>
        <w:ind w:left="860" w:right="8283" w:firstLine="0"/>
        <w:jc w:val="left"/>
        <w:rPr>
          <w:sz w:val="22"/>
        </w:rPr>
      </w:pPr>
      <w:r>
        <w:rPr>
          <w:sz w:val="22"/>
        </w:rPr>
        <w:t>Conductivity:</w:t>
      </w:r>
    </w:p>
    <w:p>
      <w:pPr>
        <w:spacing w:before="0"/>
        <w:ind w:left="860" w:right="8283" w:firstLine="0"/>
        <w:jc w:val="left"/>
        <w:rPr>
          <w:sz w:val="22"/>
        </w:rPr>
      </w:pPr>
      <w:r>
        <w:rPr>
          <w:sz w:val="22"/>
        </w:rPr>
        <w:t>Percent TOC:</w:t>
      </w:r>
    </w:p>
    <w:p>
      <w:pPr>
        <w:spacing w:before="0"/>
        <w:ind w:left="860" w:right="6734" w:firstLine="0"/>
        <w:jc w:val="left"/>
        <w:rPr>
          <w:sz w:val="22"/>
        </w:rPr>
      </w:pPr>
      <w:r>
        <w:rPr>
          <w:sz w:val="22"/>
        </w:rPr>
        <w:t>Percent organic matter: Particle sizes</w:t>
      </w:r>
      <w:r>
        <w:rPr>
          <w:spacing w:val="-13"/>
          <w:sz w:val="22"/>
        </w:rPr>
        <w:t> </w:t>
      </w:r>
      <w:r>
        <w:rPr>
          <w:sz w:val="22"/>
        </w:rPr>
        <w:t>(%sand/silt/clay):</w:t>
      </w:r>
    </w:p>
    <w:p>
      <w:pPr>
        <w:pStyle w:val="BodyText"/>
        <w:spacing w:before="9"/>
        <w:rPr>
          <w:i w:val="0"/>
          <w:sz w:val="21"/>
        </w:rPr>
      </w:pPr>
    </w:p>
    <w:p>
      <w:pPr>
        <w:spacing w:line="184" w:lineRule="exact" w:before="1"/>
        <w:ind w:left="859" w:right="0" w:firstLine="0"/>
        <w:jc w:val="left"/>
        <w:rPr>
          <w:i/>
          <w:sz w:val="16"/>
        </w:rPr>
      </w:pPr>
      <w:r>
        <w:rPr>
          <w:b/>
          <w:i/>
          <w:color w:val="0070C0"/>
          <w:sz w:val="16"/>
        </w:rPr>
        <w:t>U.S. EPA OCSPP 885.4340   </w:t>
      </w:r>
      <w:r>
        <w:rPr>
          <w:i/>
          <w:color w:val="0070C0"/>
          <w:sz w:val="16"/>
        </w:rPr>
        <w:t>No specific recommendations.</w:t>
      </w:r>
    </w:p>
    <w:p>
      <w:pPr>
        <w:spacing w:before="0"/>
        <w:ind w:left="859" w:right="0" w:firstLine="0"/>
        <w:jc w:val="left"/>
        <w:rPr>
          <w:i/>
          <w:sz w:val="16"/>
        </w:rPr>
      </w:pPr>
      <w:r>
        <w:rPr>
          <w:b/>
          <w:i/>
          <w:color w:val="0070C0"/>
          <w:sz w:val="16"/>
        </w:rPr>
        <w:t>PMRA DIR 2001-02   </w:t>
      </w:r>
      <w:r>
        <w:rPr>
          <w:i/>
          <w:color w:val="0070C0"/>
          <w:sz w:val="16"/>
        </w:rPr>
        <w:t>No specific recommendations.</w:t>
      </w:r>
    </w:p>
    <w:p>
      <w:pPr>
        <w:pStyle w:val="BodyText"/>
        <w:spacing w:before="1"/>
        <w:ind w:left="859" w:right="229"/>
      </w:pPr>
      <w:r>
        <w:rPr>
          <w:b/>
          <w:i/>
          <w:color w:val="0070C0"/>
        </w:rPr>
        <w:t>Environment Canada EPS 1/RM/44 </w:t>
      </w:r>
      <w:r>
        <w:rPr>
          <w:i/>
          <w:color w:val="0070C0"/>
        </w:rPr>
        <w:t>Natural (uncontaminated) or artificial (laboratory formulated) soil. If field collected, hydrate if and as </w:t>
      </w:r>
      <w:r>
        <w:rPr>
          <w:color w:val="0070C0"/>
        </w:rPr>
        <w:t>necessary until a homogeneous crumbly texture is achieved. If artificial soil, hydrate to ~70% of water-holding capacity.  The soil must enable the negative control groups included in the test to meet the validity criteria and must not cause any discernible adverse effects to test organisms. The testing facility should know the basic physicochemical characteristics of the soil (e.g., particle size distribution, percent water content, percent organic carbon, pH, metals, pesticides, petroleum hydrocarbons). The use of sterile soil is not recommended.</w:t>
      </w:r>
    </w:p>
    <w:p>
      <w:pPr>
        <w:pStyle w:val="Heading7"/>
        <w:spacing w:line="183" w:lineRule="exact" w:before="3"/>
        <w:ind w:left="1580"/>
        <w:rPr>
          <w:i/>
        </w:rPr>
      </w:pPr>
      <w:r>
        <w:rPr>
          <w:i/>
          <w:color w:val="0070C0"/>
          <w:u w:val="single" w:color="0070C0"/>
        </w:rPr>
        <w:t>Supplemental guidance for terrestrial non-arthropod invertebrates:</w:t>
      </w:r>
    </w:p>
    <w:p>
      <w:pPr>
        <w:pStyle w:val="BodyText"/>
        <w:spacing w:line="182" w:lineRule="exact"/>
        <w:ind w:left="860"/>
        <w:rPr>
          <w:i/>
        </w:rPr>
      </w:pPr>
      <w:r>
        <w:rPr>
          <w:b/>
          <w:i/>
          <w:color w:val="0070C0"/>
        </w:rPr>
        <w:t>OECD 207  </w:t>
      </w:r>
      <w:r>
        <w:rPr>
          <w:i/>
          <w:color w:val="0070C0"/>
        </w:rPr>
        <w:t>Soil prepared from 10% sphagnum peat (pH 5.5–6.0), 20% kaolin clay, 70% industrial sand (&gt;50% of particles between 50 and 200</w:t>
      </w:r>
    </w:p>
    <w:p>
      <w:pPr>
        <w:pStyle w:val="BodyText"/>
        <w:spacing w:line="191" w:lineRule="exact"/>
        <w:ind w:left="860"/>
        <w:rPr>
          <w:i/>
        </w:rPr>
      </w:pPr>
      <w:r>
        <w:rPr>
          <w:i/>
          <w:color w:val="0070C0"/>
        </w:rPr>
        <w:t>µm diameter); pH adjusted to 6.0 ± 0.5 with CaCO</w:t>
      </w:r>
      <w:r>
        <w:rPr>
          <w:i/>
          <w:color w:val="0070C0"/>
          <w:position w:val="-1"/>
          <w:sz w:val="10"/>
        </w:rPr>
        <w:t>3</w:t>
      </w:r>
      <w:r>
        <w:rPr>
          <w:i/>
          <w:color w:val="0070C0"/>
        </w:rPr>
        <w:t>.  Moisture content 35% of dry weight.</w:t>
      </w:r>
    </w:p>
    <w:p>
      <w:pPr>
        <w:pStyle w:val="BodyText"/>
        <w:spacing w:before="6"/>
        <w:rPr>
          <w:i/>
          <w:sz w:val="21"/>
        </w:rPr>
      </w:pPr>
    </w:p>
    <w:p>
      <w:pPr>
        <w:pStyle w:val="Heading2"/>
      </w:pPr>
      <w:r>
        <w:rPr/>
        <w:t>Route(s) of exposure:</w:t>
      </w:r>
    </w:p>
    <w:p>
      <w:pPr>
        <w:pStyle w:val="BodyText"/>
        <w:spacing w:before="11"/>
        <w:rPr>
          <w:b/>
          <w:i w:val="0"/>
          <w:sz w:val="21"/>
        </w:rPr>
      </w:pPr>
    </w:p>
    <w:p>
      <w:pPr>
        <w:pStyle w:val="Heading5"/>
        <w:rPr>
          <w:i/>
        </w:rPr>
      </w:pPr>
      <w:r>
        <w:rPr>
          <w:i/>
          <w:color w:val="FF0000"/>
        </w:rPr>
        <w:t>[Describe route of exposure and topical application apparatus, if applicable.]</w:t>
      </w:r>
    </w:p>
    <w:p>
      <w:pPr>
        <w:pStyle w:val="BodyText"/>
        <w:rPr>
          <w:i/>
          <w:sz w:val="24"/>
        </w:rPr>
      </w:pPr>
    </w:p>
    <w:p>
      <w:pPr>
        <w:pStyle w:val="BodyText"/>
        <w:spacing w:before="158"/>
        <w:ind w:left="859" w:right="306"/>
      </w:pPr>
      <w:r>
        <w:rPr>
          <w:b/>
          <w:i/>
          <w:color w:val="0070C0"/>
        </w:rPr>
        <w:t>U.S. EPA OCSPP 885.4340 </w:t>
      </w:r>
      <w:r>
        <w:rPr>
          <w:i/>
          <w:color w:val="0070C0"/>
        </w:rPr>
        <w:t>Routes of exposure vary with the test substance, and with the expected environmental relationship between the </w:t>
      </w:r>
      <w:r>
        <w:rPr>
          <w:color w:val="0070C0"/>
        </w:rPr>
        <w:t>MPCA and test species.</w:t>
      </w:r>
    </w:p>
    <w:p>
      <w:pPr>
        <w:pStyle w:val="BodyText"/>
        <w:ind w:left="860" w:right="168" w:firstLine="719"/>
      </w:pPr>
      <w:r>
        <w:rPr>
          <w:i/>
          <w:color w:val="0070C0"/>
        </w:rPr>
        <w:t>–For </w:t>
      </w:r>
      <w:r>
        <w:rPr>
          <w:i/>
          <w:color w:val="0070C0"/>
          <w:u w:val="single" w:color="0070C0"/>
        </w:rPr>
        <w:t>viruses</w:t>
      </w:r>
      <w:r>
        <w:rPr>
          <w:i/>
          <w:color w:val="0070C0"/>
        </w:rPr>
        <w:t>, the best routes of exposure will depend on the developmental location of the non-target organism. Internal parasites </w:t>
      </w:r>
      <w:r>
        <w:rPr>
          <w:color w:val="0070C0"/>
        </w:rPr>
        <w:t>may be tested with virus-infected hosts, or if they can be cultured in vitro, the virus can be added to the diet. External stages of parasites and predators, if they are obligatory, may be fed virus-infected hosts, and others may be fed virus-contaminated media or virus suspended in sugar or honey solutions.</w:t>
      </w:r>
    </w:p>
    <w:p>
      <w:pPr>
        <w:pStyle w:val="BodyText"/>
        <w:spacing w:before="1"/>
        <w:ind w:left="859" w:right="161" w:firstLine="720"/>
      </w:pPr>
      <w:r>
        <w:rPr>
          <w:i/>
          <w:color w:val="0070C0"/>
        </w:rPr>
        <w:t>–For </w:t>
      </w:r>
      <w:r>
        <w:rPr>
          <w:i/>
          <w:color w:val="0070C0"/>
          <w:u w:val="single" w:color="0070C0"/>
        </w:rPr>
        <w:t>protozoa</w:t>
      </w:r>
      <w:r>
        <w:rPr>
          <w:i/>
          <w:color w:val="0070C0"/>
        </w:rPr>
        <w:t>: in addition to feeding adult predators and parasites of the target insect with the resistant stage of the protozoan, </w:t>
      </w:r>
      <w:r>
        <w:rPr>
          <w:color w:val="0070C0"/>
        </w:rPr>
        <w:t>immature stages of the predator or parasite should be exposed. Predators can be fed hosts infected with the protozoan over a period of time. The predator, at a prescribed time, should be checked for protozoan infection. The protocol for parasites is more complex. Protozoan-infected hosts can be parasitized or parasitized hosts can be fed protozoans. Parasites from protozoan-infected hosts should be examined for protozoan infection. The immature stages as well as adults should be examined. If possible, a primary hymenopterous and dipterous parasite should be examined. The best route of infection for adult Hymenoptera or Diptera is oral acquisition of protozoan spores. Predaceous insects could also be fed in this manner, but feeding them infected (live) hosts of known age is more appropriate. In either case, the actual amount of spores consumed cannot be accurately determined. If infection of the parasite or predator adult occurs, the possibility for transovarial or transovum transmission should be examined.</w:t>
      </w:r>
    </w:p>
    <w:p>
      <w:pPr>
        <w:pStyle w:val="BodyText"/>
        <w:ind w:left="860" w:right="846" w:firstLine="719"/>
      </w:pPr>
      <w:r>
        <w:rPr>
          <w:i/>
          <w:color w:val="0070C0"/>
        </w:rPr>
        <w:t>–For </w:t>
      </w:r>
      <w:r>
        <w:rPr>
          <w:i/>
          <w:color w:val="0070C0"/>
          <w:u w:val="single" w:color="0070C0"/>
        </w:rPr>
        <w:t>fungi</w:t>
      </w:r>
      <w:r>
        <w:rPr>
          <w:i/>
          <w:color w:val="0070C0"/>
        </w:rPr>
        <w:t>, routes of exposure should simulate field conditions as much as possible. In the case of entomopathogenic fungi, </w:t>
      </w:r>
      <w:r>
        <w:rPr>
          <w:color w:val="0070C0"/>
        </w:rPr>
        <w:t>environmental conditions (&gt; 90 percent relative humidity) are critical at the time of exposure.</w:t>
      </w:r>
    </w:p>
    <w:p>
      <w:pPr>
        <w:pStyle w:val="BodyText"/>
        <w:ind w:left="860" w:right="237" w:firstLine="719"/>
      </w:pPr>
      <w:r>
        <w:rPr>
          <w:i/>
          <w:color w:val="0070C0"/>
        </w:rPr>
        <w:t>–For </w:t>
      </w:r>
      <w:r>
        <w:rPr>
          <w:i/>
          <w:color w:val="0070C0"/>
          <w:u w:val="single" w:color="0070C0"/>
        </w:rPr>
        <w:t>bacteria</w:t>
      </w:r>
      <w:r>
        <w:rPr>
          <w:i/>
          <w:color w:val="0070C0"/>
        </w:rPr>
        <w:t>, best routes of exposure will depend on developmental location of the non-target organism. Internal parasites may be </w:t>
      </w:r>
      <w:r>
        <w:rPr>
          <w:color w:val="0070C0"/>
        </w:rPr>
        <w:t>tested with bacteria-infected hosts, or if they can be cultured in vitro, the bacteria can be added to the diet. External stages may be fed bacteria- infected hosts, bacteria-contaminated media, or bacteria suspended in sugar or honey solutions.</w:t>
      </w:r>
    </w:p>
    <w:p>
      <w:pPr>
        <w:pStyle w:val="BodyText"/>
        <w:spacing w:line="183" w:lineRule="exact"/>
        <w:ind w:left="859"/>
        <w:rPr>
          <w:i/>
        </w:rPr>
      </w:pPr>
      <w:r>
        <w:rPr>
          <w:b/>
          <w:i/>
          <w:color w:val="0070C0"/>
        </w:rPr>
        <w:t>PMRA DIR 2001-02  </w:t>
      </w:r>
      <w:r>
        <w:rPr>
          <w:i/>
          <w:color w:val="0070C0"/>
        </w:rPr>
        <w:t>The MPCA can be administered topically, in soil, in the diet, or as a combination of these routes of exposure.</w:t>
      </w:r>
    </w:p>
    <w:p>
      <w:pPr>
        <w:spacing w:line="184" w:lineRule="exact" w:before="0"/>
        <w:ind w:left="859" w:right="0" w:firstLine="0"/>
        <w:jc w:val="left"/>
        <w:rPr>
          <w:i/>
          <w:sz w:val="16"/>
        </w:rPr>
      </w:pPr>
      <w:r>
        <w:rPr>
          <w:b/>
          <w:i/>
          <w:color w:val="0070C0"/>
          <w:sz w:val="16"/>
        </w:rPr>
        <w:t>Environment Canada EPS 1/RM/44   </w:t>
      </w:r>
      <w:r>
        <w:rPr>
          <w:i/>
          <w:color w:val="0070C0"/>
          <w:sz w:val="16"/>
        </w:rPr>
        <w:t>Test substance is mixed in soil.</w:t>
      </w:r>
    </w:p>
    <w:p>
      <w:pPr>
        <w:pStyle w:val="Heading7"/>
        <w:ind w:left="1579"/>
        <w:rPr>
          <w:i/>
        </w:rPr>
      </w:pPr>
      <w:r>
        <w:rPr>
          <w:i/>
          <w:color w:val="0070C0"/>
          <w:u w:val="single" w:color="0070C0"/>
        </w:rPr>
        <w:t>Supplemental guidance for terrestrial non-arthropod invertebrates:</w:t>
      </w:r>
    </w:p>
    <w:p>
      <w:pPr>
        <w:pStyle w:val="BodyText"/>
        <w:ind w:left="859"/>
      </w:pPr>
      <w:r>
        <w:rPr>
          <w:b/>
          <w:i/>
          <w:color w:val="0070C0"/>
        </w:rPr>
        <w:t>Environment Canada EPS 1/RM/44 </w:t>
      </w:r>
      <w:r>
        <w:rPr>
          <w:i/>
          <w:color w:val="0070C0"/>
        </w:rPr>
        <w:t>In a single concentration study, the test material should be administered in both soil and diet. In a multi- </w:t>
      </w:r>
      <w:r>
        <w:rPr>
          <w:color w:val="0070C0"/>
        </w:rPr>
        <w:t>concentration study, the test material should be mixed in soil or diet.</w:t>
      </w:r>
    </w:p>
    <w:p>
      <w:pPr>
        <w:pStyle w:val="BodyText"/>
        <w:spacing w:before="3"/>
        <w:ind w:left="859"/>
        <w:rPr>
          <w:i/>
        </w:rPr>
      </w:pPr>
      <w:r>
        <w:rPr>
          <w:b/>
          <w:i/>
          <w:color w:val="0070C0"/>
        </w:rPr>
        <w:t>OECD 207   </w:t>
      </w:r>
      <w:r>
        <w:rPr>
          <w:i/>
          <w:color w:val="0070C0"/>
        </w:rPr>
        <w:t>Test substance absorbed on filter paper (contact toxicity) or mixed into artificial soil.</w:t>
      </w:r>
    </w:p>
    <w:p>
      <w:pPr>
        <w:pStyle w:val="BodyText"/>
        <w:rPr>
          <w:i/>
          <w:sz w:val="18"/>
        </w:rPr>
      </w:pPr>
    </w:p>
    <w:p>
      <w:pPr>
        <w:pStyle w:val="BodyText"/>
        <w:spacing w:before="1"/>
        <w:rPr>
          <w:i/>
          <w:sz w:val="20"/>
        </w:rPr>
      </w:pPr>
    </w:p>
    <w:p>
      <w:pPr>
        <w:pStyle w:val="Heading2"/>
        <w:spacing w:before="1"/>
      </w:pPr>
      <w:r>
        <w:rPr/>
        <w:t>Dose levels / test concentrations:</w:t>
      </w:r>
    </w:p>
    <w:p>
      <w:pPr>
        <w:pStyle w:val="BodyText"/>
        <w:spacing w:before="10"/>
        <w:rPr>
          <w:b/>
          <w:i w:val="0"/>
          <w:sz w:val="21"/>
        </w:rPr>
      </w:pPr>
    </w:p>
    <w:p>
      <w:pPr>
        <w:pStyle w:val="Heading4"/>
        <w:spacing w:before="1"/>
      </w:pPr>
      <w:r>
        <w:rPr/>
        <w:t>Nominal:</w:t>
      </w:r>
    </w:p>
    <w:p>
      <w:pPr>
        <w:spacing w:before="0"/>
        <w:ind w:left="860" w:right="0" w:firstLine="0"/>
        <w:jc w:val="left"/>
        <w:rPr>
          <w:i/>
          <w:sz w:val="22"/>
        </w:rPr>
      </w:pPr>
      <w:r>
        <w:rPr>
          <w:sz w:val="22"/>
        </w:rPr>
        <w:t>Measured: </w:t>
      </w:r>
      <w:r>
        <w:rPr>
          <w:i/>
          <w:color w:val="FF0000"/>
          <w:sz w:val="22"/>
        </w:rPr>
        <w:t>(from confirmation of dose viability)</w:t>
      </w:r>
    </w:p>
    <w:p>
      <w:pPr>
        <w:spacing w:after="0"/>
        <w:jc w:val="left"/>
        <w:rPr>
          <w:sz w:val="22"/>
        </w:rPr>
        <w:sectPr>
          <w:pgSz w:w="12240" w:h="15840"/>
          <w:pgMar w:header="729" w:footer="796" w:top="1880" w:bottom="980" w:left="940" w:right="940"/>
        </w:sectPr>
      </w:pPr>
    </w:p>
    <w:p>
      <w:pPr>
        <w:pStyle w:val="BodyText"/>
        <w:rPr>
          <w:i/>
          <w:sz w:val="26"/>
        </w:rPr>
      </w:pPr>
    </w:p>
    <w:p>
      <w:pPr>
        <w:pStyle w:val="Heading5"/>
        <w:spacing w:before="90"/>
        <w:rPr>
          <w:i/>
        </w:rPr>
      </w:pPr>
      <w:r>
        <w:rPr>
          <w:i/>
          <w:color w:val="FF0000"/>
        </w:rPr>
        <w:t>[List doses used, and insert calculation of the maximum hazard dose, where applicable]</w:t>
      </w:r>
    </w:p>
    <w:p>
      <w:pPr>
        <w:pStyle w:val="BodyText"/>
        <w:rPr>
          <w:i/>
          <w:sz w:val="24"/>
        </w:rPr>
      </w:pPr>
    </w:p>
    <w:p>
      <w:pPr>
        <w:pStyle w:val="BodyText"/>
        <w:spacing w:line="237" w:lineRule="auto" w:before="159"/>
        <w:ind w:left="859" w:right="213"/>
      </w:pPr>
      <w:r>
        <w:rPr>
          <w:b/>
          <w:i/>
          <w:color w:val="0070C0"/>
        </w:rPr>
        <w:t>U.S. EPA OCSPP 885.4340 </w:t>
      </w:r>
      <w:r>
        <w:rPr>
          <w:i/>
          <w:color w:val="0070C0"/>
        </w:rPr>
        <w:t>The dosage should be in suitable increments up to 100× the LD</w:t>
      </w:r>
      <w:r>
        <w:rPr>
          <w:i/>
          <w:color w:val="0070C0"/>
          <w:position w:val="-1"/>
          <w:sz w:val="10"/>
        </w:rPr>
        <w:t>50 </w:t>
      </w:r>
      <w:r>
        <w:rPr>
          <w:i/>
          <w:color w:val="0070C0"/>
        </w:rPr>
        <w:t>or LC</w:t>
      </w:r>
      <w:r>
        <w:rPr>
          <w:i/>
          <w:color w:val="0070C0"/>
          <w:position w:val="-1"/>
          <w:sz w:val="10"/>
        </w:rPr>
        <w:t>50 </w:t>
      </w:r>
      <w:r>
        <w:rPr>
          <w:i/>
          <w:color w:val="0070C0"/>
        </w:rPr>
        <w:t>of the pathogen in its natural host, or 10– </w:t>
      </w:r>
      <w:r>
        <w:rPr>
          <w:color w:val="0070C0"/>
        </w:rPr>
        <w:t>100× the recommended field dosage. </w:t>
      </w:r>
      <w:r>
        <w:rPr>
          <w:b/>
          <w:i/>
          <w:color w:val="0070C0"/>
        </w:rPr>
        <w:t>From U.S. EPA OCSPP 885.4000 Background for Nontarget Organism Testing of Microbial Pesticide </w:t>
      </w:r>
      <w:r>
        <w:rPr>
          <w:b/>
          <w:color w:val="0070C0"/>
        </w:rPr>
        <w:t>Control Agents </w:t>
      </w:r>
      <w:r>
        <w:rPr>
          <w:i/>
          <w:color w:val="0070C0"/>
        </w:rPr>
        <w:t>For Tier I tests, the Agency suggests that a maximum hazard dosage be administered. For all testing, the maximum dose should </w:t>
      </w:r>
      <w:r>
        <w:rPr>
          <w:color w:val="0070C0"/>
        </w:rPr>
        <w:t>be no less than the maximum hazard dose as defined in the testing guideline. If the MPCA produces significant toxic or pathogenic effects at the maximum hazard dose level, testing at lower doses would be indicated. Sufficient doses and test organisms would be required to determine an LD</w:t>
      </w:r>
      <w:r>
        <w:rPr>
          <w:color w:val="0070C0"/>
          <w:position w:val="-1"/>
          <w:sz w:val="10"/>
        </w:rPr>
        <w:t>50</w:t>
      </w:r>
      <w:r>
        <w:rPr>
          <w:color w:val="0070C0"/>
        </w:rPr>
        <w:t>/LC</w:t>
      </w:r>
      <w:r>
        <w:rPr>
          <w:color w:val="0070C0"/>
          <w:position w:val="-1"/>
          <w:sz w:val="10"/>
        </w:rPr>
        <w:t>50 </w:t>
      </w:r>
      <w:r>
        <w:rPr>
          <w:color w:val="0070C0"/>
        </w:rPr>
        <w:t>value, if possible.</w:t>
      </w:r>
    </w:p>
    <w:p>
      <w:pPr>
        <w:pStyle w:val="BodyText"/>
        <w:ind w:left="859" w:right="155"/>
      </w:pPr>
      <w:r>
        <w:rPr>
          <w:b/>
          <w:i/>
          <w:color w:val="0070C0"/>
        </w:rPr>
        <w:t>PMRA DIR 2001-02 </w:t>
      </w:r>
      <w:r>
        <w:rPr>
          <w:i/>
          <w:color w:val="0070C0"/>
        </w:rPr>
        <w:t>For topical exposure, arthropods should be exposed to a concentration of the MPCA that is equivalent to 100× the </w:t>
      </w:r>
      <w:r>
        <w:rPr>
          <w:color w:val="0070C0"/>
        </w:rPr>
        <w:t>maximum rate of application. For application to soil, a concentration ≥10</w:t>
      </w:r>
      <w:r>
        <w:rPr>
          <w:color w:val="0070C0"/>
          <w:position w:val="6"/>
          <w:sz w:val="10"/>
        </w:rPr>
        <w:t>6 </w:t>
      </w:r>
      <w:r>
        <w:rPr>
          <w:color w:val="0070C0"/>
        </w:rPr>
        <w:t>active units of the MPCA per gram of soil is used, or 1000 × the expected environmental concentration immediately following a direct application at the maximum label rate to a 15-cm layer of soil or water, whichever is greater or achievable. For dietary administration, feed should be spiked with the maximum concentration of the MPCA expected in the target organism (or treated at 100× the maximum label rate). Alternatively, target organisms that have been maximally infected with the MPCA may be fed to the test organism.</w:t>
      </w:r>
    </w:p>
    <w:p>
      <w:pPr>
        <w:pStyle w:val="BodyText"/>
        <w:spacing w:line="184" w:lineRule="exact" w:before="9"/>
        <w:ind w:left="859"/>
      </w:pPr>
      <w:r>
        <w:rPr>
          <w:b/>
          <w:i/>
          <w:color w:val="0070C0"/>
        </w:rPr>
        <w:t>Environment Canada EPS 1/RM/44 </w:t>
      </w:r>
      <w:r>
        <w:rPr>
          <w:i/>
          <w:color w:val="0070C0"/>
        </w:rPr>
        <w:t>Single group tested at the maximum hazard concentration or 7 test concentrations, including the maximum </w:t>
      </w:r>
      <w:r>
        <w:rPr>
          <w:color w:val="0070C0"/>
        </w:rPr>
        <w:t>hazard concentration. The maximum hazard concentration for soil exposure is 10</w:t>
      </w:r>
      <w:r>
        <w:rPr>
          <w:color w:val="0070C0"/>
          <w:position w:val="6"/>
          <w:sz w:val="10"/>
        </w:rPr>
        <w:t>6 </w:t>
      </w:r>
      <w:r>
        <w:rPr>
          <w:color w:val="0070C0"/>
        </w:rPr>
        <w:t>active MPCA units/g soil or 1000× the EEC of the MPCA, following application to soil (whichever greater and readily attainable).</w:t>
      </w:r>
    </w:p>
    <w:p>
      <w:pPr>
        <w:pStyle w:val="Heading7"/>
        <w:spacing w:before="2"/>
        <w:ind w:left="1580"/>
        <w:rPr>
          <w:i/>
        </w:rPr>
      </w:pPr>
      <w:r>
        <w:rPr>
          <w:i/>
          <w:color w:val="0070C0"/>
          <w:u w:val="single" w:color="0070C0"/>
        </w:rPr>
        <w:t>Supplemental guidance for terrestrial non-arthropod invertebrates:</w:t>
      </w:r>
    </w:p>
    <w:p>
      <w:pPr>
        <w:pStyle w:val="BodyText"/>
        <w:spacing w:line="237" w:lineRule="auto"/>
        <w:ind w:left="859" w:right="458"/>
        <w:jc w:val="both"/>
      </w:pPr>
      <w:r>
        <w:rPr>
          <w:b/>
          <w:i/>
          <w:color w:val="0070C0"/>
        </w:rPr>
        <w:t>PMRA DIR 2001-02 </w:t>
      </w:r>
      <w:r>
        <w:rPr>
          <w:i/>
          <w:color w:val="0070C0"/>
        </w:rPr>
        <w:t>No specific recommendations given for non-arthropod invertebrates. In general, a maximum hazard concentration is </w:t>
      </w:r>
      <w:r>
        <w:rPr>
          <w:color w:val="0070C0"/>
        </w:rPr>
        <w:t>considered to be 1000× the expected environmental concentration in a 15-cm depth of soil, or 10</w:t>
      </w:r>
      <w:r>
        <w:rPr>
          <w:color w:val="0070C0"/>
          <w:position w:val="6"/>
          <w:sz w:val="10"/>
        </w:rPr>
        <w:t>6 </w:t>
      </w:r>
      <w:r>
        <w:rPr>
          <w:color w:val="0070C0"/>
        </w:rPr>
        <w:t>MPCA units/g soil whichever is greater or achievable.</w:t>
      </w:r>
    </w:p>
    <w:p>
      <w:pPr>
        <w:pStyle w:val="BodyText"/>
        <w:spacing w:line="237" w:lineRule="auto" w:before="2"/>
        <w:ind w:left="860" w:right="237" w:hanging="1"/>
      </w:pPr>
      <w:r>
        <w:rPr>
          <w:b/>
          <w:i/>
          <w:color w:val="0070C0"/>
        </w:rPr>
        <w:t>Environment Canada EPS 1/RM/44 </w:t>
      </w:r>
      <w:r>
        <w:rPr>
          <w:i/>
          <w:color w:val="0070C0"/>
          <w:u w:val="single" w:color="0070C0"/>
        </w:rPr>
        <w:t>Soil exposure</w:t>
      </w:r>
      <w:r>
        <w:rPr>
          <w:i/>
          <w:color w:val="0070C0"/>
        </w:rPr>
        <w:t>: Single group tested at the maximum hazard concentration or 7 test concentrations, </w:t>
      </w:r>
      <w:r>
        <w:rPr>
          <w:color w:val="0070C0"/>
        </w:rPr>
        <w:t>including the maximum hazard concentration.  The maximum hazard concentration for soil exposure is 10</w:t>
      </w:r>
      <w:r>
        <w:rPr>
          <w:color w:val="0070C0"/>
          <w:position w:val="6"/>
          <w:sz w:val="10"/>
        </w:rPr>
        <w:t>6 </w:t>
      </w:r>
      <w:r>
        <w:rPr>
          <w:color w:val="0070C0"/>
        </w:rPr>
        <w:t>active MPCA units/g soil or 1000× the EEC of the MPCA, following application to soil (whichever greater and readily attainable). </w:t>
      </w:r>
      <w:r>
        <w:rPr>
          <w:color w:val="0070C0"/>
          <w:u w:val="single" w:color="0070C0"/>
        </w:rPr>
        <w:t>Dietary exposure</w:t>
      </w:r>
      <w:r>
        <w:rPr>
          <w:color w:val="0070C0"/>
        </w:rPr>
        <w:t>: Single group tested at the maximum hazard concentration or 7 test concentrations, including the maximum hazard concentration. The maximum hazard concentration for dietary exposure is 100× the maximum concentration specified by the manufacturer for the tank mix is used.</w:t>
      </w:r>
    </w:p>
    <w:p>
      <w:pPr>
        <w:pStyle w:val="BodyText"/>
        <w:spacing w:before="1"/>
        <w:ind w:left="859" w:right="306"/>
      </w:pPr>
      <w:r>
        <w:rPr>
          <w:b/>
          <w:i/>
          <w:color w:val="0070C0"/>
        </w:rPr>
        <w:t>OECD 207 </w:t>
      </w:r>
      <w:r>
        <w:rPr>
          <w:i/>
          <w:color w:val="0070C0"/>
        </w:rPr>
        <w:t>Five concentrations in a geometric series, calculated from range-finding test such that test groups include one with 0% mortality </w:t>
      </w:r>
      <w:r>
        <w:rPr>
          <w:color w:val="0070C0"/>
        </w:rPr>
        <w:t>and one with 100% mortality.</w:t>
      </w:r>
    </w:p>
    <w:p>
      <w:pPr>
        <w:pStyle w:val="BodyText"/>
        <w:rPr>
          <w:i/>
          <w:sz w:val="18"/>
        </w:rPr>
      </w:pPr>
    </w:p>
    <w:p>
      <w:pPr>
        <w:pStyle w:val="BodyText"/>
        <w:spacing w:before="2"/>
        <w:rPr>
          <w:i/>
          <w:sz w:val="26"/>
        </w:rPr>
      </w:pPr>
    </w:p>
    <w:p>
      <w:pPr>
        <w:pStyle w:val="Heading2"/>
        <w:spacing w:before="1"/>
      </w:pPr>
      <w:r>
        <w:rPr/>
        <w:t>Preparation of doses or test concentrations:</w:t>
      </w:r>
    </w:p>
    <w:p>
      <w:pPr>
        <w:pStyle w:val="BodyText"/>
        <w:rPr>
          <w:b/>
          <w:i w:val="0"/>
          <w:sz w:val="22"/>
        </w:rPr>
      </w:pPr>
    </w:p>
    <w:p>
      <w:pPr>
        <w:pStyle w:val="Heading5"/>
        <w:rPr>
          <w:i/>
        </w:rPr>
      </w:pPr>
      <w:r>
        <w:rPr>
          <w:i/>
          <w:color w:val="FF0000"/>
        </w:rPr>
        <w:t>[Briefly describe methods for dose preparation.]</w:t>
      </w:r>
    </w:p>
    <w:p>
      <w:pPr>
        <w:pStyle w:val="BodyText"/>
        <w:spacing w:before="7"/>
        <w:rPr>
          <w:i/>
          <w:sz w:val="21"/>
        </w:rPr>
      </w:pPr>
    </w:p>
    <w:p>
      <w:pPr>
        <w:spacing w:before="0"/>
        <w:ind w:left="859" w:right="238" w:firstLine="0"/>
        <w:jc w:val="left"/>
        <w:rPr>
          <w:i/>
          <w:sz w:val="16"/>
        </w:rPr>
      </w:pPr>
      <w:r>
        <w:rPr>
          <w:b/>
          <w:i/>
          <w:color w:val="0070C0"/>
          <w:sz w:val="16"/>
        </w:rPr>
        <w:t>U.S. EPA OCSPP 885.4340 </w:t>
      </w:r>
      <w:r>
        <w:rPr>
          <w:i/>
          <w:color w:val="0070C0"/>
          <w:sz w:val="16"/>
        </w:rPr>
        <w:t>The actual form of the material to be regarded as the test substance is discussed in OCSPP Guideline: 885.0001- </w:t>
      </w:r>
      <w:r>
        <w:rPr>
          <w:i/>
          <w:color w:val="0070C0"/>
          <w:sz w:val="16"/>
        </w:rPr>
        <w:t>under section (g)(1)(i-vi). </w:t>
      </w:r>
      <w:r>
        <w:rPr>
          <w:b/>
          <w:i/>
          <w:color w:val="0070C0"/>
          <w:sz w:val="16"/>
        </w:rPr>
        <w:t>From U.S. EPA OCSPP 885.4000 Background for Nontarget Organism Testing of Microbial Pesticide Control </w:t>
      </w:r>
      <w:r>
        <w:rPr>
          <w:b/>
          <w:i/>
          <w:color w:val="0070C0"/>
          <w:sz w:val="16"/>
        </w:rPr>
        <w:t>Agents </w:t>
      </w:r>
      <w:r>
        <w:rPr>
          <w:i/>
          <w:color w:val="0070C0"/>
          <w:sz w:val="16"/>
        </w:rPr>
        <w:t>Testing the technical grade of the active ingredient (TGAI) applies in all tests except the simulated and actual field testing (OPPTS </w:t>
      </w:r>
      <w:r>
        <w:rPr>
          <w:i/>
          <w:color w:val="0070C0"/>
          <w:sz w:val="16"/>
        </w:rPr>
        <w:t>885.4900), where the use of the formulated product applies in order to simulate or reproduce actual field use. In some cases the technical grade of the active ingredient and the formulated product may be identical.</w:t>
      </w:r>
    </w:p>
    <w:p>
      <w:pPr>
        <w:spacing w:line="183"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60" w:right="316"/>
      </w:pPr>
      <w:r>
        <w:rPr>
          <w:b/>
          <w:i/>
          <w:color w:val="0070C0"/>
        </w:rPr>
        <w:t>Environment Canada EPS 1/RM/44 </w:t>
      </w:r>
      <w:r>
        <w:rPr>
          <w:i/>
          <w:color w:val="0070C0"/>
        </w:rPr>
        <w:t>For a single concentration test, a measured quantity of the MPCA representing the maximum hazard </w:t>
      </w:r>
      <w:r>
        <w:rPr>
          <w:color w:val="0070C0"/>
        </w:rPr>
        <w:t>concentration should be mixed to homogeneity in a suitable quantity of soil. In multi-concentration testing, the maximum hazard concentration and each lower test concentration should be prepared in the same manner. Mixing must be performed in a standardized manner (i.e., temperature and time).</w:t>
      </w:r>
    </w:p>
    <w:p>
      <w:pPr>
        <w:pStyle w:val="Heading7"/>
        <w:spacing w:line="183" w:lineRule="exact" w:before="3"/>
        <w:ind w:left="1579"/>
        <w:rPr>
          <w:i/>
        </w:rPr>
      </w:pPr>
      <w:r>
        <w:rPr>
          <w:i/>
          <w:color w:val="0070C0"/>
          <w:u w:val="single" w:color="0070C0"/>
        </w:rPr>
        <w:t>Supplemental guidance for terrestrial non-arthropod invertebrates:</w:t>
      </w:r>
    </w:p>
    <w:p>
      <w:pPr>
        <w:pStyle w:val="BodyText"/>
        <w:ind w:left="860" w:right="176" w:hanging="1"/>
      </w:pPr>
      <w:r>
        <w:rPr>
          <w:b/>
          <w:i/>
          <w:color w:val="0070C0"/>
        </w:rPr>
        <w:t>Environment Canada EPS 1/RM/44 </w:t>
      </w:r>
      <w:r>
        <w:rPr>
          <w:i/>
          <w:color w:val="0070C0"/>
          <w:u w:val="single" w:color="0070C0"/>
        </w:rPr>
        <w:t>Soil</w:t>
      </w:r>
      <w:r>
        <w:rPr>
          <w:i/>
          <w:color w:val="0070C0"/>
        </w:rPr>
        <w:t>: for a single concentration test, a measured quantity of the MPCA representing the maximum hazard </w:t>
      </w:r>
      <w:r>
        <w:rPr>
          <w:color w:val="0070C0"/>
        </w:rPr>
        <w:t>concentration should be mixed to homogeneity in a suitable quantity of soil. In multi-concentration testing, the maximum hazard concentration and each lower test concentration should be prepared in the same manner. Mixing must be performed in a standardized manner (i.e., temperature and time). </w:t>
      </w:r>
      <w:r>
        <w:rPr>
          <w:color w:val="0070C0"/>
          <w:u w:val="single" w:color="0070C0"/>
        </w:rPr>
        <w:t>Diet</w:t>
      </w:r>
      <w:r>
        <w:rPr>
          <w:color w:val="0070C0"/>
        </w:rPr>
        <w:t>: For a single concentration test, a measured quantity of the MPCA representing the maximum hazard concentration should be mixed to homogeneity in a suitable quantity of food. In multi-concentration testing, the maximum hazard concentration and each lower test concentration should be prepared in the same manner. Mixing must be performed in a standardized manner (i.e., temperature and time). The procedure for mixing the food will vary with the nature of the test material and food.</w:t>
      </w:r>
    </w:p>
    <w:p>
      <w:pPr>
        <w:pStyle w:val="BodyText"/>
        <w:spacing w:before="1"/>
        <w:ind w:left="859" w:right="237"/>
      </w:pPr>
      <w:r>
        <w:rPr>
          <w:b/>
          <w:i/>
          <w:color w:val="0070C0"/>
        </w:rPr>
        <w:t>OECD 207 </w:t>
      </w:r>
      <w:r>
        <w:rPr>
          <w:i/>
          <w:color w:val="0070C0"/>
        </w:rPr>
        <w:t>Filter paper test: the test substance is dissolved in water (if soluble up to a concentration of 1000 mg/L) or in a suitable organic </w:t>
      </w:r>
      <w:r>
        <w:rPr>
          <w:color w:val="0070C0"/>
        </w:rPr>
        <w:t>solvent (e.g. acetone, hexane or chloroform), as appropriate, to give a range of known concentrations. One ml of solution is pipetted into each vial and evaporated to dryness under a slow stream of filtered compressed air, the vial being rotated horizontally as it dries (for substances that are relatively insoluble in either water or organic solvents this may have to be repeated several times to obtain the larger deposits required).</w:t>
      </w:r>
    </w:p>
    <w:p>
      <w:pPr>
        <w:pStyle w:val="BodyText"/>
        <w:ind w:left="859" w:right="155"/>
      </w:pPr>
      <w:r>
        <w:rPr>
          <w:i/>
          <w:color w:val="0070C0"/>
        </w:rPr>
        <w:t>After drying, 1 ml of deionized water is added to each vial to moisten the filter paper. Each vial is sealed with a cap or plastic film with a small </w:t>
      </w:r>
      <w:r>
        <w:rPr>
          <w:color w:val="0070C0"/>
        </w:rPr>
        <w:t>ventilation hole. Artificial soil test: test soils, whenever possible, should be made up immediately before the start of the test. An emulsion or dispersion of the test substance in deionized water is mixed with the artificial soil or sprayed evenly over it with a fine chromatographic or similar</w:t>
      </w:r>
      <w:r>
        <w:rPr>
          <w:color w:val="0070C0"/>
          <w:spacing w:val="-2"/>
        </w:rPr>
        <w:t> </w:t>
      </w:r>
      <w:r>
        <w:rPr>
          <w:color w:val="0070C0"/>
        </w:rPr>
        <w:t>spray.</w:t>
      </w:r>
      <w:r>
        <w:rPr>
          <w:color w:val="0070C0"/>
          <w:spacing w:val="-2"/>
        </w:rPr>
        <w:t> </w:t>
      </w:r>
      <w:r>
        <w:rPr>
          <w:color w:val="0070C0"/>
        </w:rPr>
        <w:t>If</w:t>
      </w:r>
      <w:r>
        <w:rPr>
          <w:color w:val="0070C0"/>
          <w:spacing w:val="-2"/>
        </w:rPr>
        <w:t> </w:t>
      </w:r>
      <w:r>
        <w:rPr>
          <w:color w:val="0070C0"/>
        </w:rPr>
        <w:t>insoluble</w:t>
      </w:r>
      <w:r>
        <w:rPr>
          <w:color w:val="0070C0"/>
          <w:spacing w:val="-2"/>
        </w:rPr>
        <w:t> </w:t>
      </w:r>
      <w:r>
        <w:rPr>
          <w:color w:val="0070C0"/>
        </w:rPr>
        <w:t>in</w:t>
      </w:r>
      <w:r>
        <w:rPr>
          <w:color w:val="0070C0"/>
          <w:spacing w:val="-2"/>
        </w:rPr>
        <w:t> </w:t>
      </w:r>
      <w:r>
        <w:rPr>
          <w:color w:val="0070C0"/>
        </w:rPr>
        <w:t>water,</w:t>
      </w:r>
      <w:r>
        <w:rPr>
          <w:color w:val="0070C0"/>
          <w:spacing w:val="-2"/>
        </w:rPr>
        <w:t> </w:t>
      </w:r>
      <w:r>
        <w:rPr>
          <w:color w:val="0070C0"/>
        </w:rPr>
        <w:t>the</w:t>
      </w:r>
      <w:r>
        <w:rPr>
          <w:color w:val="0070C0"/>
          <w:spacing w:val="-2"/>
        </w:rPr>
        <w:t> </w:t>
      </w:r>
      <w:r>
        <w:rPr>
          <w:color w:val="0070C0"/>
        </w:rPr>
        <w:t>test</w:t>
      </w:r>
      <w:r>
        <w:rPr>
          <w:color w:val="0070C0"/>
          <w:spacing w:val="-2"/>
        </w:rPr>
        <w:t> </w:t>
      </w:r>
      <w:r>
        <w:rPr>
          <w:color w:val="0070C0"/>
        </w:rPr>
        <w:t>substance</w:t>
      </w:r>
      <w:r>
        <w:rPr>
          <w:color w:val="0070C0"/>
          <w:spacing w:val="-2"/>
        </w:rPr>
        <w:t> </w:t>
      </w:r>
      <w:r>
        <w:rPr>
          <w:color w:val="0070C0"/>
        </w:rPr>
        <w:t>can</w:t>
      </w:r>
      <w:r>
        <w:rPr>
          <w:color w:val="0070C0"/>
          <w:spacing w:val="-2"/>
        </w:rPr>
        <w:t> </w:t>
      </w:r>
      <w:r>
        <w:rPr>
          <w:color w:val="0070C0"/>
        </w:rPr>
        <w:t>be</w:t>
      </w:r>
      <w:r>
        <w:rPr>
          <w:color w:val="0070C0"/>
          <w:spacing w:val="-2"/>
        </w:rPr>
        <w:t> </w:t>
      </w:r>
      <w:r>
        <w:rPr>
          <w:color w:val="0070C0"/>
        </w:rPr>
        <w:t>dissolved</w:t>
      </w:r>
      <w:r>
        <w:rPr>
          <w:color w:val="0070C0"/>
          <w:spacing w:val="-2"/>
        </w:rPr>
        <w:t> </w:t>
      </w:r>
      <w:r>
        <w:rPr>
          <w:color w:val="0070C0"/>
        </w:rPr>
        <w:t>in</w:t>
      </w:r>
      <w:r>
        <w:rPr>
          <w:color w:val="0070C0"/>
          <w:spacing w:val="-2"/>
        </w:rPr>
        <w:t> </w:t>
      </w:r>
      <w:r>
        <w:rPr>
          <w:color w:val="0070C0"/>
        </w:rPr>
        <w:t>as</w:t>
      </w:r>
      <w:r>
        <w:rPr>
          <w:color w:val="0070C0"/>
          <w:spacing w:val="-2"/>
        </w:rPr>
        <w:t> </w:t>
      </w:r>
      <w:r>
        <w:rPr>
          <w:color w:val="0070C0"/>
        </w:rPr>
        <w:t>small</w:t>
      </w:r>
      <w:r>
        <w:rPr>
          <w:color w:val="0070C0"/>
          <w:spacing w:val="-2"/>
        </w:rPr>
        <w:t> </w:t>
      </w:r>
      <w:r>
        <w:rPr>
          <w:color w:val="0070C0"/>
        </w:rPr>
        <w:t>a</w:t>
      </w:r>
      <w:r>
        <w:rPr>
          <w:color w:val="0070C0"/>
          <w:spacing w:val="-2"/>
        </w:rPr>
        <w:t> </w:t>
      </w:r>
      <w:r>
        <w:rPr>
          <w:color w:val="0070C0"/>
        </w:rPr>
        <w:t>volume</w:t>
      </w:r>
      <w:r>
        <w:rPr>
          <w:color w:val="0070C0"/>
          <w:spacing w:val="-2"/>
        </w:rPr>
        <w:t> </w:t>
      </w:r>
      <w:r>
        <w:rPr>
          <w:color w:val="0070C0"/>
        </w:rPr>
        <w:t>as</w:t>
      </w:r>
      <w:r>
        <w:rPr>
          <w:color w:val="0070C0"/>
          <w:spacing w:val="-2"/>
        </w:rPr>
        <w:t> </w:t>
      </w:r>
      <w:r>
        <w:rPr>
          <w:color w:val="0070C0"/>
        </w:rPr>
        <w:t>possible</w:t>
      </w:r>
      <w:r>
        <w:rPr>
          <w:color w:val="0070C0"/>
          <w:spacing w:val="-2"/>
        </w:rPr>
        <w:t> </w:t>
      </w:r>
      <w:r>
        <w:rPr>
          <w:color w:val="0070C0"/>
        </w:rPr>
        <w:t>of</w:t>
      </w:r>
      <w:r>
        <w:rPr>
          <w:color w:val="0070C0"/>
          <w:spacing w:val="-2"/>
        </w:rPr>
        <w:t> </w:t>
      </w:r>
      <w:r>
        <w:rPr>
          <w:color w:val="0070C0"/>
        </w:rPr>
        <w:t>a</w:t>
      </w:r>
      <w:r>
        <w:rPr>
          <w:color w:val="0070C0"/>
          <w:spacing w:val="-2"/>
        </w:rPr>
        <w:t> </w:t>
      </w:r>
      <w:r>
        <w:rPr>
          <w:color w:val="0070C0"/>
        </w:rPr>
        <w:t>suitable</w:t>
      </w:r>
      <w:r>
        <w:rPr>
          <w:color w:val="0070C0"/>
          <w:spacing w:val="-2"/>
        </w:rPr>
        <w:t> </w:t>
      </w:r>
      <w:r>
        <w:rPr>
          <w:color w:val="0070C0"/>
        </w:rPr>
        <w:t>organic</w:t>
      </w:r>
      <w:r>
        <w:rPr>
          <w:color w:val="0070C0"/>
          <w:spacing w:val="-2"/>
        </w:rPr>
        <w:t> </w:t>
      </w:r>
      <w:r>
        <w:rPr>
          <w:color w:val="0070C0"/>
        </w:rPr>
        <w:t>solvent</w:t>
      </w:r>
      <w:r>
        <w:rPr>
          <w:color w:val="0070C0"/>
          <w:spacing w:val="-2"/>
        </w:rPr>
        <w:t> </w:t>
      </w:r>
      <w:r>
        <w:rPr>
          <w:color w:val="0070C0"/>
        </w:rPr>
        <w:t>(e.g.</w:t>
      </w:r>
      <w:r>
        <w:rPr>
          <w:color w:val="0070C0"/>
          <w:spacing w:val="-2"/>
        </w:rPr>
        <w:t> </w:t>
      </w:r>
      <w:r>
        <w:rPr>
          <w:color w:val="0070C0"/>
        </w:rPr>
        <w:t>hexane, acetone or chloroform). The solvent should be allowed to evaporate. If the test substance is not soluble, dispersible or emulsifiable, 10 g of a mixture</w:t>
      </w:r>
      <w:r>
        <w:rPr>
          <w:color w:val="0070C0"/>
          <w:spacing w:val="-3"/>
        </w:rPr>
        <w:t> </w:t>
      </w:r>
      <w:r>
        <w:rPr>
          <w:color w:val="0070C0"/>
        </w:rPr>
        <w:t>of</w:t>
      </w:r>
      <w:r>
        <w:rPr>
          <w:color w:val="0070C0"/>
          <w:spacing w:val="-3"/>
        </w:rPr>
        <w:t> </w:t>
      </w:r>
      <w:r>
        <w:rPr>
          <w:color w:val="0070C0"/>
        </w:rPr>
        <w:t>fine</w:t>
      </w:r>
      <w:r>
        <w:rPr>
          <w:color w:val="0070C0"/>
          <w:spacing w:val="-3"/>
        </w:rPr>
        <w:t> </w:t>
      </w:r>
      <w:r>
        <w:rPr>
          <w:color w:val="0070C0"/>
        </w:rPr>
        <w:t>ground</w:t>
      </w:r>
      <w:r>
        <w:rPr>
          <w:color w:val="0070C0"/>
          <w:spacing w:val="-2"/>
        </w:rPr>
        <w:t> </w:t>
      </w:r>
      <w:r>
        <w:rPr>
          <w:color w:val="0070C0"/>
        </w:rPr>
        <w:t>quartz</w:t>
      </w:r>
      <w:r>
        <w:rPr>
          <w:color w:val="0070C0"/>
          <w:spacing w:val="-3"/>
        </w:rPr>
        <w:t> </w:t>
      </w:r>
      <w:r>
        <w:rPr>
          <w:color w:val="0070C0"/>
        </w:rPr>
        <w:t>sand</w:t>
      </w:r>
      <w:r>
        <w:rPr>
          <w:color w:val="0070C0"/>
          <w:spacing w:val="-2"/>
        </w:rPr>
        <w:t> </w:t>
      </w:r>
      <w:r>
        <w:rPr>
          <w:color w:val="0070C0"/>
        </w:rPr>
        <w:t>and</w:t>
      </w:r>
      <w:r>
        <w:rPr>
          <w:color w:val="0070C0"/>
          <w:spacing w:val="-2"/>
        </w:rPr>
        <w:t> </w:t>
      </w:r>
      <w:r>
        <w:rPr>
          <w:color w:val="0070C0"/>
        </w:rPr>
        <w:t>quantity</w:t>
      </w:r>
      <w:r>
        <w:rPr>
          <w:color w:val="0070C0"/>
          <w:spacing w:val="-3"/>
        </w:rPr>
        <w:t> </w:t>
      </w:r>
      <w:r>
        <w:rPr>
          <w:color w:val="0070C0"/>
        </w:rPr>
        <w:t>of</w:t>
      </w:r>
      <w:r>
        <w:rPr>
          <w:color w:val="0070C0"/>
          <w:spacing w:val="-3"/>
        </w:rPr>
        <w:t> </w:t>
      </w:r>
      <w:r>
        <w:rPr>
          <w:color w:val="0070C0"/>
        </w:rPr>
        <w:t>test</w:t>
      </w:r>
      <w:r>
        <w:rPr>
          <w:color w:val="0070C0"/>
          <w:spacing w:val="-3"/>
        </w:rPr>
        <w:t> </w:t>
      </w:r>
      <w:r>
        <w:rPr>
          <w:color w:val="0070C0"/>
        </w:rPr>
        <w:t>substance</w:t>
      </w:r>
      <w:r>
        <w:rPr>
          <w:color w:val="0070C0"/>
          <w:spacing w:val="-3"/>
        </w:rPr>
        <w:t> </w:t>
      </w:r>
      <w:r>
        <w:rPr>
          <w:color w:val="0070C0"/>
        </w:rPr>
        <w:t>corresponding</w:t>
      </w:r>
      <w:r>
        <w:rPr>
          <w:color w:val="0070C0"/>
          <w:spacing w:val="-2"/>
        </w:rPr>
        <w:t> </w:t>
      </w:r>
      <w:r>
        <w:rPr>
          <w:color w:val="0070C0"/>
        </w:rPr>
        <w:t>to</w:t>
      </w:r>
      <w:r>
        <w:rPr>
          <w:color w:val="0070C0"/>
          <w:spacing w:val="-2"/>
        </w:rPr>
        <w:t> </w:t>
      </w:r>
      <w:r>
        <w:rPr>
          <w:color w:val="0070C0"/>
        </w:rPr>
        <w:t>750</w:t>
      </w:r>
      <w:r>
        <w:rPr>
          <w:color w:val="0070C0"/>
          <w:spacing w:val="-2"/>
        </w:rPr>
        <w:t> </w:t>
      </w:r>
      <w:r>
        <w:rPr>
          <w:color w:val="0070C0"/>
        </w:rPr>
        <w:t>g</w:t>
      </w:r>
      <w:r>
        <w:rPr>
          <w:color w:val="0070C0"/>
          <w:spacing w:val="-2"/>
        </w:rPr>
        <w:t> </w:t>
      </w:r>
      <w:r>
        <w:rPr>
          <w:color w:val="0070C0"/>
        </w:rPr>
        <w:t>wet</w:t>
      </w:r>
      <w:r>
        <w:rPr>
          <w:color w:val="0070C0"/>
          <w:spacing w:val="-3"/>
        </w:rPr>
        <w:t> </w:t>
      </w:r>
      <w:r>
        <w:rPr>
          <w:color w:val="0070C0"/>
        </w:rPr>
        <w:t>weight</w:t>
      </w:r>
      <w:r>
        <w:rPr>
          <w:color w:val="0070C0"/>
          <w:spacing w:val="-3"/>
        </w:rPr>
        <w:t> </w:t>
      </w:r>
      <w:r>
        <w:rPr>
          <w:color w:val="0070C0"/>
        </w:rPr>
        <w:t>of</w:t>
      </w:r>
      <w:r>
        <w:rPr>
          <w:color w:val="0070C0"/>
          <w:spacing w:val="-3"/>
        </w:rPr>
        <w:t> </w:t>
      </w:r>
      <w:r>
        <w:rPr>
          <w:color w:val="0070C0"/>
        </w:rPr>
        <w:t>artificial</w:t>
      </w:r>
      <w:r>
        <w:rPr>
          <w:color w:val="0070C0"/>
          <w:spacing w:val="-3"/>
        </w:rPr>
        <w:t> </w:t>
      </w:r>
      <w:r>
        <w:rPr>
          <w:color w:val="0070C0"/>
        </w:rPr>
        <w:t>soil</w:t>
      </w:r>
      <w:r>
        <w:rPr>
          <w:color w:val="0070C0"/>
          <w:spacing w:val="-3"/>
        </w:rPr>
        <w:t> </w:t>
      </w:r>
      <w:r>
        <w:rPr>
          <w:color w:val="0070C0"/>
        </w:rPr>
        <w:t>are</w:t>
      </w:r>
      <w:r>
        <w:rPr>
          <w:color w:val="0070C0"/>
          <w:spacing w:val="-3"/>
        </w:rPr>
        <w:t> </w:t>
      </w:r>
      <w:r>
        <w:rPr>
          <w:color w:val="0070C0"/>
        </w:rPr>
        <w:t>mixed</w:t>
      </w:r>
      <w:r>
        <w:rPr>
          <w:color w:val="0070C0"/>
          <w:spacing w:val="-2"/>
        </w:rPr>
        <w:t> </w:t>
      </w:r>
      <w:r>
        <w:rPr>
          <w:color w:val="0070C0"/>
        </w:rPr>
        <w:t>with</w:t>
      </w:r>
      <w:r>
        <w:rPr>
          <w:color w:val="0070C0"/>
          <w:spacing w:val="-2"/>
        </w:rPr>
        <w:t> </w:t>
      </w:r>
      <w:r>
        <w:rPr>
          <w:color w:val="0070C0"/>
        </w:rPr>
        <w:t>740</w:t>
      </w:r>
      <w:r>
        <w:rPr>
          <w:color w:val="0070C0"/>
          <w:spacing w:val="-2"/>
        </w:rPr>
        <w:t> </w:t>
      </w:r>
      <w:r>
        <w:rPr>
          <w:color w:val="0070C0"/>
        </w:rPr>
        <w:t>g</w:t>
      </w:r>
      <w:r>
        <w:rPr>
          <w:color w:val="0070C0"/>
          <w:spacing w:val="-2"/>
        </w:rPr>
        <w:t> </w:t>
      </w:r>
      <w:r>
        <w:rPr>
          <w:color w:val="0070C0"/>
        </w:rPr>
        <w:t>wet</w:t>
      </w:r>
    </w:p>
    <w:p>
      <w:pPr>
        <w:spacing w:after="0"/>
        <w:sectPr>
          <w:pgSz w:w="12240" w:h="15840"/>
          <w:pgMar w:header="729" w:footer="796" w:top="1880" w:bottom="980" w:left="940" w:right="940"/>
        </w:sectPr>
      </w:pPr>
    </w:p>
    <w:p>
      <w:pPr>
        <w:pStyle w:val="BodyText"/>
        <w:spacing w:before="134"/>
        <w:ind w:left="860" w:right="267"/>
      </w:pPr>
      <w:r>
        <w:rPr>
          <w:i/>
          <w:color w:val="0070C0"/>
        </w:rPr>
        <w:t>artificial soil for each test container. Only agents which volatilize readily may be used to solubilize, disperse or emulsify the test substance. The </w:t>
      </w:r>
      <w:r>
        <w:rPr>
          <w:color w:val="0070C0"/>
        </w:rPr>
        <w:t>test soil must be ventilated before use.</w:t>
      </w:r>
    </w:p>
    <w:p>
      <w:pPr>
        <w:pStyle w:val="BodyText"/>
        <w:rPr>
          <w:i/>
          <w:sz w:val="18"/>
        </w:rPr>
      </w:pPr>
    </w:p>
    <w:p>
      <w:pPr>
        <w:pStyle w:val="BodyText"/>
        <w:spacing w:before="2"/>
        <w:rPr>
          <w:i/>
          <w:sz w:val="26"/>
        </w:rPr>
      </w:pPr>
    </w:p>
    <w:p>
      <w:pPr>
        <w:spacing w:before="1"/>
        <w:ind w:left="860" w:right="0" w:firstLine="0"/>
        <w:jc w:val="left"/>
        <w:rPr>
          <w:i/>
          <w:sz w:val="22"/>
        </w:rPr>
      </w:pPr>
      <w:r>
        <w:rPr>
          <w:b/>
          <w:sz w:val="22"/>
        </w:rPr>
        <w:t>Solvent/vehicle: </w:t>
      </w:r>
      <w:r>
        <w:rPr>
          <w:i/>
          <w:color w:val="FF0000"/>
          <w:sz w:val="22"/>
        </w:rPr>
        <w:t>[if used]</w:t>
      </w:r>
    </w:p>
    <w:p>
      <w:pPr>
        <w:pStyle w:val="BodyText"/>
        <w:spacing w:before="10"/>
        <w:rPr>
          <w:i/>
          <w:sz w:val="21"/>
        </w:rPr>
      </w:pPr>
    </w:p>
    <w:p>
      <w:pPr>
        <w:pStyle w:val="Heading5"/>
        <w:rPr>
          <w:i/>
        </w:rPr>
      </w:pPr>
      <w:r>
        <w:rPr>
          <w:i/>
          <w:color w:val="FF0000"/>
        </w:rPr>
        <w:t>[Describe the type and percentage, if used]</w:t>
      </w:r>
    </w:p>
    <w:p>
      <w:pPr>
        <w:pStyle w:val="BodyText"/>
        <w:rPr>
          <w:i/>
          <w:sz w:val="24"/>
        </w:rPr>
      </w:pPr>
    </w:p>
    <w:p>
      <w:pPr>
        <w:spacing w:line="184" w:lineRule="exact" w:before="157"/>
        <w:ind w:left="860" w:right="0" w:firstLine="0"/>
        <w:jc w:val="left"/>
        <w:rPr>
          <w:i/>
          <w:sz w:val="16"/>
        </w:rPr>
      </w:pPr>
      <w:r>
        <w:rPr>
          <w:b/>
          <w:i/>
          <w:color w:val="0070C0"/>
          <w:sz w:val="16"/>
        </w:rPr>
        <w:t>U.S. EPA OCSPP 885.4340  </w:t>
      </w:r>
      <w:r>
        <w:rPr>
          <w:i/>
          <w:color w:val="0070C0"/>
          <w:sz w:val="16"/>
        </w:rPr>
        <w:t>If used, must be reported, but no specific recommendations are given.</w:t>
      </w:r>
    </w:p>
    <w:p>
      <w:pPr>
        <w:spacing w:before="0"/>
        <w:ind w:left="860" w:right="0" w:firstLine="0"/>
        <w:jc w:val="left"/>
        <w:rPr>
          <w:i/>
          <w:sz w:val="16"/>
        </w:rPr>
      </w:pPr>
      <w:r>
        <w:rPr>
          <w:b/>
          <w:i/>
          <w:color w:val="0070C0"/>
          <w:sz w:val="16"/>
        </w:rPr>
        <w:t>PMRA DIR 2001-02   </w:t>
      </w:r>
      <w:r>
        <w:rPr>
          <w:i/>
          <w:color w:val="0070C0"/>
          <w:sz w:val="16"/>
        </w:rPr>
        <w:t>No specific recommendations.</w:t>
      </w:r>
    </w:p>
    <w:p>
      <w:pPr>
        <w:spacing w:before="1"/>
        <w:ind w:left="860" w:right="0" w:firstLine="0"/>
        <w:jc w:val="left"/>
        <w:rPr>
          <w:i/>
          <w:sz w:val="16"/>
        </w:rPr>
      </w:pPr>
      <w:r>
        <w:rPr>
          <w:b/>
          <w:i/>
          <w:color w:val="0070C0"/>
          <w:sz w:val="16"/>
        </w:rPr>
        <w:t>Environment Canada EPS 1/RM/44  </w:t>
      </w:r>
      <w:r>
        <w:rPr>
          <w:i/>
          <w:color w:val="0070C0"/>
          <w:sz w:val="16"/>
        </w:rPr>
        <w:t>No solvent other than water may be used in preparing test concentrations.</w:t>
      </w:r>
    </w:p>
    <w:p>
      <w:pPr>
        <w:pStyle w:val="Heading7"/>
        <w:spacing w:before="2"/>
        <w:ind w:right="4327"/>
        <w:jc w:val="center"/>
        <w:rPr>
          <w:i/>
        </w:rPr>
      </w:pPr>
      <w:r>
        <w:rPr>
          <w:i/>
          <w:color w:val="0070C0"/>
          <w:u w:val="single" w:color="0070C0"/>
        </w:rPr>
        <w:t>Supplemental guidance for terrestrial non-arthropod invertebrates:</w:t>
      </w:r>
    </w:p>
    <w:p>
      <w:pPr>
        <w:pStyle w:val="BodyText"/>
        <w:ind w:left="859" w:right="306"/>
      </w:pPr>
      <w:r>
        <w:rPr>
          <w:b/>
          <w:i/>
          <w:color w:val="0070C0"/>
        </w:rPr>
        <w:t>OECD 207 </w:t>
      </w:r>
      <w:r>
        <w:rPr>
          <w:i/>
          <w:color w:val="0070C0"/>
        </w:rPr>
        <w:t>For the filter paper test, the test substance is dissolved in water or in a suitable organic solvent (e.g., acetone, hexane or </w:t>
      </w:r>
      <w:r>
        <w:rPr>
          <w:color w:val="0070C0"/>
        </w:rPr>
        <w:t>chloroform). For the artificial soil test, only agents which volatilize readily may be used to solubilize, disperse or emulsify the test substance. The test medium must then be ventilated before use, and the amount of water evaporated replaced.</w:t>
      </w:r>
    </w:p>
    <w:p>
      <w:pPr>
        <w:pStyle w:val="BodyText"/>
        <w:spacing w:before="5"/>
        <w:rPr>
          <w:i/>
          <w:sz w:val="22"/>
        </w:rPr>
      </w:pPr>
    </w:p>
    <w:p>
      <w:pPr>
        <w:pStyle w:val="Heading2"/>
      </w:pPr>
      <w:r>
        <w:rPr/>
        <w:t>Confirmation of MPCA viability:</w:t>
      </w:r>
    </w:p>
    <w:p>
      <w:pPr>
        <w:pStyle w:val="BodyText"/>
        <w:rPr>
          <w:b/>
          <w:i w:val="0"/>
          <w:sz w:val="22"/>
        </w:rPr>
      </w:pPr>
    </w:p>
    <w:p>
      <w:pPr>
        <w:pStyle w:val="Heading5"/>
        <w:ind w:right="974"/>
      </w:pPr>
      <w:r>
        <w:rPr>
          <w:i/>
          <w:color w:val="FF0000"/>
        </w:rPr>
        <w:t>[Describe methods used to confirm the concentration and/or viability of the MPCA in the dosing </w:t>
      </w:r>
      <w:r>
        <w:rPr>
          <w:color w:val="FF0000"/>
        </w:rPr>
        <w:t>suspensions.]</w:t>
      </w:r>
    </w:p>
    <w:p>
      <w:pPr>
        <w:pStyle w:val="BodyText"/>
        <w:spacing w:before="7"/>
        <w:rPr>
          <w:i/>
          <w:sz w:val="21"/>
        </w:rPr>
      </w:pPr>
    </w:p>
    <w:p>
      <w:pPr>
        <w:spacing w:before="0"/>
        <w:ind w:left="860" w:right="124" w:firstLine="0"/>
        <w:jc w:val="left"/>
        <w:rPr>
          <w:i/>
          <w:sz w:val="16"/>
        </w:rPr>
      </w:pPr>
      <w:r>
        <w:rPr>
          <w:b/>
          <w:i/>
          <w:color w:val="0070C0"/>
          <w:sz w:val="16"/>
        </w:rPr>
        <w:t>U.S. EPA OCSPP 885.4340 </w:t>
      </w:r>
      <w:r>
        <w:rPr>
          <w:i/>
          <w:color w:val="0070C0"/>
          <w:sz w:val="16"/>
        </w:rPr>
        <w:t>The actual form of the material to be regarded as the test substance is discussed in OCSPP 885.0001. </w:t>
      </w:r>
      <w:r>
        <w:rPr>
          <w:b/>
          <w:i/>
          <w:color w:val="0070C0"/>
          <w:sz w:val="16"/>
        </w:rPr>
        <w:t>From U.S. </w:t>
      </w:r>
      <w:r>
        <w:rPr>
          <w:b/>
          <w:i/>
          <w:color w:val="0070C0"/>
          <w:sz w:val="16"/>
        </w:rPr>
        <w:t>EPA OCSPP 885.4000 Background for Nontarget Organism Testing of Microbial Pesticide Control Agents </w:t>
      </w:r>
      <w:r>
        <w:rPr>
          <w:i/>
          <w:color w:val="0070C0"/>
          <w:sz w:val="16"/>
        </w:rPr>
        <w:t>The concentration of MPCA in the </w:t>
      </w:r>
      <w:r>
        <w:rPr>
          <w:i/>
          <w:color w:val="0070C0"/>
          <w:sz w:val="16"/>
        </w:rPr>
        <w:t>water or food must be monitored to ensure that the test organisms are exposed to a sufficient MPCA level throughout the test period.</w:t>
      </w:r>
    </w:p>
    <w:p>
      <w:pPr>
        <w:pStyle w:val="BodyText"/>
        <w:ind w:left="859" w:right="306"/>
      </w:pPr>
      <w:r>
        <w:rPr>
          <w:b/>
          <w:i/>
          <w:color w:val="0070C0"/>
        </w:rPr>
        <w:t>PMRA DIR 2001-02 </w:t>
      </w:r>
      <w:r>
        <w:rPr>
          <w:i/>
          <w:color w:val="0070C0"/>
        </w:rPr>
        <w:t>Viability or potency of the MPCA in the dosing suspension should be confirmed. No specific methods are recommended. </w:t>
      </w:r>
      <w:r>
        <w:rPr>
          <w:b/>
          <w:i/>
          <w:color w:val="0070C0"/>
        </w:rPr>
        <w:t>Environment Canada EPS 1/RM/44 </w:t>
      </w:r>
      <w:r>
        <w:rPr>
          <w:i/>
          <w:color w:val="0070C0"/>
        </w:rPr>
        <w:t>Analytical techniques permitting, the concentration of the MPCA in the test soil in each treatment </w:t>
      </w:r>
      <w:r>
        <w:rPr>
          <w:color w:val="0070C0"/>
        </w:rPr>
        <w:t>(including controls) should be determined at the beginning and end of the test (at minimum).</w:t>
      </w:r>
    </w:p>
    <w:p>
      <w:pPr>
        <w:pStyle w:val="Heading7"/>
        <w:ind w:right="4327"/>
        <w:jc w:val="center"/>
        <w:rPr>
          <w:i/>
        </w:rPr>
      </w:pPr>
      <w:r>
        <w:rPr>
          <w:i/>
          <w:color w:val="0070C0"/>
          <w:u w:val="single" w:color="0070C0"/>
        </w:rPr>
        <w:t>Supplemental guidance for terrestrial non-arthropod invertebrates:</w:t>
      </w:r>
    </w:p>
    <w:p>
      <w:pPr>
        <w:pStyle w:val="BodyText"/>
        <w:spacing w:line="182" w:lineRule="exact"/>
        <w:ind w:left="860"/>
        <w:rPr>
          <w:i/>
        </w:rPr>
      </w:pPr>
      <w:r>
        <w:rPr>
          <w:b/>
          <w:i/>
          <w:color w:val="0070C0"/>
        </w:rPr>
        <w:t>OECD 207  </w:t>
      </w:r>
      <w:r>
        <w:rPr>
          <w:i/>
          <w:color w:val="0070C0"/>
        </w:rPr>
        <w:t>No specific recommendations for viability testing (guideline designed for chemical toxicity testing).</w:t>
      </w:r>
    </w:p>
    <w:p>
      <w:pPr>
        <w:pStyle w:val="BodyText"/>
        <w:rPr>
          <w:i/>
          <w:sz w:val="18"/>
        </w:rPr>
      </w:pPr>
    </w:p>
    <w:p>
      <w:pPr>
        <w:pStyle w:val="BodyText"/>
        <w:spacing w:before="3"/>
        <w:rPr>
          <w:i/>
          <w:sz w:val="20"/>
        </w:rPr>
      </w:pPr>
    </w:p>
    <w:p>
      <w:pPr>
        <w:pStyle w:val="Heading2"/>
        <w:spacing w:before="1"/>
        <w:rPr>
          <w:b w:val="0"/>
          <w:i/>
        </w:rPr>
      </w:pPr>
      <w:r>
        <w:rPr/>
        <w:t>Positive control / reference material: </w:t>
      </w:r>
      <w:r>
        <w:rPr>
          <w:b w:val="0"/>
          <w:i/>
          <w:color w:val="FF0000"/>
        </w:rPr>
        <w:t>[if used]</w:t>
      </w:r>
    </w:p>
    <w:p>
      <w:pPr>
        <w:pStyle w:val="BodyText"/>
        <w:rPr>
          <w:i/>
          <w:sz w:val="22"/>
        </w:rPr>
      </w:pPr>
    </w:p>
    <w:p>
      <w:pPr>
        <w:pStyle w:val="Heading5"/>
        <w:ind w:right="424"/>
      </w:pPr>
      <w:r>
        <w:rPr>
          <w:i/>
          <w:color w:val="FF0000"/>
        </w:rPr>
        <w:t>[Insert a description of the reference material, with the number of arthropods treated and frequency of </w:t>
      </w:r>
      <w:r>
        <w:rPr>
          <w:color w:val="FF0000"/>
        </w:rPr>
        <w:t>testing (if not concurrent).]</w:t>
      </w:r>
    </w:p>
    <w:p>
      <w:pPr>
        <w:pStyle w:val="BodyText"/>
        <w:spacing w:before="8"/>
        <w:rPr>
          <w:i/>
          <w:sz w:val="21"/>
        </w:rPr>
      </w:pPr>
    </w:p>
    <w:p>
      <w:pPr>
        <w:pStyle w:val="BodyText"/>
        <w:ind w:left="860" w:right="213"/>
      </w:pPr>
      <w:r>
        <w:rPr>
          <w:b/>
          <w:i/>
          <w:color w:val="0070C0"/>
        </w:rPr>
        <w:t>U.S. EPA OCSPP 885.4340 </w:t>
      </w:r>
      <w:r>
        <w:rPr>
          <w:i/>
          <w:color w:val="0070C0"/>
        </w:rPr>
        <w:t>Any substances used to enhance virulence should be tested along with the test substance. </w:t>
      </w:r>
      <w:r>
        <w:rPr>
          <w:b/>
          <w:i/>
          <w:color w:val="0070C0"/>
        </w:rPr>
        <w:t>From U.S. EPA OCSPP </w:t>
      </w:r>
      <w:r>
        <w:rPr>
          <w:b/>
          <w:color w:val="0070C0"/>
        </w:rPr>
        <w:t>885.0001 Overview for Microbial Pest Control Agents </w:t>
      </w:r>
      <w:r>
        <w:rPr>
          <w:i/>
          <w:color w:val="0070C0"/>
        </w:rPr>
        <w:t>Positive controls generally are not required unless to serve as internal quality controls, </w:t>
      </w:r>
      <w:r>
        <w:rPr>
          <w:color w:val="0070C0"/>
        </w:rPr>
        <w:t>demonstrate known test organism sensitivity and respond to known toxic or infective agents, and/or to ascertain if a strain or species reacts similarly to another strain or species when exposed to the same known or standard toxicant or infective agent.</w:t>
      </w:r>
    </w:p>
    <w:p>
      <w:pPr>
        <w:pStyle w:val="BodyText"/>
        <w:ind w:left="859" w:right="168"/>
      </w:pPr>
      <w:r>
        <w:rPr>
          <w:b/>
          <w:i/>
          <w:color w:val="0070C0"/>
        </w:rPr>
        <w:t>PMRA DIR 2001-02 </w:t>
      </w:r>
      <w:r>
        <w:rPr>
          <w:i/>
          <w:color w:val="0070C0"/>
        </w:rPr>
        <w:t>No reference toxicant substance is required, but for all tests, the activity level of the MPCA should be related to its </w:t>
      </w:r>
      <w:r>
        <w:rPr>
          <w:color w:val="0070C0"/>
        </w:rPr>
        <w:t>pesticidal capability by running parallel studies in which target pests or hosts are exposed to the MPCA. Alternatively, the activity of the MPCA, in terms of viability can be assessed by another technique, e.g., culturing on a synthetic medium. In either case, the activity of the MPCA used in the test must be equal to or greater than the activity of the MPCA in the EP to be registered.</w:t>
      </w:r>
    </w:p>
    <w:p>
      <w:pPr>
        <w:pStyle w:val="BodyText"/>
        <w:spacing w:before="1"/>
        <w:ind w:left="860" w:right="206"/>
      </w:pPr>
      <w:r>
        <w:rPr>
          <w:b/>
          <w:i/>
          <w:color w:val="0070C0"/>
        </w:rPr>
        <w:t>Environment Canada EPS 1/RM/44  </w:t>
      </w:r>
      <w:r>
        <w:rPr>
          <w:i/>
          <w:color w:val="0070C0"/>
        </w:rPr>
        <w:t>The inclusion of a positive microbial control is not required and is not recommended for most </w:t>
      </w:r>
      <w:r>
        <w:rPr>
          <w:color w:val="0070C0"/>
        </w:rPr>
        <w:t>applications. In instances where a suitable pathogen is available (i.e., genetically related with known toxic/pathogenic effects), a positive microbial control might be warranted. Sensitivity of test organisms to a reference toxicant (i.e., a positive chemical control) must be determined.</w:t>
      </w:r>
    </w:p>
    <w:p>
      <w:pPr>
        <w:pStyle w:val="Heading7"/>
        <w:ind w:right="4327"/>
        <w:jc w:val="center"/>
        <w:rPr>
          <w:i/>
        </w:rPr>
      </w:pPr>
      <w:r>
        <w:rPr>
          <w:i/>
          <w:color w:val="0070C0"/>
          <w:u w:val="single" w:color="0070C0"/>
        </w:rPr>
        <w:t>Supplemental guidance for terrestrial non-arthropod invertebrates:</w:t>
      </w:r>
    </w:p>
    <w:p>
      <w:pPr>
        <w:pStyle w:val="BodyText"/>
        <w:spacing w:line="184" w:lineRule="exact"/>
        <w:ind w:left="860" w:hanging="1"/>
      </w:pPr>
      <w:r>
        <w:rPr>
          <w:b/>
          <w:i/>
          <w:color w:val="0070C0"/>
        </w:rPr>
        <w:t>OECD 207 </w:t>
      </w:r>
      <w:r>
        <w:rPr>
          <w:i/>
          <w:color w:val="0070C0"/>
        </w:rPr>
        <w:t>The LC</w:t>
      </w:r>
      <w:r>
        <w:rPr>
          <w:i/>
          <w:color w:val="0070C0"/>
          <w:position w:val="-1"/>
          <w:sz w:val="10"/>
        </w:rPr>
        <w:t>50 </w:t>
      </w:r>
      <w:r>
        <w:rPr>
          <w:i/>
          <w:color w:val="0070C0"/>
        </w:rPr>
        <w:t>of a reference substance should be determined occasionally as a means of assuring that the laboratory test conditions are </w:t>
      </w:r>
      <w:r>
        <w:rPr>
          <w:color w:val="0070C0"/>
        </w:rPr>
        <w:t>adequate and have not changed significantly. A suitable reference substance is chloracetamide.</w:t>
      </w:r>
    </w:p>
    <w:p>
      <w:pPr>
        <w:pStyle w:val="BodyText"/>
        <w:rPr>
          <w:i/>
          <w:sz w:val="18"/>
        </w:rPr>
      </w:pPr>
    </w:p>
    <w:p>
      <w:pPr>
        <w:pStyle w:val="BodyText"/>
        <w:rPr>
          <w:i/>
          <w:sz w:val="26"/>
        </w:rPr>
      </w:pPr>
    </w:p>
    <w:p>
      <w:pPr>
        <w:pStyle w:val="Heading2"/>
      </w:pPr>
      <w:r>
        <w:rPr/>
        <w:t>Other controls:</w:t>
      </w:r>
    </w:p>
    <w:p>
      <w:pPr>
        <w:pStyle w:val="BodyText"/>
        <w:rPr>
          <w:b/>
          <w:i w:val="0"/>
          <w:sz w:val="22"/>
        </w:rPr>
      </w:pPr>
    </w:p>
    <w:p>
      <w:pPr>
        <w:pStyle w:val="Heading5"/>
        <w:rPr>
          <w:i/>
        </w:rPr>
      </w:pPr>
      <w:r>
        <w:rPr>
          <w:i/>
          <w:color w:val="FF0000"/>
        </w:rPr>
        <w:t>[Insert a description of any other control group included in the test.]</w:t>
      </w:r>
    </w:p>
    <w:p>
      <w:pPr>
        <w:pStyle w:val="BodyText"/>
        <w:spacing w:before="8"/>
        <w:rPr>
          <w:i/>
          <w:sz w:val="21"/>
        </w:rPr>
      </w:pPr>
    </w:p>
    <w:p>
      <w:pPr>
        <w:spacing w:before="0"/>
        <w:ind w:left="860" w:right="201" w:hanging="1"/>
        <w:jc w:val="left"/>
        <w:rPr>
          <w:i/>
          <w:sz w:val="16"/>
        </w:rPr>
      </w:pPr>
      <w:r>
        <w:rPr>
          <w:b/>
          <w:i/>
          <w:color w:val="0070C0"/>
          <w:sz w:val="16"/>
        </w:rPr>
        <w:t>U.S. EPA OCSPP 885.4340 </w:t>
      </w:r>
      <w:r>
        <w:rPr>
          <w:i/>
          <w:color w:val="0070C0"/>
          <w:sz w:val="16"/>
        </w:rPr>
        <w:t>A concurrent control group is recommended and should be treated with microbe-free (or nonviable microbe) </w:t>
      </w:r>
      <w:r>
        <w:rPr>
          <w:i/>
          <w:color w:val="0070C0"/>
          <w:sz w:val="16"/>
        </w:rPr>
        <w:t>material from the culture system used for propagation of the microbial pest control agent. </w:t>
      </w:r>
      <w:r>
        <w:rPr>
          <w:b/>
          <w:i/>
          <w:color w:val="0070C0"/>
          <w:sz w:val="16"/>
        </w:rPr>
        <w:t>From U.S. EPA OCSPP 885.0001 Overview for </w:t>
      </w:r>
      <w:r>
        <w:rPr>
          <w:b/>
          <w:i/>
          <w:color w:val="0070C0"/>
          <w:sz w:val="16"/>
        </w:rPr>
        <w:t>Microbial Pest Control Agents </w:t>
      </w:r>
      <w:r>
        <w:rPr>
          <w:i/>
          <w:color w:val="0070C0"/>
          <w:sz w:val="16"/>
        </w:rPr>
        <w:t>All controls shall, to the extent possible, be from the same source, be of the same age, receive the same care, and</w:t>
      </w:r>
    </w:p>
    <w:p>
      <w:pPr>
        <w:spacing w:after="0"/>
        <w:jc w:val="left"/>
        <w:rPr>
          <w:sz w:val="16"/>
        </w:rPr>
        <w:sectPr>
          <w:pgSz w:w="12240" w:h="15840"/>
          <w:pgMar w:header="729" w:footer="796" w:top="1880" w:bottom="980" w:left="940" w:right="940"/>
        </w:sectPr>
      </w:pPr>
    </w:p>
    <w:p>
      <w:pPr>
        <w:pStyle w:val="BodyText"/>
        <w:spacing w:before="134"/>
        <w:ind w:left="860" w:right="258"/>
      </w:pPr>
      <w:r>
        <w:rPr>
          <w:i/>
          <w:color w:val="0070C0"/>
        </w:rPr>
        <w:t>receive the same nutrients as the animals or plants receiving the test substance. To prevent bias, a method to assign organisms to treatment and </w:t>
      </w:r>
      <w:r>
        <w:rPr>
          <w:color w:val="0070C0"/>
        </w:rPr>
        <w:t>control groups randomly is required and must be referenced in the report.</w:t>
      </w:r>
    </w:p>
    <w:p>
      <w:pPr>
        <w:pStyle w:val="BodyText"/>
        <w:ind w:left="859" w:right="306"/>
      </w:pPr>
      <w:r>
        <w:rPr>
          <w:b/>
          <w:i/>
          <w:color w:val="0070C0"/>
        </w:rPr>
        <w:t>PMRA DIR 2001-02 </w:t>
      </w:r>
      <w:r>
        <w:rPr>
          <w:i/>
          <w:color w:val="0070C0"/>
        </w:rPr>
        <w:t>A negative, no-dosed control group of the non-target organism should be run concurrently with the test group. </w:t>
      </w:r>
      <w:r>
        <w:rPr>
          <w:b/>
          <w:i/>
          <w:color w:val="0070C0"/>
        </w:rPr>
        <w:t>Environment Canada EPS 1/RM/44 </w:t>
      </w:r>
      <w:r>
        <w:rPr>
          <w:i/>
          <w:color w:val="0070C0"/>
        </w:rPr>
        <w:t>A negative control is required, and a non-infectious control is strongly recommended. A sterile culture </w:t>
      </w:r>
      <w:r>
        <w:rPr>
          <w:color w:val="0070C0"/>
        </w:rPr>
        <w:t>filtrate control is optional but recommended.</w:t>
      </w:r>
    </w:p>
    <w:p>
      <w:pPr>
        <w:spacing w:line="180" w:lineRule="exact" w:before="9"/>
        <w:ind w:left="860" w:right="4329" w:firstLine="719"/>
        <w:jc w:val="left"/>
        <w:rPr>
          <w:i/>
          <w:sz w:val="16"/>
        </w:rPr>
      </w:pPr>
      <w:r>
        <w:rPr>
          <w:b/>
          <w:i/>
          <w:color w:val="0070C0"/>
          <w:sz w:val="16"/>
          <w:u w:val="single" w:color="0070C0"/>
        </w:rPr>
        <w:t>Supplemental guidance for terrestrial non-arthropod invertebrates: </w:t>
      </w:r>
      <w:r>
        <w:rPr>
          <w:b/>
          <w:i/>
          <w:color w:val="0070C0"/>
          <w:sz w:val="16"/>
        </w:rPr>
        <w:t>OECD 207   </w:t>
      </w:r>
      <w:r>
        <w:rPr>
          <w:i/>
          <w:color w:val="0070C0"/>
          <w:sz w:val="16"/>
        </w:rPr>
        <w:t>A negative control treated with the same solvent is required.</w:t>
      </w:r>
    </w:p>
    <w:p>
      <w:pPr>
        <w:pStyle w:val="BodyText"/>
        <w:rPr>
          <w:i/>
          <w:sz w:val="18"/>
        </w:rPr>
      </w:pPr>
    </w:p>
    <w:p>
      <w:pPr>
        <w:pStyle w:val="BodyText"/>
        <w:spacing w:before="1"/>
        <w:rPr>
          <w:i/>
          <w:sz w:val="26"/>
        </w:rPr>
      </w:pPr>
    </w:p>
    <w:p>
      <w:pPr>
        <w:pStyle w:val="Heading2"/>
      </w:pPr>
      <w:r>
        <w:rPr/>
        <w:t>Number of test organisms per chamber:</w:t>
      </w:r>
    </w:p>
    <w:p>
      <w:pPr>
        <w:pStyle w:val="BodyText"/>
        <w:spacing w:before="10"/>
        <w:rPr>
          <w:b/>
          <w:i w:val="0"/>
          <w:sz w:val="21"/>
        </w:rPr>
      </w:pPr>
    </w:p>
    <w:p>
      <w:pPr>
        <w:pStyle w:val="Heading4"/>
        <w:ind w:right="8314"/>
      </w:pPr>
      <w:r>
        <w:rPr/>
        <w:t>Control(s): </w:t>
      </w:r>
      <w:r>
        <w:rPr>
          <w:w w:val="95"/>
        </w:rPr>
        <w:t>Treatments:</w:t>
      </w:r>
    </w:p>
    <w:p>
      <w:pPr>
        <w:pStyle w:val="BodyText"/>
        <w:spacing w:before="8"/>
        <w:rPr>
          <w:i w:val="0"/>
          <w:sz w:val="21"/>
        </w:rPr>
      </w:pPr>
    </w:p>
    <w:p>
      <w:pPr>
        <w:spacing w:before="1"/>
        <w:ind w:left="860" w:right="0" w:firstLine="0"/>
        <w:jc w:val="left"/>
        <w:rPr>
          <w:i/>
          <w:sz w:val="16"/>
        </w:rPr>
      </w:pPr>
      <w:r>
        <w:rPr>
          <w:b/>
          <w:i/>
          <w:color w:val="0070C0"/>
          <w:sz w:val="16"/>
        </w:rPr>
        <w:t>U.S. EPA OCSPP 885.4340   </w:t>
      </w:r>
      <w:r>
        <w:rPr>
          <w:i/>
          <w:color w:val="0070C0"/>
          <w:sz w:val="16"/>
        </w:rPr>
        <w:t>No specific recommendations.</w:t>
      </w:r>
    </w:p>
    <w:p>
      <w:pPr>
        <w:spacing w:line="184" w:lineRule="exact" w:before="1"/>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Ten springtails per test chamber.</w:t>
      </w:r>
    </w:p>
    <w:p>
      <w:pPr>
        <w:spacing w:line="180" w:lineRule="exact" w:before="8"/>
        <w:ind w:left="860" w:right="4329" w:firstLine="719"/>
        <w:jc w:val="left"/>
        <w:rPr>
          <w:i/>
          <w:sz w:val="16"/>
        </w:rPr>
      </w:pPr>
      <w:r>
        <w:rPr>
          <w:b/>
          <w:i/>
          <w:color w:val="0070C0"/>
          <w:sz w:val="16"/>
          <w:u w:val="single" w:color="0070C0"/>
        </w:rPr>
        <w:t>Supplemental guidance for terrestrial non-arthropod invertebrates: </w:t>
      </w:r>
      <w:r>
        <w:rPr>
          <w:b/>
          <w:i/>
          <w:color w:val="0070C0"/>
          <w:sz w:val="16"/>
        </w:rPr>
        <w:t>Environment Canada EPS 1/RM/44   </w:t>
      </w:r>
      <w:r>
        <w:rPr>
          <w:i/>
          <w:color w:val="0070C0"/>
          <w:sz w:val="16"/>
        </w:rPr>
        <w:t>Two worms per test chamber.</w:t>
      </w:r>
    </w:p>
    <w:p>
      <w:pPr>
        <w:pStyle w:val="BodyText"/>
        <w:spacing w:line="183" w:lineRule="exact"/>
        <w:ind w:left="859"/>
        <w:rPr>
          <w:i/>
        </w:rPr>
      </w:pPr>
      <w:r>
        <w:rPr>
          <w:b/>
          <w:i/>
          <w:color w:val="0070C0"/>
        </w:rPr>
        <w:t>OECD 207  </w:t>
      </w:r>
      <w:r>
        <w:rPr>
          <w:i/>
          <w:color w:val="0070C0"/>
        </w:rPr>
        <w:t>For the filter paper test, one worm/vial; for the artificial soil test, ten earthworms per chamber.</w:t>
      </w:r>
    </w:p>
    <w:p>
      <w:pPr>
        <w:pStyle w:val="BodyText"/>
        <w:rPr>
          <w:i/>
          <w:sz w:val="18"/>
        </w:rPr>
      </w:pPr>
    </w:p>
    <w:p>
      <w:pPr>
        <w:pStyle w:val="BodyText"/>
        <w:spacing w:before="3"/>
        <w:rPr>
          <w:i/>
          <w:sz w:val="26"/>
        </w:rPr>
      </w:pPr>
    </w:p>
    <w:p>
      <w:pPr>
        <w:pStyle w:val="Heading2"/>
      </w:pPr>
      <w:r>
        <w:rPr/>
        <w:t>Number of replicates (chambers) per treatment:</w:t>
      </w:r>
    </w:p>
    <w:p>
      <w:pPr>
        <w:pStyle w:val="BodyText"/>
        <w:spacing w:before="9"/>
        <w:rPr>
          <w:b/>
          <w:i w:val="0"/>
          <w:sz w:val="21"/>
        </w:rPr>
      </w:pPr>
    </w:p>
    <w:p>
      <w:pPr>
        <w:pStyle w:val="Heading4"/>
        <w:ind w:right="8314"/>
      </w:pPr>
      <w:r>
        <w:rPr/>
        <w:t>Control(s): </w:t>
      </w:r>
      <w:r>
        <w:rPr>
          <w:w w:val="95"/>
        </w:rPr>
        <w:t>Treatments:</w:t>
      </w:r>
    </w:p>
    <w:p>
      <w:pPr>
        <w:pStyle w:val="BodyText"/>
        <w:spacing w:before="9"/>
        <w:rPr>
          <w:i w:val="0"/>
          <w:sz w:val="21"/>
        </w:rPr>
      </w:pPr>
    </w:p>
    <w:p>
      <w:pPr>
        <w:spacing w:line="184" w:lineRule="exact" w:before="1"/>
        <w:ind w:left="860" w:right="0" w:firstLine="0"/>
        <w:jc w:val="left"/>
        <w:rPr>
          <w:i/>
          <w:sz w:val="16"/>
        </w:rPr>
      </w:pPr>
      <w:r>
        <w:rPr>
          <w:b/>
          <w:i/>
          <w:color w:val="0070C0"/>
          <w:sz w:val="16"/>
        </w:rPr>
        <w:t>U.S. EPA OCSPP 885.4340   </w:t>
      </w:r>
      <w:r>
        <w:rPr>
          <w:i/>
          <w:color w:val="0070C0"/>
          <w:sz w:val="16"/>
        </w:rPr>
        <w:t>No specific recommendations.</w:t>
      </w:r>
    </w:p>
    <w:p>
      <w:pPr>
        <w:pStyle w:val="BodyText"/>
        <w:ind w:left="859" w:right="213"/>
      </w:pPr>
      <w:r>
        <w:rPr>
          <w:b/>
          <w:i/>
          <w:color w:val="0070C0"/>
        </w:rPr>
        <w:t>PMRA DIR 2001-02 </w:t>
      </w:r>
      <w:r>
        <w:rPr>
          <w:i/>
          <w:color w:val="0070C0"/>
        </w:rPr>
        <w:t>A sufficient number of test organisms must be treated to allow for adequate controls, statistical analysis, interpretation of </w:t>
      </w:r>
      <w:r>
        <w:rPr>
          <w:color w:val="0070C0"/>
        </w:rPr>
        <w:t>data and for interim sacrifice, if applicable. The number in each test group will depend on the species to be tested, the expected duration of the study, whether single or multiple groups are to be treated.</w:t>
      </w:r>
    </w:p>
    <w:p>
      <w:pPr>
        <w:spacing w:line="184" w:lineRule="exact" w:before="0"/>
        <w:ind w:left="859" w:right="0" w:firstLine="0"/>
        <w:jc w:val="left"/>
        <w:rPr>
          <w:i/>
          <w:sz w:val="16"/>
        </w:rPr>
      </w:pPr>
      <w:r>
        <w:rPr>
          <w:b/>
          <w:i/>
          <w:color w:val="0070C0"/>
          <w:sz w:val="16"/>
        </w:rPr>
        <w:t>Environment Canada EPS 1/RM/44   </w:t>
      </w:r>
      <w:r>
        <w:rPr>
          <w:i/>
          <w:color w:val="0070C0"/>
          <w:sz w:val="16"/>
        </w:rPr>
        <w:t>Five chambers (fifty springtails) per treatment.</w:t>
      </w:r>
    </w:p>
    <w:p>
      <w:pPr>
        <w:spacing w:line="182" w:lineRule="exact" w:before="7"/>
        <w:ind w:left="859" w:right="3774" w:firstLine="719"/>
        <w:jc w:val="left"/>
        <w:rPr>
          <w:i/>
          <w:sz w:val="16"/>
        </w:rPr>
      </w:pPr>
      <w:r>
        <w:rPr>
          <w:b/>
          <w:i/>
          <w:color w:val="0070C0"/>
          <w:sz w:val="16"/>
          <w:u w:val="single" w:color="0070C0"/>
        </w:rPr>
        <w:t>Supplemental guidance for terrestrial non-arthropod invertebrates: </w:t>
      </w:r>
      <w:r>
        <w:rPr>
          <w:b/>
          <w:i/>
          <w:color w:val="0070C0"/>
          <w:sz w:val="16"/>
        </w:rPr>
        <w:t>Environment Canada EPS 1/RM/44   </w:t>
      </w:r>
      <w:r>
        <w:rPr>
          <w:i/>
          <w:color w:val="0070C0"/>
          <w:sz w:val="16"/>
        </w:rPr>
        <w:t>Ten replicates (of two worms each) per treatment.</w:t>
      </w:r>
    </w:p>
    <w:p>
      <w:pPr>
        <w:pStyle w:val="BodyText"/>
        <w:spacing w:line="184" w:lineRule="exact"/>
        <w:ind w:left="859" w:right="306"/>
      </w:pPr>
      <w:r>
        <w:rPr>
          <w:b/>
          <w:i/>
          <w:color w:val="0070C0"/>
        </w:rPr>
        <w:t>OECD 207 </w:t>
      </w:r>
      <w:r>
        <w:rPr>
          <w:i/>
          <w:color w:val="0070C0"/>
        </w:rPr>
        <w:t>For filter paper test, 10 replicates/ treatment or control (the precision can be increased by using 20 replicates); for artificial soil </w:t>
      </w:r>
      <w:r>
        <w:rPr>
          <w:color w:val="0070C0"/>
        </w:rPr>
        <w:t>test, 4 replicates/treatment.</w:t>
      </w:r>
    </w:p>
    <w:p>
      <w:pPr>
        <w:pStyle w:val="BodyText"/>
        <w:rPr>
          <w:i/>
          <w:sz w:val="18"/>
        </w:rPr>
      </w:pPr>
    </w:p>
    <w:p>
      <w:pPr>
        <w:pStyle w:val="BodyText"/>
        <w:spacing w:before="1"/>
        <w:rPr>
          <w:i/>
          <w:sz w:val="20"/>
        </w:rPr>
      </w:pPr>
    </w:p>
    <w:p>
      <w:pPr>
        <w:pStyle w:val="Heading2"/>
      </w:pPr>
      <w:r>
        <w:rPr/>
        <w:t>Recovery of MPCA from test organisms:</w:t>
      </w:r>
    </w:p>
    <w:p>
      <w:pPr>
        <w:pStyle w:val="BodyText"/>
        <w:spacing w:before="10"/>
        <w:rPr>
          <w:b/>
          <w:i w:val="0"/>
          <w:sz w:val="21"/>
        </w:rPr>
      </w:pPr>
    </w:p>
    <w:p>
      <w:pPr>
        <w:pStyle w:val="Heading5"/>
        <w:rPr>
          <w:i/>
        </w:rPr>
      </w:pPr>
      <w:r>
        <w:rPr>
          <w:i/>
          <w:color w:val="FF0000"/>
        </w:rPr>
        <w:t>[Describe methods used to recover the MPCA from collected samples.]</w:t>
      </w:r>
    </w:p>
    <w:p>
      <w:pPr>
        <w:pStyle w:val="BodyText"/>
        <w:spacing w:before="8"/>
        <w:rPr>
          <w:i/>
          <w:sz w:val="21"/>
        </w:rPr>
      </w:pPr>
    </w:p>
    <w:p>
      <w:pPr>
        <w:pStyle w:val="BodyText"/>
        <w:ind w:left="860" w:right="306" w:hanging="1"/>
      </w:pPr>
      <w:r>
        <w:rPr>
          <w:b/>
          <w:i/>
          <w:color w:val="0070C0"/>
        </w:rPr>
        <w:t>U.S. EPA OCSPP 885.4340 </w:t>
      </w:r>
      <w:r>
        <w:rPr>
          <w:i/>
          <w:color w:val="0070C0"/>
        </w:rPr>
        <w:t>The recovery of the MPCA from test organisms may be required for many types of MPCA. See "Duration of the </w:t>
      </w:r>
      <w:r>
        <w:rPr>
          <w:color w:val="0070C0"/>
        </w:rPr>
        <w:t>study" below for additional details.</w:t>
      </w:r>
    </w:p>
    <w:p>
      <w:pPr>
        <w:pStyle w:val="BodyText"/>
        <w:ind w:left="859" w:right="306"/>
      </w:pPr>
      <w:r>
        <w:rPr>
          <w:b/>
          <w:i/>
          <w:color w:val="0070C0"/>
        </w:rPr>
        <w:t>PMRA DIR 2001-02 </w:t>
      </w:r>
      <w:r>
        <w:rPr>
          <w:i/>
          <w:color w:val="0070C0"/>
        </w:rPr>
        <w:t>Required for MPCAs that are pathogens. Various methods for detection may be employed to detect the MPCA but it </w:t>
      </w:r>
      <w:r>
        <w:rPr>
          <w:color w:val="0070C0"/>
        </w:rPr>
        <w:t>should be appropriate for both the organism (e.g., bacterium) and the mode of action of the MPCA.</w:t>
      </w:r>
    </w:p>
    <w:p>
      <w:pPr>
        <w:spacing w:before="0"/>
        <w:ind w:left="859" w:right="306" w:firstLine="0"/>
        <w:jc w:val="left"/>
        <w:rPr>
          <w:i/>
          <w:sz w:val="16"/>
        </w:rPr>
      </w:pPr>
      <w:r>
        <w:rPr>
          <w:b/>
          <w:i/>
          <w:color w:val="0070C0"/>
          <w:sz w:val="16"/>
        </w:rPr>
        <w:t>Environment Canada EPS 1/RM/44 </w:t>
      </w:r>
      <w:r>
        <w:rPr>
          <w:i/>
          <w:color w:val="0070C0"/>
          <w:sz w:val="16"/>
        </w:rPr>
        <w:t>The recovery of the MPCA from test organisms is not required due to biomass limitations of the test </w:t>
      </w:r>
      <w:r>
        <w:rPr>
          <w:i/>
          <w:color w:val="0070C0"/>
          <w:sz w:val="16"/>
        </w:rPr>
        <w:t>organisms.</w:t>
      </w:r>
    </w:p>
    <w:p>
      <w:pPr>
        <w:pStyle w:val="Heading7"/>
        <w:ind w:right="4327"/>
        <w:jc w:val="center"/>
        <w:rPr>
          <w:i/>
        </w:rPr>
      </w:pPr>
      <w:r>
        <w:rPr>
          <w:i/>
          <w:color w:val="0070C0"/>
          <w:u w:val="single" w:color="0070C0"/>
        </w:rPr>
        <w:t>Supplemental guidance for terrestrial non-arthropod invertebrates:</w:t>
      </w:r>
    </w:p>
    <w:p>
      <w:pPr>
        <w:pStyle w:val="BodyText"/>
        <w:ind w:left="859" w:right="306"/>
      </w:pPr>
      <w:r>
        <w:rPr>
          <w:b/>
          <w:i/>
          <w:color w:val="0070C0"/>
        </w:rPr>
        <w:t>Environment Canada EPS 1/RM/44 </w:t>
      </w:r>
      <w:r>
        <w:rPr>
          <w:i/>
          <w:color w:val="0070C0"/>
        </w:rPr>
        <w:t>The recovery of the MPCA from test organisms is optional based on whole-organism homogenate from </w:t>
      </w:r>
      <w:r>
        <w:rPr>
          <w:color w:val="0070C0"/>
        </w:rPr>
        <w:t>each treatment (including controls) during and/or at end of test.</w:t>
      </w:r>
    </w:p>
    <w:p>
      <w:pPr>
        <w:pStyle w:val="BodyText"/>
        <w:spacing w:line="184" w:lineRule="exact" w:before="2"/>
        <w:ind w:left="859"/>
        <w:rPr>
          <w:i/>
        </w:rPr>
      </w:pPr>
      <w:r>
        <w:rPr>
          <w:b/>
          <w:i/>
          <w:color w:val="0070C0"/>
        </w:rPr>
        <w:t>OECD 207   </w:t>
      </w:r>
      <w:r>
        <w:rPr>
          <w:i/>
          <w:color w:val="0070C0"/>
        </w:rPr>
        <w:t>No specific recommendations (guideline designed for chemical toxicity testing).</w:t>
      </w:r>
    </w:p>
    <w:p>
      <w:pPr>
        <w:pStyle w:val="BodyText"/>
        <w:rPr>
          <w:i/>
          <w:sz w:val="18"/>
        </w:rPr>
      </w:pPr>
    </w:p>
    <w:p>
      <w:pPr>
        <w:pStyle w:val="BodyText"/>
        <w:spacing w:before="2"/>
        <w:rPr>
          <w:i/>
          <w:sz w:val="26"/>
        </w:rPr>
      </w:pPr>
    </w:p>
    <w:p>
      <w:pPr>
        <w:pStyle w:val="Heading2"/>
        <w:ind w:left="859"/>
      </w:pPr>
      <w:r>
        <w:rPr/>
        <w:t>Feeding:</w:t>
      </w:r>
    </w:p>
    <w:p>
      <w:pPr>
        <w:pStyle w:val="BodyText"/>
        <w:spacing w:before="11"/>
        <w:rPr>
          <w:b/>
          <w:i w:val="0"/>
          <w:sz w:val="21"/>
        </w:rPr>
      </w:pPr>
    </w:p>
    <w:p>
      <w:pPr>
        <w:pStyle w:val="Heading5"/>
        <w:rPr>
          <w:i/>
        </w:rPr>
      </w:pPr>
      <w:r>
        <w:rPr>
          <w:i/>
          <w:color w:val="FF0000"/>
        </w:rPr>
        <w:t>[Describe the feeding regime used during the experiment.]</w:t>
      </w:r>
    </w:p>
    <w:p>
      <w:pPr>
        <w:spacing w:after="0"/>
        <w:sectPr>
          <w:pgSz w:w="12240" w:h="15840"/>
          <w:pgMar w:header="729" w:footer="796" w:top="1880" w:bottom="980" w:left="940" w:right="940"/>
        </w:sectPr>
      </w:pPr>
    </w:p>
    <w:p>
      <w:pPr>
        <w:pStyle w:val="BodyText"/>
        <w:spacing w:before="134"/>
        <w:ind w:left="860" w:right="213" w:hanging="1"/>
      </w:pPr>
      <w:r>
        <w:rPr>
          <w:b/>
          <w:i/>
          <w:color w:val="0070C0"/>
        </w:rPr>
        <w:t>U.S. EPA OCSPP 885.4340 </w:t>
      </w:r>
      <w:r>
        <w:rPr>
          <w:i/>
          <w:color w:val="0070C0"/>
        </w:rPr>
        <w:t>No specific recommendations- but the feeding regime is dependent on the type of MPCA (bacteria, fungi, protozoa, </w:t>
      </w:r>
      <w:r>
        <w:rPr>
          <w:color w:val="0070C0"/>
        </w:rPr>
        <w:t>and viruses. See “Route of Exposure section above for additional guidance.</w:t>
      </w:r>
    </w:p>
    <w:p>
      <w:pPr>
        <w:spacing w:line="183" w:lineRule="exact" w:before="0"/>
        <w:ind w:left="860" w:right="0" w:firstLine="0"/>
        <w:jc w:val="left"/>
        <w:rPr>
          <w:i/>
          <w:sz w:val="16"/>
        </w:rPr>
      </w:pPr>
      <w:r>
        <w:rPr>
          <w:b/>
          <w:i/>
          <w:color w:val="0070C0"/>
          <w:sz w:val="16"/>
        </w:rPr>
        <w:t>PMRA DIR 2001-02   </w:t>
      </w:r>
      <w:r>
        <w:rPr>
          <w:i/>
          <w:color w:val="0070C0"/>
          <w:sz w:val="16"/>
        </w:rPr>
        <w:t>No specific recommendations.</w:t>
      </w:r>
    </w:p>
    <w:p>
      <w:pPr>
        <w:spacing w:line="184" w:lineRule="exact" w:before="0"/>
        <w:ind w:left="860" w:right="0" w:firstLine="0"/>
        <w:jc w:val="left"/>
        <w:rPr>
          <w:i/>
          <w:sz w:val="16"/>
        </w:rPr>
      </w:pPr>
      <w:r>
        <w:rPr>
          <w:b/>
          <w:i/>
          <w:color w:val="0070C0"/>
          <w:sz w:val="16"/>
        </w:rPr>
        <w:t>Environment Canada EPS 1/RM/44  </w:t>
      </w:r>
      <w:r>
        <w:rPr>
          <w:i/>
          <w:color w:val="0070C0"/>
          <w:sz w:val="16"/>
        </w:rPr>
        <w:t>Dry yeast, ~2 mg per test chamber on Days 0 and 14 only.</w:t>
      </w:r>
    </w:p>
    <w:p>
      <w:pPr>
        <w:pStyle w:val="Heading7"/>
        <w:ind w:left="1580"/>
        <w:rPr>
          <w:i/>
        </w:rPr>
      </w:pPr>
      <w:r>
        <w:rPr>
          <w:i/>
          <w:color w:val="0070C0"/>
          <w:u w:val="single" w:color="0070C0"/>
        </w:rPr>
        <w:t>Supplemental guidance for terrestrial non-arthropod invertebrates:</w:t>
      </w:r>
    </w:p>
    <w:p>
      <w:pPr>
        <w:pStyle w:val="BodyText"/>
        <w:ind w:left="859" w:right="306"/>
      </w:pPr>
      <w:r>
        <w:rPr>
          <w:b/>
          <w:i/>
          <w:color w:val="0070C0"/>
        </w:rPr>
        <w:t>Environment Canada EPS 1/RM/44 </w:t>
      </w:r>
      <w:r>
        <w:rPr>
          <w:i/>
          <w:color w:val="0070C0"/>
        </w:rPr>
        <w:t>Cooked oatmeal; 5 mL per test chamber at each feeding, placed in a shallow depression at the centre of </w:t>
      </w:r>
      <w:r>
        <w:rPr>
          <w:color w:val="0070C0"/>
        </w:rPr>
        <w:t>the soil surface and in each test chamber on Days 0. 14, 28 and 42 only.</w:t>
      </w:r>
    </w:p>
    <w:p>
      <w:pPr>
        <w:spacing w:line="184" w:lineRule="exact" w:before="2"/>
        <w:ind w:left="859" w:right="0" w:firstLine="0"/>
        <w:jc w:val="left"/>
        <w:rPr>
          <w:i/>
          <w:sz w:val="16"/>
        </w:rPr>
      </w:pPr>
      <w:r>
        <w:rPr>
          <w:b/>
          <w:i/>
          <w:color w:val="0070C0"/>
          <w:sz w:val="16"/>
        </w:rPr>
        <w:t>OECD 207   </w:t>
      </w:r>
      <w:r>
        <w:rPr>
          <w:i/>
          <w:color w:val="0070C0"/>
          <w:sz w:val="16"/>
        </w:rPr>
        <w:t>Worms are not fed during the study.</w:t>
      </w:r>
    </w:p>
    <w:p>
      <w:pPr>
        <w:pStyle w:val="BodyText"/>
        <w:spacing w:before="3"/>
        <w:rPr>
          <w:i/>
          <w:sz w:val="22"/>
        </w:rPr>
      </w:pPr>
    </w:p>
    <w:p>
      <w:pPr>
        <w:pStyle w:val="Heading2"/>
      </w:pPr>
      <w:r>
        <w:rPr/>
        <w:t>Test conditions:</w:t>
      </w:r>
    </w:p>
    <w:p>
      <w:pPr>
        <w:pStyle w:val="BodyText"/>
        <w:spacing w:before="9"/>
        <w:rPr>
          <w:b/>
          <w:i w:val="0"/>
          <w:sz w:val="21"/>
        </w:rPr>
      </w:pPr>
    </w:p>
    <w:p>
      <w:pPr>
        <w:pStyle w:val="Heading4"/>
        <w:ind w:right="8314"/>
      </w:pPr>
      <w:r>
        <w:rPr>
          <w:w w:val="95"/>
        </w:rPr>
        <w:t>Temperature:</w:t>
      </w:r>
    </w:p>
    <w:p>
      <w:pPr>
        <w:spacing w:before="0"/>
        <w:ind w:left="860" w:right="8314" w:firstLine="0"/>
        <w:jc w:val="left"/>
        <w:rPr>
          <w:sz w:val="22"/>
        </w:rPr>
      </w:pPr>
      <w:r>
        <w:rPr>
          <w:sz w:val="22"/>
        </w:rPr>
        <w:t>Humidity:</w:t>
      </w:r>
    </w:p>
    <w:p>
      <w:pPr>
        <w:spacing w:before="0"/>
        <w:ind w:left="860" w:right="8314" w:firstLine="0"/>
        <w:jc w:val="left"/>
        <w:rPr>
          <w:sz w:val="22"/>
        </w:rPr>
      </w:pPr>
      <w:r>
        <w:rPr>
          <w:sz w:val="22"/>
        </w:rPr>
        <w:t>Lighting:</w:t>
      </w:r>
    </w:p>
    <w:p>
      <w:pPr>
        <w:pStyle w:val="BodyText"/>
        <w:spacing w:before="10"/>
        <w:rPr>
          <w:i w:val="0"/>
          <w:sz w:val="21"/>
        </w:rPr>
      </w:pPr>
    </w:p>
    <w:p>
      <w:pPr>
        <w:spacing w:line="184" w:lineRule="exact" w:before="0"/>
        <w:ind w:left="860" w:right="0" w:firstLine="0"/>
        <w:jc w:val="left"/>
        <w:rPr>
          <w:i/>
          <w:sz w:val="16"/>
        </w:rPr>
      </w:pPr>
      <w:r>
        <w:rPr>
          <w:b/>
          <w:i/>
          <w:color w:val="0070C0"/>
          <w:sz w:val="16"/>
        </w:rPr>
        <w:t>U.S. EPA OCSPP 885.4340   </w:t>
      </w:r>
      <w:r>
        <w:rPr>
          <w:i/>
          <w:color w:val="0070C0"/>
          <w:sz w:val="16"/>
        </w:rPr>
        <w:t>No specific recommendations.</w:t>
      </w:r>
    </w:p>
    <w:p>
      <w:pPr>
        <w:spacing w:line="184" w:lineRule="exact" w:before="0"/>
        <w:ind w:left="860" w:right="0" w:firstLine="0"/>
        <w:jc w:val="left"/>
        <w:rPr>
          <w:i/>
          <w:sz w:val="16"/>
        </w:rPr>
      </w:pPr>
      <w:r>
        <w:rPr>
          <w:b/>
          <w:i/>
          <w:color w:val="0070C0"/>
          <w:sz w:val="16"/>
        </w:rPr>
        <w:t>PMRA DIR 2001-02   </w:t>
      </w:r>
      <w:r>
        <w:rPr>
          <w:i/>
          <w:color w:val="0070C0"/>
          <w:sz w:val="16"/>
        </w:rPr>
        <w:t>No specific recommendations.</w:t>
      </w:r>
    </w:p>
    <w:p>
      <w:pPr>
        <w:pStyle w:val="BodyText"/>
        <w:ind w:left="859" w:right="124"/>
      </w:pPr>
      <w:r>
        <w:rPr>
          <w:b/>
          <w:i/>
          <w:color w:val="0070C0"/>
        </w:rPr>
        <w:t>Environment Canada EPS 1/RM/44 </w:t>
      </w:r>
      <w:r>
        <w:rPr>
          <w:i/>
          <w:color w:val="0070C0"/>
        </w:rPr>
        <w:t>Daily mean temperature 20 ± 2°C, lighting incandescent or fluorescent, 400 to 800 lux at surface of soil in </w:t>
      </w:r>
      <w:r>
        <w:rPr>
          <w:color w:val="0070C0"/>
        </w:rPr>
        <w:t>test chamber, and fixed photoperiod (e.g., 16 h light, 8 h dark or 12 h light, 12 h dark).</w:t>
      </w:r>
    </w:p>
    <w:p>
      <w:pPr>
        <w:pStyle w:val="Heading7"/>
        <w:ind w:left="1579"/>
        <w:rPr>
          <w:i/>
        </w:rPr>
      </w:pPr>
      <w:r>
        <w:rPr>
          <w:i/>
          <w:color w:val="0070C0"/>
          <w:u w:val="single" w:color="0070C0"/>
        </w:rPr>
        <w:t>Supplemental guidance for terrestrial non-arthropod invertebrates:</w:t>
      </w:r>
    </w:p>
    <w:p>
      <w:pPr>
        <w:pStyle w:val="BodyText"/>
        <w:spacing w:line="182" w:lineRule="exact"/>
        <w:ind w:left="859"/>
        <w:rPr>
          <w:i/>
        </w:rPr>
      </w:pPr>
      <w:r>
        <w:rPr>
          <w:b/>
          <w:i/>
          <w:color w:val="0070C0"/>
        </w:rPr>
        <w:t>OECD 207  </w:t>
      </w:r>
      <w:r>
        <w:rPr>
          <w:i/>
          <w:color w:val="0070C0"/>
        </w:rPr>
        <w:t>Temperature 20 ± 2°C; continuous dark for filter-paper test, continuous light for artificial soil test.</w:t>
      </w:r>
    </w:p>
    <w:p>
      <w:pPr>
        <w:pStyle w:val="BodyText"/>
        <w:rPr>
          <w:i/>
          <w:sz w:val="18"/>
        </w:rPr>
      </w:pPr>
    </w:p>
    <w:p>
      <w:pPr>
        <w:pStyle w:val="BodyText"/>
        <w:rPr>
          <w:i/>
          <w:sz w:val="18"/>
        </w:rPr>
      </w:pPr>
    </w:p>
    <w:p>
      <w:pPr>
        <w:pStyle w:val="BodyText"/>
        <w:spacing w:before="3"/>
        <w:rPr>
          <w:i/>
          <w:sz w:val="18"/>
        </w:rPr>
      </w:pPr>
    </w:p>
    <w:p>
      <w:pPr>
        <w:pStyle w:val="Heading2"/>
      </w:pPr>
      <w:r>
        <w:rPr/>
        <w:t>Duration of the study:</w:t>
      </w:r>
    </w:p>
    <w:p>
      <w:pPr>
        <w:pStyle w:val="BodyText"/>
        <w:spacing w:before="11"/>
        <w:rPr>
          <w:b/>
          <w:i w:val="0"/>
          <w:sz w:val="21"/>
        </w:rPr>
      </w:pPr>
    </w:p>
    <w:p>
      <w:pPr>
        <w:pStyle w:val="Heading5"/>
        <w:ind w:right="498"/>
      </w:pPr>
      <w:r>
        <w:rPr>
          <w:i/>
          <w:color w:val="FF0000"/>
        </w:rPr>
        <w:t>[Specify the test duration, and comment on any observations that necessitated the extension of the test </w:t>
      </w:r>
      <w:r>
        <w:rPr>
          <w:color w:val="FF0000"/>
        </w:rPr>
        <w:t>period]</w:t>
      </w:r>
    </w:p>
    <w:p>
      <w:pPr>
        <w:pStyle w:val="BodyText"/>
        <w:rPr>
          <w:i/>
          <w:sz w:val="24"/>
        </w:rPr>
      </w:pPr>
    </w:p>
    <w:p>
      <w:pPr>
        <w:pStyle w:val="Heading7"/>
        <w:spacing w:line="183" w:lineRule="exact" w:before="161"/>
        <w:ind w:left="860"/>
        <w:rPr>
          <w:i/>
        </w:rPr>
      </w:pPr>
      <w:r>
        <w:rPr>
          <w:i/>
          <w:color w:val="0070C0"/>
        </w:rPr>
        <w:t>U.S. EPA OCSPP 885.4340</w:t>
      </w:r>
    </w:p>
    <w:p>
      <w:pPr>
        <w:pStyle w:val="BodyText"/>
        <w:ind w:left="860" w:right="237" w:firstLine="719"/>
      </w:pPr>
      <w:r>
        <w:rPr>
          <w:i/>
          <w:color w:val="0070C0"/>
        </w:rPr>
        <w:t>–For </w:t>
      </w:r>
      <w:r>
        <w:rPr>
          <w:i/>
          <w:color w:val="0070C0"/>
          <w:u w:val="single" w:color="0070C0"/>
        </w:rPr>
        <w:t>viruses</w:t>
      </w:r>
      <w:r>
        <w:rPr>
          <w:i/>
          <w:color w:val="0070C0"/>
        </w:rPr>
        <w:t>, control and treated insects should be observed for a period of at least 30 days after dosing, or in cases where an insect </w:t>
      </w:r>
      <w:r>
        <w:rPr>
          <w:color w:val="0070C0"/>
        </w:rPr>
        <w:t>species cannot be cultured for 30 days, until control mortality rises above 20 percent. In cases where signs, symptoms and pathologies are detected, the treated insects should be examined in detail at late stages of infection, at moribund, and at death. Such tests need not be prolonged to 30 days, if death of treated insects occurs prior to 30 days. In all cases of pathologies in the treated non-target insects, it is essential that the etiology of the infection be established.</w:t>
      </w:r>
    </w:p>
    <w:p>
      <w:pPr>
        <w:pStyle w:val="BodyText"/>
        <w:spacing w:before="1"/>
        <w:ind w:left="860" w:right="147" w:firstLine="719"/>
      </w:pPr>
      <w:r>
        <w:rPr>
          <w:i/>
          <w:color w:val="0070C0"/>
        </w:rPr>
        <w:t>–For </w:t>
      </w:r>
      <w:r>
        <w:rPr>
          <w:i/>
          <w:color w:val="0070C0"/>
          <w:u w:val="single" w:color="0070C0"/>
        </w:rPr>
        <w:t>protozoa</w:t>
      </w:r>
      <w:r>
        <w:rPr>
          <w:i/>
          <w:color w:val="0070C0"/>
        </w:rPr>
        <w:t>, test duration should be determined on a case-by-case basis. The most appropriate end-point for protozoan diseases for </w:t>
      </w:r>
      <w:r>
        <w:rPr>
          <w:color w:val="0070C0"/>
        </w:rPr>
        <w:t>determining pathogenic effects is the presence of the vegetative stages (shizonts or meronts) in the tissues of non-target insects. The schizonts within suspected tissues can be detected by making a smear, staining with Giemsa stain, and examining the slide with oil immersion using a compound microscope. The non-target insect should be alive when the tissues are removed for the smear because the shizonts are fragile and are usually destroyed by other microbes or are distorted upon death of the host. Protozoan spores can be used as an indicator of infection. However, if the infection is light, the few spores could have come from the inoculum. If spores are abundant (a relative term) and occur in the tissues of the non-target insect, it is likely that it is infected. Another way to confirm infection is to conduct histological studies of the tissues using standard methods and looking for spores and other pathological effects. The end-point would be just before death of the organism or a prescribed period of time. Death of the non-target insect is a good end-point if the protozoan is virulent. However, since most protozoans have chronic effects on their host, changes in behavior, size, or color could be used as an end-point. In each case, a microscopic examination to find schizonts or spores is</w:t>
      </w:r>
      <w:r>
        <w:rPr>
          <w:color w:val="0070C0"/>
          <w:spacing w:val="-2"/>
        </w:rPr>
        <w:t> </w:t>
      </w:r>
      <w:r>
        <w:rPr>
          <w:color w:val="0070C0"/>
        </w:rPr>
        <w:t>essential</w:t>
      </w:r>
      <w:r>
        <w:rPr>
          <w:color w:val="0070C0"/>
          <w:spacing w:val="-2"/>
        </w:rPr>
        <w:t> </w:t>
      </w:r>
      <w:r>
        <w:rPr>
          <w:color w:val="0070C0"/>
        </w:rPr>
        <w:t>to</w:t>
      </w:r>
      <w:r>
        <w:rPr>
          <w:color w:val="0070C0"/>
          <w:spacing w:val="-1"/>
        </w:rPr>
        <w:t> </w:t>
      </w:r>
      <w:r>
        <w:rPr>
          <w:color w:val="0070C0"/>
        </w:rPr>
        <w:t>confirm</w:t>
      </w:r>
      <w:r>
        <w:rPr>
          <w:color w:val="0070C0"/>
          <w:spacing w:val="-2"/>
        </w:rPr>
        <w:t> </w:t>
      </w:r>
      <w:r>
        <w:rPr>
          <w:color w:val="0070C0"/>
        </w:rPr>
        <w:t>the</w:t>
      </w:r>
      <w:r>
        <w:rPr>
          <w:color w:val="0070C0"/>
          <w:spacing w:val="-2"/>
        </w:rPr>
        <w:t> </w:t>
      </w:r>
      <w:r>
        <w:rPr>
          <w:color w:val="0070C0"/>
        </w:rPr>
        <w:t>presence</w:t>
      </w:r>
      <w:r>
        <w:rPr>
          <w:color w:val="0070C0"/>
          <w:spacing w:val="-2"/>
        </w:rPr>
        <w:t> </w:t>
      </w:r>
      <w:r>
        <w:rPr>
          <w:color w:val="0070C0"/>
        </w:rPr>
        <w:t>of</w:t>
      </w:r>
      <w:r>
        <w:rPr>
          <w:color w:val="0070C0"/>
          <w:spacing w:val="-2"/>
        </w:rPr>
        <w:t> </w:t>
      </w:r>
      <w:r>
        <w:rPr>
          <w:color w:val="0070C0"/>
        </w:rPr>
        <w:t>the</w:t>
      </w:r>
      <w:r>
        <w:rPr>
          <w:color w:val="0070C0"/>
          <w:spacing w:val="-2"/>
        </w:rPr>
        <w:t> </w:t>
      </w:r>
      <w:r>
        <w:rPr>
          <w:color w:val="0070C0"/>
        </w:rPr>
        <w:t>protozoan.</w:t>
      </w:r>
      <w:r>
        <w:rPr>
          <w:color w:val="0070C0"/>
          <w:spacing w:val="-2"/>
        </w:rPr>
        <w:t> </w:t>
      </w:r>
      <w:r>
        <w:rPr>
          <w:color w:val="0070C0"/>
        </w:rPr>
        <w:t>Koch’s</w:t>
      </w:r>
      <w:r>
        <w:rPr>
          <w:color w:val="0070C0"/>
          <w:spacing w:val="-2"/>
        </w:rPr>
        <w:t> </w:t>
      </w:r>
      <w:r>
        <w:rPr>
          <w:color w:val="0070C0"/>
        </w:rPr>
        <w:t>postulates</w:t>
      </w:r>
      <w:r>
        <w:rPr>
          <w:color w:val="0070C0"/>
          <w:spacing w:val="-2"/>
        </w:rPr>
        <w:t> </w:t>
      </w:r>
      <w:r>
        <w:rPr>
          <w:color w:val="0070C0"/>
        </w:rPr>
        <w:t>to</w:t>
      </w:r>
      <w:r>
        <w:rPr>
          <w:color w:val="0070C0"/>
          <w:spacing w:val="-2"/>
        </w:rPr>
        <w:t> </w:t>
      </w:r>
      <w:r>
        <w:rPr>
          <w:color w:val="0070C0"/>
        </w:rPr>
        <w:t>confirm</w:t>
      </w:r>
      <w:r>
        <w:rPr>
          <w:color w:val="0070C0"/>
          <w:spacing w:val="-2"/>
        </w:rPr>
        <w:t> </w:t>
      </w:r>
      <w:r>
        <w:rPr>
          <w:color w:val="0070C0"/>
        </w:rPr>
        <w:t>the</w:t>
      </w:r>
      <w:r>
        <w:rPr>
          <w:color w:val="0070C0"/>
          <w:spacing w:val="-2"/>
        </w:rPr>
        <w:t> </w:t>
      </w:r>
      <w:r>
        <w:rPr>
          <w:color w:val="0070C0"/>
        </w:rPr>
        <w:t>virulence</w:t>
      </w:r>
      <w:r>
        <w:rPr>
          <w:color w:val="0070C0"/>
          <w:spacing w:val="-2"/>
        </w:rPr>
        <w:t> </w:t>
      </w:r>
      <w:r>
        <w:rPr>
          <w:color w:val="0070C0"/>
        </w:rPr>
        <w:t>of</w:t>
      </w:r>
      <w:r>
        <w:rPr>
          <w:color w:val="0070C0"/>
          <w:spacing w:val="-2"/>
        </w:rPr>
        <w:t> </w:t>
      </w:r>
      <w:r>
        <w:rPr>
          <w:color w:val="0070C0"/>
        </w:rPr>
        <w:t>the</w:t>
      </w:r>
      <w:r>
        <w:rPr>
          <w:color w:val="0070C0"/>
          <w:spacing w:val="-2"/>
        </w:rPr>
        <w:t> </w:t>
      </w:r>
      <w:r>
        <w:rPr>
          <w:color w:val="0070C0"/>
        </w:rPr>
        <w:t>isolate</w:t>
      </w:r>
      <w:r>
        <w:rPr>
          <w:color w:val="0070C0"/>
          <w:spacing w:val="-2"/>
        </w:rPr>
        <w:t> </w:t>
      </w:r>
      <w:r>
        <w:rPr>
          <w:color w:val="0070C0"/>
        </w:rPr>
        <w:t>should</w:t>
      </w:r>
      <w:r>
        <w:rPr>
          <w:color w:val="0070C0"/>
          <w:spacing w:val="-1"/>
        </w:rPr>
        <w:t> </w:t>
      </w:r>
      <w:r>
        <w:rPr>
          <w:color w:val="0070C0"/>
        </w:rPr>
        <w:t>be</w:t>
      </w:r>
      <w:r>
        <w:rPr>
          <w:color w:val="0070C0"/>
          <w:spacing w:val="-2"/>
        </w:rPr>
        <w:t> </w:t>
      </w:r>
      <w:r>
        <w:rPr>
          <w:color w:val="0070C0"/>
        </w:rPr>
        <w:t>run.</w:t>
      </w:r>
    </w:p>
    <w:p>
      <w:pPr>
        <w:pStyle w:val="BodyText"/>
        <w:ind w:left="860" w:right="125" w:firstLine="719"/>
      </w:pPr>
      <w:r>
        <w:rPr>
          <w:i/>
          <w:color w:val="0070C0"/>
        </w:rPr>
        <w:t>–For </w:t>
      </w:r>
      <w:r>
        <w:rPr>
          <w:i/>
          <w:color w:val="0070C0"/>
          <w:u w:val="single" w:color="0070C0"/>
        </w:rPr>
        <w:t>fungi</w:t>
      </w:r>
      <w:r>
        <w:rPr>
          <w:i/>
          <w:color w:val="0070C0"/>
        </w:rPr>
        <w:t>, the test duration can be limited to 8–10 days if the MPCA is entomopathogenic. Mortality time, expressed as LT50 (time </w:t>
      </w:r>
      <w:r>
        <w:rPr>
          <w:color w:val="0070C0"/>
        </w:rPr>
        <w:t>course of population mortality), is considered the most reliable parameter for bioassaying fungi of insects in the laboratory. Pathogenicity should be confirmed by identifying the fungal agent as the original inoculum.</w:t>
      </w:r>
    </w:p>
    <w:p>
      <w:pPr>
        <w:pStyle w:val="BodyText"/>
        <w:ind w:left="860" w:right="450" w:firstLine="719"/>
      </w:pPr>
      <w:r>
        <w:rPr>
          <w:i/>
          <w:color w:val="0070C0"/>
        </w:rPr>
        <w:t>–For </w:t>
      </w:r>
      <w:r>
        <w:rPr>
          <w:i/>
          <w:color w:val="0070C0"/>
          <w:u w:val="single" w:color="0070C0"/>
        </w:rPr>
        <w:t>bacteria</w:t>
      </w:r>
      <w:r>
        <w:rPr>
          <w:i/>
          <w:color w:val="0070C0"/>
        </w:rPr>
        <w:t>, control and treated insects should be observed for 21 to 30 days after dosing, if this is possible. In cases where the </w:t>
      </w:r>
      <w:r>
        <w:rPr>
          <w:color w:val="0070C0"/>
        </w:rPr>
        <w:t>insect species cannot be cultured for 21 to 30 days, observation should continue until control mortality rises above 20 percent.</w:t>
      </w:r>
    </w:p>
    <w:p>
      <w:pPr>
        <w:pStyle w:val="BodyText"/>
        <w:ind w:left="859" w:right="166"/>
      </w:pPr>
      <w:r>
        <w:rPr>
          <w:b/>
          <w:i/>
          <w:color w:val="0070C0"/>
        </w:rPr>
        <w:t>PMRA DIR 2001-02 </w:t>
      </w:r>
      <w:r>
        <w:rPr>
          <w:i/>
          <w:color w:val="0070C0"/>
        </w:rPr>
        <w:t>For topical exposure, the test organism should be treated daily for 5 days, then observed for an additional 16 days. For </w:t>
      </w:r>
      <w:r>
        <w:rPr>
          <w:color w:val="0070C0"/>
        </w:rPr>
        <w:t>dietary or environmental exposure, the test organism should be exposed for at least 21 days, or until mortality in the control group increases to a significant level.</w:t>
      </w:r>
    </w:p>
    <w:p>
      <w:pPr>
        <w:spacing w:line="184" w:lineRule="exact" w:before="0"/>
        <w:ind w:left="860" w:right="0" w:firstLine="0"/>
        <w:jc w:val="left"/>
        <w:rPr>
          <w:i/>
          <w:sz w:val="16"/>
        </w:rPr>
      </w:pPr>
      <w:r>
        <w:rPr>
          <w:b/>
          <w:i/>
          <w:color w:val="0070C0"/>
          <w:sz w:val="16"/>
        </w:rPr>
        <w:t>Environment Canada EPS 1/RM/44   </w:t>
      </w:r>
      <w:r>
        <w:rPr>
          <w:i/>
          <w:color w:val="0070C0"/>
          <w:sz w:val="16"/>
        </w:rPr>
        <w:t>The test duration is at least 28 days.</w:t>
      </w:r>
    </w:p>
    <w:p>
      <w:pPr>
        <w:pStyle w:val="Heading7"/>
        <w:ind w:left="1580"/>
        <w:rPr>
          <w:i/>
        </w:rPr>
      </w:pPr>
      <w:r>
        <w:rPr>
          <w:i/>
          <w:color w:val="0070C0"/>
          <w:u w:val="single" w:color="0070C0"/>
        </w:rPr>
        <w:t>Supplemental guidance for terrestrial non-arthropod invertebrates:</w:t>
      </w:r>
    </w:p>
    <w:p>
      <w:pPr>
        <w:pStyle w:val="BodyText"/>
        <w:ind w:left="860" w:right="213"/>
      </w:pPr>
      <w:r>
        <w:rPr>
          <w:b/>
          <w:i/>
          <w:color w:val="0070C0"/>
        </w:rPr>
        <w:t>PMRA DIR 2001-02 </w:t>
      </w:r>
      <w:r>
        <w:rPr>
          <w:i/>
          <w:color w:val="0070C0"/>
        </w:rPr>
        <w:t>The duration of the observation period depends on the mode of pesticidal action. In general, a duration of 30 days permits </w:t>
      </w:r>
      <w:r>
        <w:rPr>
          <w:color w:val="0070C0"/>
        </w:rPr>
        <w:t>time for incubation, infection and manifestation of adverse effects in the test organism. For infectivity testing, the study should continue until a pattern of microbial clearance from tissues is shown.</w:t>
      </w:r>
    </w:p>
    <w:p>
      <w:pPr>
        <w:spacing w:line="183" w:lineRule="exact" w:before="2"/>
        <w:ind w:left="860" w:right="0" w:firstLine="0"/>
        <w:jc w:val="left"/>
        <w:rPr>
          <w:i/>
          <w:sz w:val="16"/>
        </w:rPr>
      </w:pPr>
      <w:r>
        <w:rPr>
          <w:b/>
          <w:i/>
          <w:color w:val="0070C0"/>
          <w:sz w:val="16"/>
        </w:rPr>
        <w:t>Environment Canada EPS 1/RM/44   </w:t>
      </w:r>
      <w:r>
        <w:rPr>
          <w:i/>
          <w:color w:val="0070C0"/>
          <w:sz w:val="16"/>
        </w:rPr>
        <w:t>56 days (8 weeks).</w:t>
      </w:r>
    </w:p>
    <w:p>
      <w:pPr>
        <w:pStyle w:val="BodyText"/>
        <w:spacing w:line="184" w:lineRule="exact"/>
        <w:ind w:left="859"/>
        <w:rPr>
          <w:i/>
        </w:rPr>
      </w:pPr>
      <w:r>
        <w:rPr>
          <w:b/>
          <w:i/>
          <w:color w:val="0070C0"/>
        </w:rPr>
        <w:t>OECD 207   </w:t>
      </w:r>
      <w:r>
        <w:rPr>
          <w:i/>
          <w:color w:val="0070C0"/>
        </w:rPr>
        <w:t>48 hours for the filter paper test; 14 days for the artificial soil test.</w:t>
      </w:r>
    </w:p>
    <w:p>
      <w:pPr>
        <w:spacing w:after="0" w:line="184" w:lineRule="exact"/>
        <w:sectPr>
          <w:pgSz w:w="12240" w:h="15840"/>
          <w:pgMar w:header="729" w:footer="796" w:top="1880" w:bottom="980" w:left="940" w:right="940"/>
        </w:sectPr>
      </w:pPr>
    </w:p>
    <w:p>
      <w:pPr>
        <w:pStyle w:val="Heading2"/>
        <w:spacing w:before="136"/>
      </w:pPr>
      <w:r>
        <w:rPr/>
        <w:t>Other methods or conditions, if any:</w:t>
      </w:r>
    </w:p>
    <w:p>
      <w:pPr>
        <w:pStyle w:val="BodyText"/>
        <w:spacing w:before="11"/>
        <w:rPr>
          <w:b/>
          <w:i w:val="0"/>
          <w:sz w:val="21"/>
        </w:rPr>
      </w:pPr>
    </w:p>
    <w:p>
      <w:pPr>
        <w:pStyle w:val="ListParagraph"/>
        <w:numPr>
          <w:ilvl w:val="1"/>
          <w:numId w:val="2"/>
        </w:numPr>
        <w:tabs>
          <w:tab w:pos="859" w:val="left" w:leader="none"/>
          <w:tab w:pos="861" w:val="left" w:leader="none"/>
        </w:tabs>
        <w:spacing w:line="240" w:lineRule="auto" w:before="0" w:after="0"/>
        <w:ind w:left="860" w:right="0" w:hanging="720"/>
        <w:jc w:val="left"/>
        <w:rPr>
          <w:b/>
          <w:sz w:val="22"/>
          <w:u w:val="none"/>
        </w:rPr>
      </w:pPr>
      <w:r>
        <w:rPr>
          <w:b/>
          <w:sz w:val="22"/>
          <w:u w:val="thick"/>
        </w:rPr>
        <w:t>Observations</w:t>
      </w:r>
      <w:r>
        <w:rPr>
          <w:b/>
          <w:sz w:val="22"/>
          <w:u w:val="none"/>
        </w:rPr>
        <w:t>:</w:t>
      </w:r>
    </w:p>
    <w:p>
      <w:pPr>
        <w:pStyle w:val="BodyText"/>
        <w:spacing w:before="1"/>
        <w:rPr>
          <w:b/>
          <w:i w:val="0"/>
          <w:sz w:val="14"/>
        </w:rPr>
      </w:pPr>
    </w:p>
    <w:p>
      <w:pPr>
        <w:spacing w:before="91"/>
        <w:ind w:left="860" w:right="0" w:firstLine="0"/>
        <w:jc w:val="left"/>
        <w:rPr>
          <w:b/>
          <w:sz w:val="22"/>
        </w:rPr>
      </w:pPr>
      <w:r>
        <w:rPr>
          <w:b/>
          <w:sz w:val="22"/>
        </w:rPr>
        <w:t>Parameters measured including sublethal effects/toxicity symptoms:</w:t>
      </w:r>
    </w:p>
    <w:p>
      <w:pPr>
        <w:pStyle w:val="BodyText"/>
        <w:spacing w:before="10"/>
        <w:rPr>
          <w:b/>
          <w:i w:val="0"/>
          <w:sz w:val="21"/>
        </w:rPr>
      </w:pPr>
    </w:p>
    <w:p>
      <w:pPr>
        <w:pStyle w:val="Heading5"/>
        <w:ind w:right="228"/>
      </w:pPr>
      <w:r>
        <w:rPr>
          <w:i/>
          <w:color w:val="FF0000"/>
        </w:rPr>
        <w:t>[List the parameters measured during the experiment, e.g., mortality, abnormal behavior or appearance, </w:t>
      </w:r>
      <w:r>
        <w:rPr>
          <w:color w:val="FF0000"/>
        </w:rPr>
        <w:t>fecundity, growth inhibition, individual body weights, concentration of the MPCA in diet or dosing suspension. Provide references to data summary tables, if used.]</w:t>
      </w:r>
    </w:p>
    <w:p>
      <w:pPr>
        <w:pStyle w:val="BodyText"/>
        <w:rPr>
          <w:i/>
          <w:sz w:val="24"/>
        </w:rPr>
      </w:pPr>
    </w:p>
    <w:p>
      <w:pPr>
        <w:pStyle w:val="Heading7"/>
        <w:spacing w:before="161"/>
        <w:ind w:left="860"/>
        <w:rPr>
          <w:i/>
        </w:rPr>
      </w:pPr>
      <w:r>
        <w:rPr>
          <w:i/>
          <w:color w:val="0070C0"/>
        </w:rPr>
        <w:t>U.S. EPA OCSPP 885.4340</w:t>
      </w:r>
    </w:p>
    <w:p>
      <w:pPr>
        <w:pStyle w:val="BodyText"/>
        <w:ind w:left="860" w:right="127" w:firstLine="719"/>
      </w:pPr>
      <w:r>
        <w:rPr>
          <w:i/>
          <w:color w:val="0070C0"/>
        </w:rPr>
        <w:t>-For </w:t>
      </w:r>
      <w:r>
        <w:rPr>
          <w:i/>
          <w:color w:val="0070C0"/>
          <w:u w:val="single" w:color="0070C0"/>
        </w:rPr>
        <w:t>Viruses</w:t>
      </w:r>
      <w:r>
        <w:rPr>
          <w:i/>
          <w:color w:val="0070C0"/>
        </w:rPr>
        <w:t>: If clinical signs are detected, the treated insects should be examined in detail at late stages of infection, moribundity and </w:t>
      </w:r>
      <w:r>
        <w:rPr>
          <w:color w:val="0070C0"/>
        </w:rPr>
        <w:t>death. Endpoints should be based on the frank development of pathology and on the early mortality of treated organisms vs. controls.</w:t>
      </w:r>
    </w:p>
    <w:p>
      <w:pPr>
        <w:pStyle w:val="BodyText"/>
        <w:spacing w:before="3"/>
        <w:ind w:left="859" w:right="168" w:firstLine="720"/>
      </w:pPr>
      <w:r>
        <w:rPr>
          <w:i/>
          <w:color w:val="0070C0"/>
        </w:rPr>
        <w:t>-For </w:t>
      </w:r>
      <w:r>
        <w:rPr>
          <w:i/>
          <w:color w:val="0070C0"/>
          <w:u w:val="single" w:color="0070C0"/>
        </w:rPr>
        <w:t>Protozoa</w:t>
      </w:r>
      <w:r>
        <w:rPr>
          <w:i/>
          <w:color w:val="0070C0"/>
        </w:rPr>
        <w:t>: The most appropriate endpoint for pathology is the presence of vegetative stages (shizonts, meronts) in the tissues </w:t>
      </w:r>
      <w:r>
        <w:rPr>
          <w:color w:val="0070C0"/>
        </w:rPr>
        <w:t>(Giemsa smear of tissue from live host). The presence of abundant spores is an indicator of infection. If the protozoan is virulent, mortality may be a useful endpoint, but changes in behavior, size or color can also be used. Microscopic verification of infection and confirmation of virulence using Koch’s postulates is also required.</w:t>
      </w:r>
    </w:p>
    <w:p>
      <w:pPr>
        <w:pStyle w:val="BodyText"/>
        <w:spacing w:line="184" w:lineRule="exact" w:before="1"/>
        <w:ind w:left="860" w:right="306" w:firstLine="719"/>
      </w:pPr>
      <w:r>
        <w:rPr>
          <w:i/>
          <w:color w:val="0070C0"/>
        </w:rPr>
        <w:t>-For </w:t>
      </w:r>
      <w:r>
        <w:rPr>
          <w:i/>
          <w:color w:val="0070C0"/>
          <w:u w:val="single" w:color="0070C0"/>
        </w:rPr>
        <w:t>Fung</w:t>
      </w:r>
      <w:r>
        <w:rPr>
          <w:i/>
          <w:color w:val="0070C0"/>
        </w:rPr>
        <w:t>i: Population mortality time, expressed as LT</w:t>
      </w:r>
      <w:r>
        <w:rPr>
          <w:i/>
          <w:color w:val="0070C0"/>
          <w:position w:val="-1"/>
          <w:sz w:val="10"/>
        </w:rPr>
        <w:t>50 </w:t>
      </w:r>
      <w:r>
        <w:rPr>
          <w:i/>
          <w:color w:val="0070C0"/>
        </w:rPr>
        <w:t>is the most reliable parameter. Pathogenicity should be confirmed by </w:t>
      </w:r>
      <w:r>
        <w:rPr>
          <w:color w:val="0070C0"/>
        </w:rPr>
        <w:t>Koch’s postulates.</w:t>
      </w:r>
    </w:p>
    <w:p>
      <w:pPr>
        <w:pStyle w:val="BodyText"/>
        <w:ind w:left="859" w:right="295"/>
      </w:pPr>
      <w:r>
        <w:rPr>
          <w:b/>
          <w:i/>
          <w:color w:val="0070C0"/>
        </w:rPr>
        <w:t>PMRA DIR 2001-02 </w:t>
      </w:r>
      <w:r>
        <w:rPr>
          <w:i/>
          <w:color w:val="0070C0"/>
        </w:rPr>
        <w:t>Regular observations are required to record mortalities and note any behavioral, pathogenic or toxic adverse effects. </w:t>
      </w:r>
      <w:r>
        <w:rPr>
          <w:b/>
          <w:i/>
          <w:color w:val="0070C0"/>
        </w:rPr>
        <w:t>Environment Canada EPS 1/RM/44 </w:t>
      </w:r>
      <w:r>
        <w:rPr>
          <w:i/>
          <w:color w:val="0070C0"/>
        </w:rPr>
        <w:t>Measurement of the temperature, moisture content (%), conductivity, pH and concentration of the MPCA </w:t>
      </w:r>
      <w:r>
        <w:rPr>
          <w:color w:val="0070C0"/>
        </w:rPr>
        <w:t>in soil of each treatment group is required. Observations for survival, total number of live second generation juveniles in each test vessel.</w:t>
      </w:r>
    </w:p>
    <w:p>
      <w:pPr>
        <w:pStyle w:val="Heading7"/>
        <w:spacing w:before="6"/>
        <w:ind w:left="1580"/>
        <w:rPr>
          <w:i/>
        </w:rPr>
      </w:pPr>
      <w:r>
        <w:rPr>
          <w:i/>
          <w:color w:val="0070C0"/>
          <w:u w:val="single" w:color="0070C0"/>
        </w:rPr>
        <w:t>Supplemental guidance for terrestrial non-arthropod invertebrates:</w:t>
      </w:r>
    </w:p>
    <w:p>
      <w:pPr>
        <w:pStyle w:val="BodyText"/>
        <w:ind w:left="859" w:right="295"/>
      </w:pPr>
      <w:r>
        <w:rPr>
          <w:b/>
          <w:i/>
          <w:color w:val="0070C0"/>
        </w:rPr>
        <w:t>Environment Canada EPS 1/RM/44 </w:t>
      </w:r>
      <w:r>
        <w:rPr>
          <w:i/>
          <w:color w:val="0070C0"/>
        </w:rPr>
        <w:t>Measurement of the temperature, moisture content (%), conductivity, pH and concentration of the MPCA </w:t>
      </w:r>
      <w:r>
        <w:rPr>
          <w:color w:val="0070C0"/>
        </w:rPr>
        <w:t>in soil is required. Observations for survival of adult worms in each test chamber; number of surviving adult worms with atypical appearance and/or behavior, total dry weight, number of live juvenile worms, and number of surviving juvenile worms with atypical appearance and/or behavior.</w:t>
      </w:r>
    </w:p>
    <w:p>
      <w:pPr>
        <w:pStyle w:val="BodyText"/>
        <w:spacing w:before="2"/>
        <w:ind w:left="859" w:right="306"/>
      </w:pPr>
      <w:r>
        <w:rPr>
          <w:b/>
          <w:i/>
          <w:color w:val="0070C0"/>
        </w:rPr>
        <w:t>OECD 207 </w:t>
      </w:r>
      <w:r>
        <w:rPr>
          <w:i/>
          <w:color w:val="0070C0"/>
        </w:rPr>
        <w:t>Measurements of artificial soil moisture content, artificial soil pH and worm live weight are required. Observations for mortality, </w:t>
      </w:r>
      <w:r>
        <w:rPr>
          <w:color w:val="0070C0"/>
        </w:rPr>
        <w:t>and behavioral or pathological signs.</w:t>
      </w:r>
    </w:p>
    <w:p>
      <w:pPr>
        <w:pStyle w:val="BodyText"/>
        <w:spacing w:before="3"/>
        <w:rPr>
          <w:i/>
          <w:sz w:val="22"/>
        </w:rPr>
      </w:pPr>
    </w:p>
    <w:p>
      <w:pPr>
        <w:pStyle w:val="Heading2"/>
        <w:spacing w:before="1"/>
      </w:pPr>
      <w:r>
        <w:rPr/>
        <w:t>Observation/measurement intervals:</w:t>
      </w:r>
    </w:p>
    <w:p>
      <w:pPr>
        <w:pStyle w:val="BodyText"/>
        <w:spacing w:before="10"/>
        <w:rPr>
          <w:b/>
          <w:i w:val="0"/>
          <w:sz w:val="21"/>
        </w:rPr>
      </w:pPr>
    </w:p>
    <w:p>
      <w:pPr>
        <w:pStyle w:val="Heading5"/>
        <w:spacing w:before="1"/>
        <w:rPr>
          <w:i/>
        </w:rPr>
      </w:pPr>
      <w:r>
        <w:rPr>
          <w:i/>
          <w:color w:val="FF0000"/>
        </w:rPr>
        <w:t>[List time points at which observations or measurements were made.]</w:t>
      </w:r>
    </w:p>
    <w:p>
      <w:pPr>
        <w:pStyle w:val="BodyText"/>
        <w:spacing w:before="9"/>
        <w:rPr>
          <w:i/>
          <w:sz w:val="21"/>
        </w:rPr>
      </w:pPr>
    </w:p>
    <w:p>
      <w:pPr>
        <w:spacing w:line="184" w:lineRule="exact" w:before="0"/>
        <w:ind w:left="860" w:right="0" w:firstLine="0"/>
        <w:jc w:val="left"/>
        <w:rPr>
          <w:b/>
          <w:i/>
          <w:sz w:val="16"/>
        </w:rPr>
      </w:pPr>
      <w:r>
        <w:rPr>
          <w:b/>
          <w:i/>
          <w:color w:val="0070C0"/>
          <w:sz w:val="16"/>
        </w:rPr>
        <w:t>U.S. EPA OCSPP 885.4340  </w:t>
      </w:r>
      <w:r>
        <w:rPr>
          <w:i/>
          <w:color w:val="0070C0"/>
          <w:sz w:val="16"/>
        </w:rPr>
        <w:t>No specific recommendations. </w:t>
      </w:r>
      <w:r>
        <w:rPr>
          <w:b/>
          <w:i/>
          <w:color w:val="0070C0"/>
          <w:sz w:val="16"/>
        </w:rPr>
        <w:t>From U.S. EPA OCSPP 885.0001 Overview for Microbial Pest Control Agents</w:t>
      </w:r>
    </w:p>
    <w:p>
      <w:pPr>
        <w:pStyle w:val="BodyText"/>
        <w:spacing w:line="184" w:lineRule="exact"/>
        <w:ind w:left="860"/>
        <w:rPr>
          <w:i/>
        </w:rPr>
      </w:pPr>
      <w:r>
        <w:rPr>
          <w:i/>
          <w:color w:val="0070C0"/>
        </w:rPr>
        <w:t>Method, frequency, and duration of observations made during the study are to be reported.</w:t>
      </w:r>
    </w:p>
    <w:p>
      <w:pPr>
        <w:pStyle w:val="BodyText"/>
        <w:spacing w:before="1"/>
        <w:ind w:left="859" w:right="306"/>
      </w:pPr>
      <w:r>
        <w:rPr>
          <w:b/>
          <w:i/>
          <w:color w:val="0070C0"/>
        </w:rPr>
        <w:t>PMRA DIR 2001-02 </w:t>
      </w:r>
      <w:r>
        <w:rPr>
          <w:i/>
          <w:color w:val="0070C0"/>
        </w:rPr>
        <w:t>Regular observations are required to record mortalities and note any behavioral, pathogenic or toxic adverse effects. </w:t>
      </w:r>
      <w:r>
        <w:rPr>
          <w:b/>
          <w:i/>
          <w:color w:val="0070C0"/>
        </w:rPr>
        <w:t>Environment Canada EPS 1/RM/44 </w:t>
      </w:r>
      <w:r>
        <w:rPr>
          <w:i/>
          <w:color w:val="0070C0"/>
        </w:rPr>
        <w:t>Temperature measured daily (max/min) or continuously; soil parameters (moisture content, conductivity </w:t>
      </w:r>
      <w:r>
        <w:rPr>
          <w:color w:val="0070C0"/>
        </w:rPr>
        <w:t>and pH) measured at the beginning and end of the test; concentration of the MPCA in the soil at the beginning and end of the test; and observations for mortality and reproductive success on Day 28.</w:t>
      </w:r>
    </w:p>
    <w:p>
      <w:pPr>
        <w:pStyle w:val="Heading7"/>
        <w:ind w:left="1579"/>
        <w:rPr>
          <w:i/>
        </w:rPr>
      </w:pPr>
      <w:r>
        <w:rPr>
          <w:i/>
          <w:color w:val="0070C0"/>
          <w:u w:val="single" w:color="0070C0"/>
        </w:rPr>
        <w:t>Supplemental guidance for terrestrial non-arthropod invertebrates:</w:t>
      </w:r>
    </w:p>
    <w:p>
      <w:pPr>
        <w:pStyle w:val="BodyText"/>
        <w:ind w:left="859" w:right="127"/>
      </w:pPr>
      <w:r>
        <w:rPr>
          <w:b/>
          <w:i/>
          <w:color w:val="0070C0"/>
        </w:rPr>
        <w:t>Environment Canada EPS 1/RM/44  </w:t>
      </w:r>
      <w:r>
        <w:rPr>
          <w:i/>
          <w:color w:val="0070C0"/>
        </w:rPr>
        <w:t>Temperature measured daily (max/min) or continuously; soil parameters (moisture content, conductivity </w:t>
      </w:r>
      <w:r>
        <w:rPr>
          <w:color w:val="0070C0"/>
        </w:rPr>
        <w:t>and pH) measured at the beginning and end of the test for at least one replicate of each treatment; concentration of the MPCA in the soil for each treatment including controls at the beginning and end of the test (at minimum); observations on adults on Day 28; observations on juveniles on Day 56.</w:t>
      </w:r>
    </w:p>
    <w:p>
      <w:pPr>
        <w:pStyle w:val="BodyText"/>
        <w:spacing w:before="1"/>
        <w:ind w:left="859" w:right="306"/>
      </w:pPr>
      <w:r>
        <w:rPr>
          <w:b/>
          <w:i/>
          <w:color w:val="0070C0"/>
        </w:rPr>
        <w:t>OECD 207 </w:t>
      </w:r>
      <w:r>
        <w:rPr>
          <w:i/>
          <w:color w:val="0070C0"/>
        </w:rPr>
        <w:t>Artificial soil moisture content should be determined at start and end of test. Artificial soil pH should be measured at start of test. </w:t>
      </w:r>
      <w:r>
        <w:rPr>
          <w:color w:val="0070C0"/>
        </w:rPr>
        <w:t>The average worm live weigh and number of live worms per treatment should be determined at start and end of the test. Observations for behavioral or pathological signs are made at 48 hours (optional at 72 hours for filter paper test); Days 7 and 14 for artificial soil test.</w:t>
      </w:r>
    </w:p>
    <w:p>
      <w:pPr>
        <w:pStyle w:val="BodyText"/>
        <w:rPr>
          <w:i/>
          <w:sz w:val="18"/>
        </w:rPr>
      </w:pPr>
    </w:p>
    <w:p>
      <w:pPr>
        <w:pStyle w:val="BodyText"/>
        <w:spacing w:before="2"/>
        <w:rPr>
          <w:i/>
          <w:sz w:val="20"/>
        </w:rPr>
      </w:pPr>
    </w:p>
    <w:p>
      <w:pPr>
        <w:pStyle w:val="Heading2"/>
        <w:spacing w:before="1"/>
      </w:pPr>
      <w:r>
        <w:rPr/>
        <w:t>Testing for infectivity:</w:t>
      </w:r>
    </w:p>
    <w:p>
      <w:pPr>
        <w:pStyle w:val="BodyText"/>
        <w:spacing w:before="10"/>
        <w:rPr>
          <w:b/>
          <w:i w:val="0"/>
          <w:sz w:val="21"/>
        </w:rPr>
      </w:pPr>
    </w:p>
    <w:p>
      <w:pPr>
        <w:pStyle w:val="Heading5"/>
        <w:rPr>
          <w:i/>
        </w:rPr>
      </w:pPr>
      <w:r>
        <w:rPr>
          <w:i/>
          <w:color w:val="FF0000"/>
        </w:rPr>
        <w:t>[Briefly describe how infectivity was tested, and list the organs, tissues or fluids tested, if applicable]</w:t>
      </w:r>
    </w:p>
    <w:p>
      <w:pPr>
        <w:pStyle w:val="BodyText"/>
        <w:rPr>
          <w:i/>
          <w:sz w:val="24"/>
        </w:rPr>
      </w:pPr>
    </w:p>
    <w:p>
      <w:pPr>
        <w:pStyle w:val="BodyText"/>
        <w:spacing w:before="157"/>
        <w:ind w:left="859" w:right="135"/>
      </w:pPr>
      <w:r>
        <w:rPr>
          <w:b/>
          <w:i/>
          <w:color w:val="0070C0"/>
        </w:rPr>
        <w:t>U.S. EPA OCSPP 885.4340 </w:t>
      </w:r>
      <w:r>
        <w:rPr>
          <w:i/>
          <w:color w:val="0070C0"/>
        </w:rPr>
        <w:t>Infectivity testing is required for many types of MPCA. See “Duration of the study” above for additional details. </w:t>
      </w:r>
      <w:r>
        <w:rPr>
          <w:b/>
          <w:i/>
          <w:color w:val="0070C0"/>
        </w:rPr>
        <w:t>PMRA DIR 2001-02 </w:t>
      </w:r>
      <w:r>
        <w:rPr>
          <w:i/>
          <w:color w:val="0070C0"/>
        </w:rPr>
        <w:t>For MPCAs that are pathogens, pathogenicity testing should be performed. The specific test method used should match the </w:t>
      </w:r>
      <w:r>
        <w:rPr>
          <w:color w:val="0070C0"/>
        </w:rPr>
        <w:t>infectivity requirements of the pathogen and host and should be capable of detecting both infection and disease symptoms. When the MPCA is not a pathogen, applicants can rely on standard toxicity test methods.</w:t>
      </w:r>
    </w:p>
    <w:p>
      <w:pPr>
        <w:spacing w:line="184" w:lineRule="exact" w:before="0"/>
        <w:ind w:left="860" w:right="0" w:firstLine="0"/>
        <w:jc w:val="left"/>
        <w:rPr>
          <w:i/>
          <w:sz w:val="16"/>
        </w:rPr>
      </w:pPr>
      <w:r>
        <w:rPr>
          <w:b/>
          <w:i/>
          <w:color w:val="0070C0"/>
          <w:sz w:val="16"/>
        </w:rPr>
        <w:t>Environment Canada EPS 1/RM/44  </w:t>
      </w:r>
      <w:r>
        <w:rPr>
          <w:i/>
          <w:color w:val="0070C0"/>
          <w:sz w:val="16"/>
        </w:rPr>
        <w:t>Infectivity testing is not required (impractical due to limited biomass of the test organisms).</w:t>
      </w:r>
    </w:p>
    <w:p>
      <w:pPr>
        <w:spacing w:after="0" w:line="184" w:lineRule="exact"/>
        <w:jc w:val="left"/>
        <w:rPr>
          <w:sz w:val="16"/>
        </w:rPr>
        <w:sectPr>
          <w:pgSz w:w="12240" w:h="15840"/>
          <w:pgMar w:header="729" w:footer="796" w:top="1880" w:bottom="980" w:left="940" w:right="940"/>
        </w:sectPr>
      </w:pPr>
    </w:p>
    <w:p>
      <w:pPr>
        <w:pStyle w:val="Heading7"/>
        <w:spacing w:line="183" w:lineRule="exact" w:before="137"/>
        <w:ind w:right="4327"/>
        <w:jc w:val="center"/>
        <w:rPr>
          <w:i/>
        </w:rPr>
      </w:pPr>
      <w:r>
        <w:rPr>
          <w:i/>
          <w:color w:val="0070C0"/>
          <w:u w:val="single" w:color="0070C0"/>
        </w:rPr>
        <w:t>Supplemental guidance for terrestrial non-arthropod invertebrates:</w:t>
      </w:r>
    </w:p>
    <w:p>
      <w:pPr>
        <w:pStyle w:val="BodyText"/>
        <w:ind w:left="860" w:right="472"/>
      </w:pPr>
      <w:r>
        <w:rPr>
          <w:b/>
          <w:i/>
          <w:color w:val="0070C0"/>
        </w:rPr>
        <w:t>Environment Canada EPS 1/RM/44 </w:t>
      </w:r>
      <w:r>
        <w:rPr>
          <w:i/>
          <w:color w:val="0070C0"/>
        </w:rPr>
        <w:t>Infectivity testing is optional during and/or at test end based on measured concentrations of MPCA in </w:t>
      </w:r>
      <w:r>
        <w:rPr>
          <w:color w:val="0070C0"/>
        </w:rPr>
        <w:t>whole-body homogenates.</w:t>
      </w:r>
    </w:p>
    <w:p>
      <w:pPr>
        <w:pStyle w:val="BodyText"/>
        <w:spacing w:line="184" w:lineRule="exact" w:before="2"/>
        <w:ind w:left="860"/>
        <w:rPr>
          <w:i/>
        </w:rPr>
      </w:pPr>
      <w:r>
        <w:rPr>
          <w:b/>
          <w:i/>
          <w:color w:val="0070C0"/>
        </w:rPr>
        <w:t>OECD 207   </w:t>
      </w:r>
      <w:r>
        <w:rPr>
          <w:i/>
          <w:color w:val="0070C0"/>
        </w:rPr>
        <w:t>No specific recommendations (guideline designed for chemical toxicity testing).</w:t>
      </w:r>
    </w:p>
    <w:p>
      <w:pPr>
        <w:pStyle w:val="BodyText"/>
        <w:spacing w:before="2"/>
        <w:rPr>
          <w:i/>
          <w:sz w:val="22"/>
        </w:rPr>
      </w:pPr>
    </w:p>
    <w:p>
      <w:pPr>
        <w:pStyle w:val="Heading2"/>
        <w:spacing w:line="480" w:lineRule="auto" w:before="1"/>
        <w:ind w:right="6962"/>
      </w:pPr>
      <w:r>
        <w:rPr/>
        <w:t>Were raw data included? Other observations, if any:</w:t>
      </w:r>
    </w:p>
    <w:p>
      <w:pPr>
        <w:pStyle w:val="BodyText"/>
        <w:spacing w:before="9"/>
        <w:rPr>
          <w:b/>
          <w:i w:val="0"/>
          <w:sz w:val="22"/>
        </w:rPr>
      </w:pPr>
    </w:p>
    <w:p>
      <w:pPr>
        <w:pStyle w:val="ListParagraph"/>
        <w:numPr>
          <w:ilvl w:val="0"/>
          <w:numId w:val="1"/>
        </w:numPr>
        <w:tabs>
          <w:tab w:pos="859" w:val="left" w:leader="none"/>
          <w:tab w:pos="861" w:val="left" w:leader="none"/>
        </w:tabs>
        <w:spacing w:line="240" w:lineRule="auto" w:before="0" w:after="0"/>
        <w:ind w:left="860" w:right="0" w:hanging="720"/>
        <w:jc w:val="left"/>
        <w:rPr>
          <w:b/>
          <w:sz w:val="22"/>
          <w:u w:val="none"/>
        </w:rPr>
      </w:pPr>
      <w:r>
        <w:rPr>
          <w:b/>
          <w:sz w:val="22"/>
          <w:u w:val="none"/>
        </w:rPr>
        <w:t>RESULTS:</w:t>
      </w:r>
    </w:p>
    <w:p>
      <w:pPr>
        <w:pStyle w:val="BodyText"/>
        <w:rPr>
          <w:b/>
          <w:i w:val="0"/>
          <w:sz w:val="22"/>
        </w:rPr>
      </w:pPr>
    </w:p>
    <w:p>
      <w:pPr>
        <w:pStyle w:val="ListParagraph"/>
        <w:numPr>
          <w:ilvl w:val="0"/>
          <w:numId w:val="3"/>
        </w:numPr>
        <w:tabs>
          <w:tab w:pos="859" w:val="left" w:leader="none"/>
          <w:tab w:pos="861" w:val="left" w:leader="none"/>
          <w:tab w:pos="5180" w:val="left" w:leader="none"/>
        </w:tabs>
        <w:spacing w:line="240" w:lineRule="auto" w:before="0" w:after="0"/>
        <w:ind w:left="860" w:right="166" w:hanging="720"/>
        <w:jc w:val="left"/>
        <w:rPr>
          <w:i/>
          <w:sz w:val="22"/>
          <w:u w:val="none"/>
        </w:rPr>
      </w:pPr>
      <w:r>
        <w:rPr>
          <w:b/>
          <w:sz w:val="22"/>
          <w:u w:val="thick"/>
        </w:rPr>
        <w:t>VIABILITY OF</w:t>
      </w:r>
      <w:r>
        <w:rPr>
          <w:b/>
          <w:spacing w:val="-7"/>
          <w:sz w:val="22"/>
          <w:u w:val="thick"/>
        </w:rPr>
        <w:t> </w:t>
      </w:r>
      <w:r>
        <w:rPr>
          <w:b/>
          <w:sz w:val="22"/>
          <w:u w:val="thick"/>
        </w:rPr>
        <w:t>DOSING</w:t>
      </w:r>
      <w:r>
        <w:rPr>
          <w:b/>
          <w:spacing w:val="-5"/>
          <w:sz w:val="22"/>
          <w:u w:val="thick"/>
        </w:rPr>
        <w:t> </w:t>
      </w:r>
      <w:r>
        <w:rPr>
          <w:b/>
          <w:sz w:val="22"/>
          <w:u w:val="thick"/>
        </w:rPr>
        <w:t>SUSPENSIONS</w:t>
      </w:r>
      <w:r>
        <w:rPr>
          <w:b/>
          <w:sz w:val="22"/>
          <w:u w:val="none"/>
        </w:rPr>
        <w:t>:</w:t>
        <w:tab/>
      </w:r>
      <w:r>
        <w:rPr>
          <w:i/>
          <w:color w:val="FF0000"/>
          <w:sz w:val="22"/>
          <w:u w:val="none"/>
        </w:rPr>
        <w:t>[Summarize the dose verification data and indicate</w:t>
      </w:r>
      <w:r>
        <w:rPr>
          <w:i/>
          <w:color w:val="FF0000"/>
          <w:spacing w:val="-23"/>
          <w:sz w:val="22"/>
          <w:u w:val="none"/>
        </w:rPr>
        <w:t> </w:t>
      </w:r>
      <w:r>
        <w:rPr>
          <w:i/>
          <w:color w:val="FF0000"/>
          <w:sz w:val="22"/>
          <w:u w:val="none"/>
        </w:rPr>
        <w:t>if</w:t>
      </w:r>
      <w:r>
        <w:rPr>
          <w:i/>
          <w:color w:val="FF0000"/>
          <w:spacing w:val="-4"/>
          <w:sz w:val="22"/>
          <w:u w:val="none"/>
        </w:rPr>
        <w:t> </w:t>
      </w:r>
      <w:r>
        <w:rPr>
          <w:i/>
          <w:color w:val="FF0000"/>
          <w:sz w:val="22"/>
          <w:u w:val="none"/>
        </w:rPr>
        <w:t>the</w:t>
      </w:r>
      <w:r>
        <w:rPr>
          <w:i/>
          <w:color w:val="FF0000"/>
          <w:w w:val="99"/>
          <w:sz w:val="22"/>
          <w:u w:val="none"/>
        </w:rPr>
        <w:t> </w:t>
      </w:r>
      <w:r>
        <w:rPr>
          <w:i/>
          <w:color w:val="FF0000"/>
          <w:sz w:val="22"/>
          <w:u w:val="none"/>
        </w:rPr>
        <w:t>tested sample was still</w:t>
      </w:r>
      <w:r>
        <w:rPr>
          <w:i/>
          <w:color w:val="FF0000"/>
          <w:spacing w:val="-18"/>
          <w:sz w:val="22"/>
          <w:u w:val="none"/>
        </w:rPr>
        <w:t> </w:t>
      </w:r>
      <w:r>
        <w:rPr>
          <w:i/>
          <w:color w:val="FF0000"/>
          <w:sz w:val="22"/>
          <w:u w:val="none"/>
        </w:rPr>
        <w:t>viable.]</w:t>
      </w:r>
    </w:p>
    <w:p>
      <w:pPr>
        <w:pStyle w:val="BodyText"/>
        <w:spacing w:before="9"/>
        <w:rPr>
          <w:i/>
          <w:sz w:val="21"/>
        </w:rPr>
      </w:pPr>
    </w:p>
    <w:p>
      <w:pPr>
        <w:tabs>
          <w:tab w:pos="1580" w:val="left" w:leader="none"/>
        </w:tabs>
        <w:spacing w:before="0"/>
        <w:ind w:left="140" w:right="830" w:firstLine="0"/>
        <w:jc w:val="left"/>
        <w:rPr>
          <w:sz w:val="22"/>
        </w:rPr>
      </w:pPr>
      <w:r>
        <w:rPr>
          <w:b/>
          <w:sz w:val="22"/>
        </w:rPr>
        <w:t>TABLE</w:t>
      </w:r>
      <w:r>
        <w:rPr>
          <w:b/>
          <w:spacing w:val="-1"/>
          <w:sz w:val="22"/>
        </w:rPr>
        <w:t> </w:t>
      </w:r>
      <w:r>
        <w:rPr>
          <w:b/>
          <w:i/>
          <w:color w:val="FF0000"/>
          <w:sz w:val="22"/>
        </w:rPr>
        <w:t>[#]</w:t>
      </w:r>
      <w:r>
        <w:rPr>
          <w:b/>
          <w:sz w:val="22"/>
        </w:rPr>
        <w:t>.</w:t>
        <w:tab/>
      </w:r>
      <w:r>
        <w:rPr>
          <w:sz w:val="22"/>
        </w:rPr>
        <w:t>Viability</w:t>
      </w:r>
      <w:r>
        <w:rPr>
          <w:spacing w:val="-5"/>
          <w:sz w:val="22"/>
        </w:rPr>
        <w:t> </w:t>
      </w:r>
      <w:r>
        <w:rPr>
          <w:i/>
          <w:color w:val="FF0000"/>
          <w:sz w:val="22"/>
        </w:rPr>
        <w:t>[or</w:t>
      </w:r>
      <w:r>
        <w:rPr>
          <w:i/>
          <w:color w:val="FF0000"/>
          <w:spacing w:val="-6"/>
          <w:sz w:val="22"/>
        </w:rPr>
        <w:t> </w:t>
      </w:r>
      <w:r>
        <w:rPr>
          <w:i/>
          <w:color w:val="FF0000"/>
          <w:sz w:val="22"/>
        </w:rPr>
        <w:t>potency]</w:t>
      </w:r>
      <w:r>
        <w:rPr>
          <w:i/>
          <w:color w:val="FF0000"/>
          <w:spacing w:val="-3"/>
          <w:sz w:val="22"/>
        </w:rPr>
        <w:t> </w:t>
      </w:r>
      <w:r>
        <w:rPr>
          <w:sz w:val="22"/>
        </w:rPr>
        <w:t>of</w:t>
      </w:r>
      <w:r>
        <w:rPr>
          <w:spacing w:val="-5"/>
          <w:sz w:val="22"/>
        </w:rPr>
        <w:t> </w:t>
      </w:r>
      <w:r>
        <w:rPr>
          <w:i/>
          <w:color w:val="FF0000"/>
          <w:sz w:val="22"/>
        </w:rPr>
        <w:t>[test</w:t>
      </w:r>
      <w:r>
        <w:rPr>
          <w:i/>
          <w:color w:val="FF0000"/>
          <w:spacing w:val="-5"/>
          <w:sz w:val="22"/>
        </w:rPr>
        <w:t> </w:t>
      </w:r>
      <w:r>
        <w:rPr>
          <w:i/>
          <w:color w:val="FF0000"/>
          <w:sz w:val="22"/>
        </w:rPr>
        <w:t>substance]</w:t>
      </w:r>
      <w:r>
        <w:rPr>
          <w:i/>
          <w:color w:val="FF0000"/>
          <w:spacing w:val="-4"/>
          <w:sz w:val="22"/>
        </w:rPr>
        <w:t> </w:t>
      </w:r>
      <w:r>
        <w:rPr>
          <w:sz w:val="22"/>
        </w:rPr>
        <w:t>in</w:t>
      </w:r>
      <w:r>
        <w:rPr>
          <w:spacing w:val="-5"/>
          <w:sz w:val="22"/>
        </w:rPr>
        <w:t> </w:t>
      </w:r>
      <w:r>
        <w:rPr>
          <w:i/>
          <w:color w:val="FF0000"/>
          <w:sz w:val="22"/>
        </w:rPr>
        <w:t>[dosing</w:t>
      </w:r>
      <w:r>
        <w:rPr>
          <w:i/>
          <w:color w:val="FF0000"/>
          <w:spacing w:val="-5"/>
          <w:sz w:val="22"/>
        </w:rPr>
        <w:t> </w:t>
      </w:r>
      <w:r>
        <w:rPr>
          <w:i/>
          <w:color w:val="FF0000"/>
          <w:sz w:val="22"/>
        </w:rPr>
        <w:t>suspension/diet]</w:t>
      </w:r>
      <w:r>
        <w:rPr>
          <w:i/>
          <w:color w:val="FF0000"/>
          <w:spacing w:val="-3"/>
          <w:sz w:val="22"/>
        </w:rPr>
        <w:t> </w:t>
      </w:r>
      <w:r>
        <w:rPr>
          <w:sz w:val="22"/>
        </w:rPr>
        <w:t>administered</w:t>
      </w:r>
      <w:r>
        <w:rPr>
          <w:spacing w:val="-5"/>
          <w:sz w:val="22"/>
        </w:rPr>
        <w:t> </w:t>
      </w:r>
      <w:r>
        <w:rPr>
          <w:sz w:val="22"/>
        </w:rPr>
        <w:t>to</w:t>
      </w:r>
      <w:r>
        <w:rPr>
          <w:spacing w:val="-5"/>
          <w:sz w:val="22"/>
        </w:rPr>
        <w:t> </w:t>
      </w:r>
      <w:r>
        <w:rPr>
          <w:i/>
          <w:color w:val="FF0000"/>
          <w:sz w:val="22"/>
        </w:rPr>
        <w:t>[test</w:t>
      </w:r>
      <w:r>
        <w:rPr>
          <w:i/>
          <w:color w:val="FF0000"/>
          <w:spacing w:val="-1"/>
          <w:w w:val="99"/>
          <w:sz w:val="22"/>
        </w:rPr>
        <w:t> </w:t>
      </w:r>
      <w:r>
        <w:rPr>
          <w:i/>
          <w:color w:val="FF0000"/>
          <w:sz w:val="22"/>
        </w:rPr>
        <w:t>organism] </w:t>
      </w:r>
      <w:r>
        <w:rPr>
          <w:sz w:val="22"/>
        </w:rPr>
        <w:t>over </w:t>
      </w:r>
      <w:r>
        <w:rPr>
          <w:i/>
          <w:color w:val="FF0000"/>
          <w:sz w:val="22"/>
        </w:rPr>
        <w:t>[#]</w:t>
      </w:r>
      <w:r>
        <w:rPr>
          <w:i/>
          <w:color w:val="FF0000"/>
          <w:spacing w:val="-11"/>
          <w:sz w:val="22"/>
        </w:rPr>
        <w:t> </w:t>
      </w:r>
      <w:r>
        <w:rPr>
          <w:sz w:val="22"/>
        </w:rPr>
        <w:t>days.</w:t>
      </w:r>
    </w:p>
    <w:p>
      <w:pPr>
        <w:pStyle w:val="BodyText"/>
        <w:spacing w:before="2" w:after="1"/>
        <w:rPr>
          <w:i w:val="0"/>
          <w:sz w:val="22"/>
        </w:rPr>
      </w:pPr>
    </w:p>
    <w:tbl>
      <w:tblPr>
        <w:tblW w:w="0" w:type="auto"/>
        <w:jc w:val="left"/>
        <w:tblInd w:w="1124"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477"/>
        <w:gridCol w:w="3186"/>
        <w:gridCol w:w="3420"/>
      </w:tblGrid>
      <w:tr>
        <w:trPr>
          <w:trHeight w:val="668" w:hRule="exact"/>
        </w:trPr>
        <w:tc>
          <w:tcPr>
            <w:tcW w:w="1477" w:type="dxa"/>
            <w:tcBorders>
              <w:right w:val="single" w:sz="6" w:space="0" w:color="000000"/>
            </w:tcBorders>
          </w:tcPr>
          <w:p>
            <w:pPr>
              <w:pStyle w:val="TableParagraph"/>
              <w:spacing w:before="5"/>
              <w:rPr>
                <w:sz w:val="20"/>
              </w:rPr>
            </w:pPr>
          </w:p>
          <w:p>
            <w:pPr>
              <w:pStyle w:val="TableParagraph"/>
              <w:spacing w:before="0"/>
              <w:ind w:left="209"/>
              <w:rPr>
                <w:b/>
                <w:sz w:val="20"/>
              </w:rPr>
            </w:pPr>
            <w:r>
              <w:rPr>
                <w:b/>
                <w:sz w:val="20"/>
              </w:rPr>
              <w:t>Dose Group</w:t>
            </w:r>
          </w:p>
        </w:tc>
        <w:tc>
          <w:tcPr>
            <w:tcW w:w="3186" w:type="dxa"/>
            <w:tcBorders>
              <w:left w:val="single" w:sz="6" w:space="0" w:color="000000"/>
              <w:right w:val="single" w:sz="6" w:space="0" w:color="000000"/>
            </w:tcBorders>
          </w:tcPr>
          <w:p>
            <w:pPr>
              <w:pStyle w:val="TableParagraph"/>
              <w:spacing w:before="120"/>
              <w:ind w:left="188" w:right="187"/>
              <w:jc w:val="center"/>
              <w:rPr>
                <w:b/>
                <w:i/>
                <w:sz w:val="20"/>
              </w:rPr>
            </w:pPr>
            <w:r>
              <w:rPr>
                <w:b/>
                <w:sz w:val="20"/>
              </w:rPr>
              <w:t>Nominal Dose </w:t>
            </w:r>
            <w:r>
              <w:rPr>
                <w:b/>
                <w:i/>
                <w:color w:val="FF0000"/>
                <w:sz w:val="20"/>
              </w:rPr>
              <w:t>[count or potency]</w:t>
            </w:r>
          </w:p>
          <w:p>
            <w:pPr>
              <w:pStyle w:val="TableParagraph"/>
              <w:spacing w:before="0"/>
              <w:ind w:left="188" w:right="187"/>
              <w:jc w:val="center"/>
              <w:rPr>
                <w:b/>
                <w:sz w:val="20"/>
              </w:rPr>
            </w:pPr>
            <w:r>
              <w:rPr>
                <w:b/>
                <w:sz w:val="20"/>
              </w:rPr>
              <w:t>(</w:t>
            </w:r>
            <w:r>
              <w:rPr>
                <w:b/>
                <w:i/>
                <w:color w:val="FF0000"/>
                <w:sz w:val="20"/>
              </w:rPr>
              <w:t>insert units</w:t>
            </w:r>
            <w:r>
              <w:rPr>
                <w:b/>
                <w:sz w:val="20"/>
              </w:rPr>
              <w:t>)</w:t>
            </w:r>
          </w:p>
        </w:tc>
        <w:tc>
          <w:tcPr>
            <w:tcW w:w="3420" w:type="dxa"/>
            <w:tcBorders>
              <w:left w:val="single" w:sz="6" w:space="0" w:color="000000"/>
            </w:tcBorders>
          </w:tcPr>
          <w:p>
            <w:pPr>
              <w:pStyle w:val="TableParagraph"/>
              <w:spacing w:before="120"/>
              <w:ind w:left="244" w:right="237"/>
              <w:jc w:val="center"/>
              <w:rPr>
                <w:b/>
                <w:i/>
                <w:sz w:val="20"/>
              </w:rPr>
            </w:pPr>
            <w:r>
              <w:rPr>
                <w:b/>
                <w:sz w:val="20"/>
              </w:rPr>
              <w:t>Measured Dose </w:t>
            </w:r>
            <w:r>
              <w:rPr>
                <w:b/>
                <w:i/>
                <w:color w:val="FF0000"/>
                <w:sz w:val="20"/>
              </w:rPr>
              <w:t>[count or potency]</w:t>
            </w:r>
          </w:p>
          <w:p>
            <w:pPr>
              <w:pStyle w:val="TableParagraph"/>
              <w:spacing w:before="0"/>
              <w:ind w:left="244" w:right="237"/>
              <w:jc w:val="center"/>
              <w:rPr>
                <w:b/>
                <w:sz w:val="20"/>
              </w:rPr>
            </w:pPr>
            <w:r>
              <w:rPr>
                <w:b/>
                <w:sz w:val="20"/>
              </w:rPr>
              <w:t>(</w:t>
            </w:r>
            <w:r>
              <w:rPr>
                <w:b/>
                <w:i/>
                <w:color w:val="FF0000"/>
                <w:sz w:val="20"/>
              </w:rPr>
              <w:t>insert units</w:t>
            </w:r>
            <w:r>
              <w:rPr>
                <w:b/>
                <w:sz w:val="20"/>
              </w:rPr>
              <w:t>)</w:t>
            </w:r>
          </w:p>
        </w:tc>
      </w:tr>
      <w:tr>
        <w:trPr>
          <w:trHeight w:val="660" w:hRule="exact"/>
        </w:trPr>
        <w:tc>
          <w:tcPr>
            <w:tcW w:w="1477" w:type="dxa"/>
            <w:tcBorders>
              <w:bottom w:val="single" w:sz="6" w:space="0" w:color="000000"/>
              <w:right w:val="single" w:sz="6" w:space="0" w:color="000000"/>
            </w:tcBorders>
          </w:tcPr>
          <w:p>
            <w:pPr>
              <w:pStyle w:val="TableParagraph"/>
              <w:ind w:left="440" w:right="351" w:hanging="78"/>
              <w:rPr>
                <w:sz w:val="20"/>
              </w:rPr>
            </w:pPr>
            <w:r>
              <w:rPr>
                <w:sz w:val="20"/>
              </w:rPr>
              <w:t>Negative control</w:t>
            </w:r>
          </w:p>
        </w:tc>
        <w:tc>
          <w:tcPr>
            <w:tcW w:w="3186" w:type="dxa"/>
            <w:tcBorders>
              <w:left w:val="single" w:sz="6" w:space="0" w:color="000000"/>
              <w:bottom w:val="single" w:sz="6" w:space="0" w:color="000000"/>
              <w:right w:val="single" w:sz="6" w:space="0" w:color="000000"/>
            </w:tcBorders>
          </w:tcPr>
          <w:p>
            <w:pPr/>
          </w:p>
        </w:tc>
        <w:tc>
          <w:tcPr>
            <w:tcW w:w="3420" w:type="dxa"/>
            <w:tcBorders>
              <w:left w:val="single" w:sz="6" w:space="0" w:color="000000"/>
              <w:bottom w:val="single" w:sz="6" w:space="0" w:color="000000"/>
            </w:tcBorders>
          </w:tcPr>
          <w:p>
            <w:pPr/>
          </w:p>
        </w:tc>
      </w:tr>
      <w:tr>
        <w:trPr>
          <w:trHeight w:val="653" w:hRule="exact"/>
        </w:trPr>
        <w:tc>
          <w:tcPr>
            <w:tcW w:w="1477" w:type="dxa"/>
            <w:tcBorders>
              <w:top w:val="single" w:sz="6" w:space="0" w:color="000000"/>
              <w:bottom w:val="single" w:sz="6" w:space="0" w:color="000000"/>
              <w:right w:val="single" w:sz="6" w:space="0" w:color="000000"/>
            </w:tcBorders>
          </w:tcPr>
          <w:p>
            <w:pPr>
              <w:pStyle w:val="TableParagraph"/>
              <w:ind w:left="435" w:right="107" w:hanging="317"/>
              <w:rPr>
                <w:i/>
                <w:sz w:val="20"/>
              </w:rPr>
            </w:pPr>
            <w:r>
              <w:rPr>
                <w:i/>
                <w:color w:val="FF0000"/>
                <w:sz w:val="20"/>
              </w:rPr>
              <w:t>Solvent/vehicle </w:t>
            </w:r>
            <w:r>
              <w:rPr>
                <w:i/>
                <w:color w:val="FF0000"/>
                <w:sz w:val="20"/>
              </w:rPr>
              <w:t>control</w:t>
            </w:r>
          </w:p>
        </w:tc>
        <w:tc>
          <w:tcPr>
            <w:tcW w:w="3186"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653" w:hRule="exact"/>
        </w:trPr>
        <w:tc>
          <w:tcPr>
            <w:tcW w:w="1477" w:type="dxa"/>
            <w:tcBorders>
              <w:top w:val="single" w:sz="6" w:space="0" w:color="000000"/>
              <w:bottom w:val="single" w:sz="6" w:space="0" w:color="000000"/>
              <w:right w:val="single" w:sz="6" w:space="0" w:color="000000"/>
            </w:tcBorders>
          </w:tcPr>
          <w:p>
            <w:pPr>
              <w:pStyle w:val="TableParagraph"/>
              <w:ind w:left="435" w:right="262" w:hanging="162"/>
              <w:rPr>
                <w:i/>
                <w:sz w:val="20"/>
              </w:rPr>
            </w:pPr>
            <w:r>
              <w:rPr>
                <w:i/>
                <w:color w:val="FF0000"/>
                <w:sz w:val="20"/>
              </w:rPr>
              <w:t>Inactivated </w:t>
            </w:r>
            <w:r>
              <w:rPr>
                <w:i/>
                <w:color w:val="FF0000"/>
                <w:sz w:val="20"/>
              </w:rPr>
              <w:t>control</w:t>
            </w:r>
          </w:p>
        </w:tc>
        <w:tc>
          <w:tcPr>
            <w:tcW w:w="3186"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654" w:hRule="exact"/>
        </w:trPr>
        <w:tc>
          <w:tcPr>
            <w:tcW w:w="1477" w:type="dxa"/>
            <w:tcBorders>
              <w:top w:val="single" w:sz="6" w:space="0" w:color="000000"/>
              <w:bottom w:val="single" w:sz="6" w:space="0" w:color="000000"/>
              <w:right w:val="single" w:sz="6" w:space="0" w:color="000000"/>
            </w:tcBorders>
          </w:tcPr>
          <w:p>
            <w:pPr>
              <w:pStyle w:val="TableParagraph"/>
              <w:ind w:left="435" w:right="154" w:hanging="270"/>
              <w:rPr>
                <w:i/>
                <w:sz w:val="20"/>
              </w:rPr>
            </w:pPr>
            <w:r>
              <w:rPr>
                <w:i/>
                <w:color w:val="FF0000"/>
                <w:sz w:val="20"/>
              </w:rPr>
              <w:t>Sterile filtrate </w:t>
            </w:r>
            <w:r>
              <w:rPr>
                <w:i/>
                <w:color w:val="FF0000"/>
                <w:sz w:val="20"/>
              </w:rPr>
              <w:t>control</w:t>
            </w:r>
          </w:p>
        </w:tc>
        <w:tc>
          <w:tcPr>
            <w:tcW w:w="3186" w:type="dxa"/>
            <w:tcBorders>
              <w:top w:val="single" w:sz="6" w:space="0" w:color="000000"/>
              <w:left w:val="single" w:sz="6" w:space="0" w:color="000000"/>
              <w:bottom w:val="single" w:sz="6" w:space="0" w:color="000000"/>
              <w:right w:val="single" w:sz="6" w:space="0" w:color="000000"/>
            </w:tcBorders>
          </w:tcPr>
          <w:p>
            <w:pPr/>
          </w:p>
        </w:tc>
        <w:tc>
          <w:tcPr>
            <w:tcW w:w="3420" w:type="dxa"/>
            <w:tcBorders>
              <w:top w:val="single" w:sz="6" w:space="0" w:color="000000"/>
              <w:left w:val="single" w:sz="6" w:space="0" w:color="000000"/>
              <w:bottom w:val="single" w:sz="6" w:space="0" w:color="000000"/>
            </w:tcBorders>
          </w:tcPr>
          <w:p>
            <w:pPr/>
          </w:p>
        </w:tc>
      </w:tr>
      <w:tr>
        <w:trPr>
          <w:trHeight w:val="661" w:hRule="exact"/>
        </w:trPr>
        <w:tc>
          <w:tcPr>
            <w:tcW w:w="1477" w:type="dxa"/>
            <w:tcBorders>
              <w:top w:val="single" w:sz="6" w:space="0" w:color="000000"/>
              <w:right w:val="single" w:sz="6" w:space="0" w:color="000000"/>
            </w:tcBorders>
          </w:tcPr>
          <w:p>
            <w:pPr>
              <w:pStyle w:val="TableParagraph"/>
              <w:spacing w:before="117"/>
              <w:ind w:left="237" w:right="226" w:firstLine="86"/>
              <w:rPr>
                <w:i/>
                <w:sz w:val="20"/>
              </w:rPr>
            </w:pPr>
            <w:r>
              <w:rPr>
                <w:i/>
                <w:color w:val="FF0000"/>
                <w:sz w:val="20"/>
              </w:rPr>
              <w:t>Maximum </w:t>
            </w:r>
            <w:r>
              <w:rPr>
                <w:i/>
                <w:color w:val="FF0000"/>
                <w:sz w:val="20"/>
              </w:rPr>
              <w:t>hazard dose</w:t>
            </w:r>
          </w:p>
        </w:tc>
        <w:tc>
          <w:tcPr>
            <w:tcW w:w="3186" w:type="dxa"/>
            <w:tcBorders>
              <w:top w:val="single" w:sz="6" w:space="0" w:color="000000"/>
              <w:left w:val="single" w:sz="6" w:space="0" w:color="000000"/>
              <w:right w:val="single" w:sz="6" w:space="0" w:color="000000"/>
            </w:tcBorders>
          </w:tcPr>
          <w:p>
            <w:pPr/>
          </w:p>
        </w:tc>
        <w:tc>
          <w:tcPr>
            <w:tcW w:w="3420" w:type="dxa"/>
            <w:tcBorders>
              <w:top w:val="single" w:sz="6" w:space="0" w:color="000000"/>
              <w:left w:val="single" w:sz="6" w:space="0" w:color="000000"/>
            </w:tcBorders>
          </w:tcPr>
          <w:p>
            <w:pPr/>
          </w:p>
        </w:tc>
      </w:tr>
    </w:tbl>
    <w:p>
      <w:pPr>
        <w:pStyle w:val="BodyText"/>
        <w:spacing w:before="7"/>
        <w:rPr>
          <w:i w:val="0"/>
          <w:sz w:val="19"/>
        </w:rPr>
      </w:pPr>
    </w:p>
    <w:p>
      <w:pPr>
        <w:pStyle w:val="Heading6"/>
        <w:ind w:right="251"/>
      </w:pPr>
      <w:r>
        <w:rPr>
          <w:i/>
          <w:color w:val="FF0000"/>
        </w:rPr>
        <w:t>[Table suitable for microbial toxicity/infectivity/pathogenicity testing at the maximum hazard dose/concentration. Modify as </w:t>
      </w:r>
      <w:r>
        <w:rPr>
          <w:color w:val="FF0000"/>
        </w:rPr>
        <w:t>appropriate to accommodate differences in experimental design.]</w:t>
      </w:r>
    </w:p>
    <w:p>
      <w:pPr>
        <w:pStyle w:val="BodyText"/>
        <w:spacing w:before="1"/>
        <w:rPr>
          <w:i/>
          <w:sz w:val="22"/>
        </w:rPr>
      </w:pPr>
    </w:p>
    <w:p>
      <w:pPr>
        <w:pStyle w:val="ListParagraph"/>
        <w:numPr>
          <w:ilvl w:val="0"/>
          <w:numId w:val="3"/>
        </w:numPr>
        <w:tabs>
          <w:tab w:pos="859" w:val="left" w:leader="none"/>
          <w:tab w:pos="861" w:val="left" w:leader="none"/>
          <w:tab w:pos="3019" w:val="left" w:leader="none"/>
        </w:tabs>
        <w:spacing w:line="240" w:lineRule="auto" w:before="0" w:after="0"/>
        <w:ind w:left="860" w:right="413" w:hanging="720"/>
        <w:jc w:val="left"/>
        <w:rPr>
          <w:i/>
          <w:sz w:val="22"/>
          <w:u w:val="none"/>
        </w:rPr>
      </w:pPr>
      <w:r>
        <w:rPr>
          <w:b/>
          <w:sz w:val="22"/>
          <w:u w:val="thick"/>
        </w:rPr>
        <w:t>MORTALITY</w:t>
      </w:r>
      <w:r>
        <w:rPr>
          <w:b/>
          <w:sz w:val="22"/>
          <w:u w:val="none"/>
        </w:rPr>
        <w:t>:</w:t>
        <w:tab/>
      </w:r>
      <w:r>
        <w:rPr>
          <w:i/>
          <w:color w:val="FF0000"/>
          <w:sz w:val="22"/>
          <w:u w:val="none"/>
        </w:rPr>
        <w:t>[Briefly summarize mortality results (if any). If values for LD</w:t>
      </w:r>
      <w:r>
        <w:rPr>
          <w:i/>
          <w:color w:val="FF0000"/>
          <w:position w:val="-1"/>
          <w:sz w:val="14"/>
          <w:u w:val="none"/>
        </w:rPr>
        <w:t>50</w:t>
      </w:r>
      <w:r>
        <w:rPr>
          <w:i/>
          <w:color w:val="FF0000"/>
          <w:sz w:val="22"/>
          <w:u w:val="none"/>
        </w:rPr>
        <w:t>,</w:t>
      </w:r>
      <w:r>
        <w:rPr>
          <w:i/>
          <w:color w:val="FF0000"/>
          <w:spacing w:val="-30"/>
          <w:sz w:val="22"/>
          <w:u w:val="none"/>
        </w:rPr>
        <w:t> </w:t>
      </w:r>
      <w:r>
        <w:rPr>
          <w:i/>
          <w:color w:val="FF0000"/>
          <w:sz w:val="22"/>
          <w:u w:val="none"/>
        </w:rPr>
        <w:t>LC</w:t>
      </w:r>
      <w:r>
        <w:rPr>
          <w:i/>
          <w:color w:val="FF0000"/>
          <w:position w:val="-1"/>
          <w:sz w:val="14"/>
          <w:u w:val="none"/>
        </w:rPr>
        <w:t>50</w:t>
      </w:r>
      <w:r>
        <w:rPr>
          <w:i/>
          <w:color w:val="FF0000"/>
          <w:sz w:val="22"/>
          <w:u w:val="none"/>
        </w:rPr>
        <w:t>,</w:t>
      </w:r>
      <w:r>
        <w:rPr>
          <w:i/>
          <w:color w:val="FF0000"/>
          <w:spacing w:val="-3"/>
          <w:sz w:val="22"/>
          <w:u w:val="none"/>
        </w:rPr>
        <w:t> </w:t>
      </w:r>
      <w:r>
        <w:rPr>
          <w:i/>
          <w:color w:val="FF0000"/>
          <w:sz w:val="22"/>
          <w:u w:val="none"/>
        </w:rPr>
        <w:t>LT</w:t>
      </w:r>
      <w:r>
        <w:rPr>
          <w:i/>
          <w:color w:val="FF0000"/>
          <w:position w:val="-1"/>
          <w:sz w:val="14"/>
          <w:u w:val="none"/>
        </w:rPr>
        <w:t>50</w:t>
      </w:r>
      <w:r>
        <w:rPr>
          <w:i/>
          <w:color w:val="FF0000"/>
          <w:sz w:val="22"/>
          <w:u w:val="none"/>
        </w:rPr>
        <w:t>,</w:t>
      </w:r>
      <w:r>
        <w:rPr>
          <w:i/>
          <w:color w:val="FF0000"/>
          <w:w w:val="99"/>
          <w:sz w:val="22"/>
          <w:u w:val="none"/>
        </w:rPr>
        <w:t> </w:t>
      </w:r>
      <w:r>
        <w:rPr>
          <w:i/>
          <w:color w:val="FF0000"/>
          <w:sz w:val="22"/>
          <w:u w:val="none"/>
        </w:rPr>
        <w:t>NOEL, NOEC are greater than the MHD level, use </w:t>
      </w:r>
      <w:r>
        <w:rPr>
          <w:b/>
          <w:i/>
          <w:color w:val="FF0000"/>
          <w:sz w:val="22"/>
          <w:u w:val="none"/>
        </w:rPr>
        <w:t>&lt; </w:t>
      </w:r>
      <w:r>
        <w:rPr>
          <w:i/>
          <w:color w:val="FF0000"/>
          <w:sz w:val="22"/>
          <w:u w:val="none"/>
        </w:rPr>
        <w:t>symbol. Comment on dose response relationship; </w:t>
      </w:r>
      <w:r>
        <w:rPr>
          <w:i/>
          <w:color w:val="FF0000"/>
          <w:sz w:val="22"/>
          <w:u w:val="none"/>
        </w:rPr>
        <w:t>Slope of response, if provided. Compare the mortality with control treatment and/or the reference chemical. Data may be summarized in a table such as those presented below. Modify table to accommodate differences in experimental</w:t>
      </w:r>
      <w:r>
        <w:rPr>
          <w:i/>
          <w:color w:val="FF0000"/>
          <w:spacing w:val="-29"/>
          <w:sz w:val="22"/>
          <w:u w:val="none"/>
        </w:rPr>
        <w:t> </w:t>
      </w:r>
      <w:r>
        <w:rPr>
          <w:i/>
          <w:color w:val="FF0000"/>
          <w:sz w:val="22"/>
          <w:u w:val="none"/>
        </w:rPr>
        <w:t>design.]</w:t>
      </w:r>
    </w:p>
    <w:p>
      <w:pPr>
        <w:pStyle w:val="BodyText"/>
        <w:spacing w:before="10"/>
        <w:rPr>
          <w:i/>
          <w:sz w:val="21"/>
        </w:rPr>
      </w:pPr>
    </w:p>
    <w:p>
      <w:pPr>
        <w:pStyle w:val="BodyText"/>
        <w:spacing w:line="235" w:lineRule="auto"/>
        <w:ind w:left="859" w:right="211"/>
      </w:pPr>
      <w:r>
        <w:rPr>
          <w:b/>
          <w:i/>
          <w:color w:val="0070C0"/>
        </w:rPr>
        <w:t>From U.S. EPA OCSPP 885.0001 Overview for Microbial Pest Control Agents </w:t>
      </w:r>
      <w:r>
        <w:rPr>
          <w:i/>
          <w:color w:val="0070C0"/>
        </w:rPr>
        <w:t>The Agency realizes that it would be very difficult to establish </w:t>
      </w:r>
      <w:r>
        <w:rPr>
          <w:color w:val="0070C0"/>
        </w:rPr>
        <w:t>specific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values (e.g. LD</w:t>
      </w:r>
      <w:r>
        <w:rPr>
          <w:color w:val="0070C0"/>
          <w:position w:val="-1"/>
          <w:sz w:val="10"/>
        </w:rPr>
        <w:t>50 </w:t>
      </w:r>
      <w:r>
        <w:rPr>
          <w:color w:val="0070C0"/>
        </w:rPr>
        <w:t>= 1,000 mg/kg) and 95 percent confidence limits for most MPCAs whose mechanism of action is pathogenicity, because test data are not likely to exhibit a log-probit dose-response relationship that is typical of chemical pesticides. Therefore, data that establishes an LC</w:t>
      </w:r>
      <w:r>
        <w:rPr>
          <w:color w:val="0070C0"/>
          <w:position w:val="-1"/>
          <w:sz w:val="10"/>
        </w:rPr>
        <w:t>50</w:t>
      </w:r>
      <w:r>
        <w:rPr>
          <w:color w:val="0070C0"/>
        </w:rPr>
        <w:t>, ED</w:t>
      </w:r>
      <w:r>
        <w:rPr>
          <w:color w:val="0070C0"/>
          <w:position w:val="-1"/>
          <w:sz w:val="10"/>
        </w:rPr>
        <w:t>50</w:t>
      </w:r>
      <w:r>
        <w:rPr>
          <w:color w:val="0070C0"/>
        </w:rPr>
        <w:t>, or LD</w:t>
      </w:r>
      <w:r>
        <w:rPr>
          <w:color w:val="0070C0"/>
          <w:position w:val="-1"/>
          <w:sz w:val="10"/>
        </w:rPr>
        <w:t>50 </w:t>
      </w:r>
      <w:r>
        <w:rPr>
          <w:color w:val="0070C0"/>
        </w:rPr>
        <w:t>that is greater than the maximum hazard dosage level (e.g. LD</w:t>
      </w:r>
      <w:r>
        <w:rPr>
          <w:color w:val="0070C0"/>
          <w:position w:val="-1"/>
          <w:sz w:val="10"/>
        </w:rPr>
        <w:t>50 </w:t>
      </w:r>
      <w:r>
        <w:rPr>
          <w:color w:val="0070C0"/>
        </w:rPr>
        <w:t>&gt;1,000 mg/kg) would often be adequate for the purposes of hazard assessment and reporting in this section.</w:t>
      </w:r>
    </w:p>
    <w:p>
      <w:pPr>
        <w:pStyle w:val="BodyText"/>
        <w:rPr>
          <w:i/>
          <w:sz w:val="18"/>
        </w:rPr>
      </w:pPr>
    </w:p>
    <w:p>
      <w:pPr>
        <w:pStyle w:val="BodyText"/>
        <w:spacing w:before="1"/>
        <w:rPr>
          <w:i/>
          <w:sz w:val="14"/>
        </w:rPr>
      </w:pPr>
    </w:p>
    <w:p>
      <w:pPr>
        <w:tabs>
          <w:tab w:pos="1580" w:val="left" w:leader="none"/>
        </w:tabs>
        <w:spacing w:line="253" w:lineRule="exact" w:before="1"/>
        <w:ind w:left="140" w:right="0" w:firstLine="0"/>
        <w:jc w:val="left"/>
        <w:rPr>
          <w:i/>
          <w:sz w:val="22"/>
        </w:rPr>
      </w:pPr>
      <w:r>
        <w:rPr>
          <w:b/>
          <w:sz w:val="22"/>
        </w:rPr>
        <w:t>TABLE</w:t>
      </w:r>
      <w:r>
        <w:rPr>
          <w:b/>
          <w:spacing w:val="-1"/>
          <w:sz w:val="22"/>
        </w:rPr>
        <w:t> </w:t>
      </w:r>
      <w:r>
        <w:rPr>
          <w:b/>
          <w:i/>
          <w:color w:val="FF0000"/>
          <w:sz w:val="22"/>
        </w:rPr>
        <w:t>[#]</w:t>
      </w:r>
      <w:r>
        <w:rPr>
          <w:sz w:val="22"/>
        </w:rPr>
        <w:t>.</w:t>
        <w:tab/>
        <w:t>Effect</w:t>
      </w:r>
      <w:r>
        <w:rPr>
          <w:spacing w:val="-4"/>
          <w:sz w:val="22"/>
        </w:rPr>
        <w:t> </w:t>
      </w:r>
      <w:r>
        <w:rPr>
          <w:sz w:val="22"/>
        </w:rPr>
        <w:t>of</w:t>
      </w:r>
      <w:r>
        <w:rPr>
          <w:spacing w:val="-4"/>
          <w:sz w:val="22"/>
        </w:rPr>
        <w:t> </w:t>
      </w:r>
      <w:r>
        <w:rPr>
          <w:i/>
          <w:color w:val="FF0000"/>
          <w:sz w:val="22"/>
        </w:rPr>
        <w:t>[test</w:t>
      </w:r>
      <w:r>
        <w:rPr>
          <w:i/>
          <w:color w:val="FF0000"/>
          <w:spacing w:val="-3"/>
          <w:sz w:val="22"/>
        </w:rPr>
        <w:t> </w:t>
      </w:r>
      <w:r>
        <w:rPr>
          <w:i/>
          <w:color w:val="FF0000"/>
          <w:sz w:val="22"/>
        </w:rPr>
        <w:t>substance]</w:t>
      </w:r>
      <w:r>
        <w:rPr>
          <w:i/>
          <w:color w:val="FF0000"/>
          <w:spacing w:val="-1"/>
          <w:sz w:val="22"/>
        </w:rPr>
        <w:t> </w:t>
      </w:r>
      <w:r>
        <w:rPr>
          <w:sz w:val="22"/>
        </w:rPr>
        <w:t>on</w:t>
      </w:r>
      <w:r>
        <w:rPr>
          <w:spacing w:val="-4"/>
          <w:sz w:val="22"/>
        </w:rPr>
        <w:t> </w:t>
      </w:r>
      <w:r>
        <w:rPr>
          <w:sz w:val="22"/>
        </w:rPr>
        <w:t>mortality</w:t>
      </w:r>
      <w:r>
        <w:rPr>
          <w:spacing w:val="-3"/>
          <w:sz w:val="22"/>
        </w:rPr>
        <w:t> </w:t>
      </w:r>
      <w:r>
        <w:rPr>
          <w:sz w:val="22"/>
        </w:rPr>
        <w:t>of</w:t>
      </w:r>
      <w:r>
        <w:rPr>
          <w:spacing w:val="-5"/>
          <w:sz w:val="22"/>
        </w:rPr>
        <w:t> </w:t>
      </w:r>
      <w:r>
        <w:rPr>
          <w:i/>
          <w:color w:val="FF0000"/>
          <w:sz w:val="22"/>
        </w:rPr>
        <w:t>[test</w:t>
      </w:r>
      <w:r>
        <w:rPr>
          <w:i/>
          <w:color w:val="FF0000"/>
          <w:spacing w:val="-4"/>
          <w:sz w:val="22"/>
        </w:rPr>
        <w:t> </w:t>
      </w:r>
      <w:r>
        <w:rPr>
          <w:i/>
          <w:color w:val="FF0000"/>
          <w:sz w:val="22"/>
        </w:rPr>
        <w:t>organism] </w:t>
      </w:r>
      <w:r>
        <w:rPr>
          <w:sz w:val="22"/>
        </w:rPr>
        <w:t>exposed</w:t>
      </w:r>
      <w:r>
        <w:rPr>
          <w:spacing w:val="-4"/>
          <w:sz w:val="22"/>
        </w:rPr>
        <w:t> </w:t>
      </w:r>
      <w:r>
        <w:rPr>
          <w:sz w:val="22"/>
        </w:rPr>
        <w:t>by</w:t>
      </w:r>
      <w:r>
        <w:rPr>
          <w:spacing w:val="-4"/>
          <w:sz w:val="22"/>
        </w:rPr>
        <w:t> </w:t>
      </w:r>
      <w:r>
        <w:rPr>
          <w:i/>
          <w:color w:val="FF0000"/>
          <w:sz w:val="22"/>
        </w:rPr>
        <w:t>[dosing</w:t>
      </w:r>
      <w:r>
        <w:rPr>
          <w:i/>
          <w:color w:val="FF0000"/>
          <w:spacing w:val="-4"/>
          <w:sz w:val="22"/>
        </w:rPr>
        <w:t> </w:t>
      </w:r>
      <w:r>
        <w:rPr>
          <w:i/>
          <w:color w:val="FF0000"/>
          <w:sz w:val="22"/>
        </w:rPr>
        <w:t>method]</w:t>
      </w:r>
      <w:r>
        <w:rPr>
          <w:i/>
          <w:color w:val="FF0000"/>
          <w:spacing w:val="-1"/>
          <w:sz w:val="22"/>
        </w:rPr>
        <w:t> </w:t>
      </w:r>
      <w:r>
        <w:rPr>
          <w:sz w:val="22"/>
        </w:rPr>
        <w:t>over</w:t>
      </w:r>
      <w:r>
        <w:rPr>
          <w:spacing w:val="-4"/>
          <w:sz w:val="22"/>
        </w:rPr>
        <w:t> </w:t>
      </w:r>
      <w:r>
        <w:rPr>
          <w:i/>
          <w:color w:val="FF0000"/>
          <w:spacing w:val="-2"/>
          <w:sz w:val="22"/>
        </w:rPr>
        <w:t>[#]</w:t>
      </w:r>
    </w:p>
    <w:p>
      <w:pPr>
        <w:spacing w:line="253" w:lineRule="exact" w:before="0"/>
        <w:ind w:left="140" w:right="0" w:firstLine="0"/>
        <w:jc w:val="left"/>
        <w:rPr>
          <w:sz w:val="22"/>
        </w:rPr>
      </w:pPr>
      <w:r>
        <w:rPr>
          <w:sz w:val="22"/>
        </w:rPr>
        <w:t>days.</w:t>
      </w:r>
    </w:p>
    <w:p>
      <w:pPr>
        <w:spacing w:after="0" w:line="253" w:lineRule="exact"/>
        <w:jc w:val="left"/>
        <w:rPr>
          <w:sz w:val="22"/>
        </w:rPr>
        <w:sectPr>
          <w:pgSz w:w="12240" w:h="15840"/>
          <w:pgMar w:header="729" w:footer="796" w:top="1880" w:bottom="980" w:left="940" w:right="940"/>
        </w:sectPr>
      </w:pPr>
    </w:p>
    <w:p>
      <w:pPr>
        <w:pStyle w:val="BodyText"/>
        <w:rPr>
          <w:i w:val="0"/>
          <w:sz w:val="12"/>
        </w:rPr>
      </w:pPr>
    </w:p>
    <w:tbl>
      <w:tblPr>
        <w:tblW w:w="0" w:type="auto"/>
        <w:jc w:val="left"/>
        <w:tblInd w:w="1491"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54"/>
        <w:gridCol w:w="860"/>
        <w:gridCol w:w="1621"/>
        <w:gridCol w:w="1957"/>
        <w:gridCol w:w="1754"/>
      </w:tblGrid>
      <w:tr>
        <w:trPr>
          <w:trHeight w:val="431" w:hRule="exact"/>
        </w:trPr>
        <w:tc>
          <w:tcPr>
            <w:tcW w:w="2015" w:type="dxa"/>
            <w:gridSpan w:val="2"/>
            <w:vMerge w:val="restart"/>
            <w:tcBorders>
              <w:right w:val="single" w:sz="6" w:space="0" w:color="000000"/>
            </w:tcBorders>
          </w:tcPr>
          <w:p>
            <w:pPr>
              <w:pStyle w:val="TableParagraph"/>
              <w:spacing w:before="0"/>
              <w:rPr>
                <w:sz w:val="22"/>
              </w:rPr>
            </w:pPr>
          </w:p>
          <w:p>
            <w:pPr>
              <w:pStyle w:val="TableParagraph"/>
              <w:spacing w:before="194"/>
              <w:ind w:left="536"/>
              <w:rPr>
                <w:b/>
                <w:sz w:val="20"/>
              </w:rPr>
            </w:pPr>
            <w:r>
              <w:rPr>
                <w:b/>
                <w:sz w:val="20"/>
              </w:rPr>
              <w:t>Treatment</w:t>
            </w:r>
          </w:p>
        </w:tc>
        <w:tc>
          <w:tcPr>
            <w:tcW w:w="5333" w:type="dxa"/>
            <w:gridSpan w:val="3"/>
            <w:tcBorders>
              <w:left w:val="single" w:sz="6" w:space="0" w:color="000000"/>
              <w:bottom w:val="single" w:sz="6" w:space="0" w:color="000000"/>
            </w:tcBorders>
          </w:tcPr>
          <w:p>
            <w:pPr>
              <w:pStyle w:val="TableParagraph"/>
              <w:spacing w:before="120"/>
              <w:ind w:left="658"/>
              <w:rPr>
                <w:b/>
                <w:sz w:val="20"/>
              </w:rPr>
            </w:pPr>
            <w:r>
              <w:rPr>
                <w:b/>
                <w:sz w:val="20"/>
              </w:rPr>
              <w:t>Cumulative Mortality/Total Number of Insects</w:t>
            </w:r>
          </w:p>
        </w:tc>
      </w:tr>
      <w:tr>
        <w:trPr>
          <w:trHeight w:val="660" w:hRule="exact"/>
        </w:trPr>
        <w:tc>
          <w:tcPr>
            <w:tcW w:w="2015" w:type="dxa"/>
            <w:gridSpan w:val="2"/>
            <w:vMerge/>
            <w:tcBorders>
              <w:right w:val="single" w:sz="6" w:space="0" w:color="000000"/>
            </w:tcBorders>
          </w:tcPr>
          <w:p>
            <w:pPr/>
          </w:p>
        </w:tc>
        <w:tc>
          <w:tcPr>
            <w:tcW w:w="1621" w:type="dxa"/>
            <w:tcBorders>
              <w:top w:val="single" w:sz="6" w:space="0" w:color="000000"/>
              <w:left w:val="single" w:sz="6" w:space="0" w:color="000000"/>
              <w:right w:val="single" w:sz="6" w:space="0" w:color="000000"/>
            </w:tcBorders>
          </w:tcPr>
          <w:p>
            <w:pPr>
              <w:pStyle w:val="TableParagraph"/>
              <w:spacing w:before="120"/>
              <w:ind w:left="470" w:right="412" w:hanging="40"/>
              <w:rPr>
                <w:b/>
                <w:sz w:val="20"/>
              </w:rPr>
            </w:pPr>
            <w:r>
              <w:rPr>
                <w:b/>
                <w:sz w:val="20"/>
              </w:rPr>
              <w:t>Negative Control</w:t>
            </w:r>
          </w:p>
        </w:tc>
        <w:tc>
          <w:tcPr>
            <w:tcW w:w="1957" w:type="dxa"/>
            <w:tcBorders>
              <w:top w:val="single" w:sz="6" w:space="0" w:color="000000"/>
              <w:left w:val="single" w:sz="6" w:space="0" w:color="000000"/>
              <w:right w:val="single" w:sz="6" w:space="0" w:color="000000"/>
            </w:tcBorders>
          </w:tcPr>
          <w:p>
            <w:pPr>
              <w:pStyle w:val="TableParagraph"/>
              <w:spacing w:before="120"/>
              <w:ind w:left="173" w:right="155" w:firstLine="339"/>
              <w:rPr>
                <w:b/>
                <w:sz w:val="20"/>
              </w:rPr>
            </w:pPr>
            <w:r>
              <w:rPr>
                <w:b/>
                <w:sz w:val="20"/>
              </w:rPr>
              <w:t>Killed </w:t>
            </w:r>
            <w:r>
              <w:rPr>
                <w:b/>
                <w:i/>
                <w:color w:val="FF0000"/>
                <w:sz w:val="20"/>
              </w:rPr>
              <w:t>[test </w:t>
            </w:r>
            <w:r>
              <w:rPr>
                <w:b/>
                <w:i/>
                <w:color w:val="FF0000"/>
                <w:sz w:val="20"/>
              </w:rPr>
              <w:t>substance] </w:t>
            </w:r>
            <w:r>
              <w:rPr>
                <w:b/>
                <w:sz w:val="20"/>
              </w:rPr>
              <w:t>Control</w:t>
            </w:r>
          </w:p>
        </w:tc>
        <w:tc>
          <w:tcPr>
            <w:tcW w:w="1754" w:type="dxa"/>
            <w:tcBorders>
              <w:top w:val="single" w:sz="6" w:space="0" w:color="000000"/>
              <w:left w:val="single" w:sz="6" w:space="0" w:color="000000"/>
            </w:tcBorders>
          </w:tcPr>
          <w:p>
            <w:pPr>
              <w:pStyle w:val="TableParagraph"/>
              <w:spacing w:before="5"/>
              <w:rPr>
                <w:sz w:val="20"/>
              </w:rPr>
            </w:pPr>
          </w:p>
          <w:p>
            <w:pPr>
              <w:pStyle w:val="TableParagraph"/>
              <w:spacing w:before="0"/>
              <w:ind w:left="200"/>
              <w:rPr>
                <w:b/>
                <w:i/>
                <w:sz w:val="20"/>
              </w:rPr>
            </w:pPr>
            <w:r>
              <w:rPr>
                <w:b/>
                <w:i/>
                <w:color w:val="FF0000"/>
                <w:sz w:val="20"/>
              </w:rPr>
              <w:t>[Test substance]</w:t>
            </w:r>
          </w:p>
        </w:tc>
      </w:tr>
      <w:tr>
        <w:trPr>
          <w:trHeight w:val="431" w:hRule="exact"/>
        </w:trPr>
        <w:tc>
          <w:tcPr>
            <w:tcW w:w="1154" w:type="dxa"/>
            <w:vMerge w:val="restart"/>
            <w:tcBorders>
              <w:right w:val="single" w:sz="6" w:space="0" w:color="000000"/>
            </w:tcBorders>
          </w:tcPr>
          <w:p>
            <w:pPr>
              <w:pStyle w:val="TableParagraph"/>
              <w:spacing w:before="0"/>
              <w:rPr>
                <w:sz w:val="20"/>
              </w:rPr>
            </w:pPr>
          </w:p>
          <w:p>
            <w:pPr>
              <w:pStyle w:val="TableParagraph"/>
              <w:spacing w:before="0"/>
              <w:rPr>
                <w:sz w:val="20"/>
              </w:rPr>
            </w:pPr>
          </w:p>
          <w:p>
            <w:pPr>
              <w:pStyle w:val="TableParagraph"/>
              <w:spacing w:before="3"/>
              <w:rPr>
                <w:sz w:val="17"/>
              </w:rPr>
            </w:pPr>
          </w:p>
          <w:p>
            <w:pPr>
              <w:pStyle w:val="TableParagraph"/>
              <w:spacing w:before="0"/>
              <w:ind w:left="232" w:right="130" w:hanging="90"/>
              <w:rPr>
                <w:sz w:val="18"/>
              </w:rPr>
            </w:pPr>
            <w:r>
              <w:rPr>
                <w:sz w:val="18"/>
              </w:rPr>
              <w:t>Cumulative mortality</w:t>
            </w:r>
          </w:p>
        </w:tc>
        <w:tc>
          <w:tcPr>
            <w:tcW w:w="860" w:type="dxa"/>
            <w:tcBorders>
              <w:left w:val="single" w:sz="6" w:space="0" w:color="000000"/>
              <w:bottom w:val="single" w:sz="6" w:space="0" w:color="000000"/>
              <w:right w:val="single" w:sz="6" w:space="0" w:color="000000"/>
            </w:tcBorders>
          </w:tcPr>
          <w:p>
            <w:pPr>
              <w:pStyle w:val="TableParagraph"/>
              <w:ind w:left="181"/>
              <w:rPr>
                <w:i/>
                <w:sz w:val="20"/>
              </w:rPr>
            </w:pPr>
            <w:r>
              <w:rPr>
                <w:i/>
                <w:color w:val="FF0000"/>
                <w:sz w:val="20"/>
              </w:rPr>
              <w:t>Day 0</w:t>
            </w:r>
          </w:p>
        </w:tc>
        <w:tc>
          <w:tcPr>
            <w:tcW w:w="1621" w:type="dxa"/>
            <w:tcBorders>
              <w:left w:val="single" w:sz="6" w:space="0" w:color="000000"/>
              <w:bottom w:val="single" w:sz="6" w:space="0" w:color="000000"/>
              <w:right w:val="single" w:sz="6" w:space="0" w:color="000000"/>
            </w:tcBorders>
          </w:tcPr>
          <w:p>
            <w:pPr/>
          </w:p>
        </w:tc>
        <w:tc>
          <w:tcPr>
            <w:tcW w:w="1957" w:type="dxa"/>
            <w:tcBorders>
              <w:left w:val="single" w:sz="6" w:space="0" w:color="000000"/>
              <w:bottom w:val="single" w:sz="6" w:space="0" w:color="000000"/>
              <w:right w:val="single" w:sz="6" w:space="0" w:color="000000"/>
            </w:tcBorders>
          </w:tcPr>
          <w:p>
            <w:pPr/>
          </w:p>
        </w:tc>
        <w:tc>
          <w:tcPr>
            <w:tcW w:w="1754" w:type="dxa"/>
            <w:tcBorders>
              <w:left w:val="single" w:sz="6" w:space="0" w:color="000000"/>
              <w:bottom w:val="single" w:sz="6" w:space="0" w:color="000000"/>
            </w:tcBorders>
          </w:tcPr>
          <w:p>
            <w:pPr/>
          </w:p>
        </w:tc>
      </w:tr>
      <w:tr>
        <w:trPr>
          <w:trHeight w:val="424" w:hRule="exact"/>
        </w:trPr>
        <w:tc>
          <w:tcPr>
            <w:tcW w:w="1154" w:type="dxa"/>
            <w:vMerge/>
            <w:tcBorders>
              <w:right w:val="single" w:sz="6" w:space="0" w:color="000000"/>
            </w:tcBorders>
          </w:tcPr>
          <w:p>
            <w:pPr/>
          </w:p>
        </w:tc>
        <w:tc>
          <w:tcPr>
            <w:tcW w:w="860" w:type="dxa"/>
            <w:tcBorders>
              <w:top w:val="single" w:sz="6" w:space="0" w:color="000000"/>
              <w:left w:val="single" w:sz="6" w:space="0" w:color="000000"/>
              <w:bottom w:val="single" w:sz="6" w:space="0" w:color="000000"/>
              <w:right w:val="single" w:sz="6" w:space="0" w:color="000000"/>
            </w:tcBorders>
          </w:tcPr>
          <w:p>
            <w:pPr>
              <w:pStyle w:val="TableParagraph"/>
              <w:ind w:left="136"/>
              <w:rPr>
                <w:i/>
                <w:sz w:val="20"/>
              </w:rPr>
            </w:pPr>
            <w:r>
              <w:rPr>
                <w:i/>
                <w:color w:val="FF0000"/>
                <w:sz w:val="20"/>
              </w:rPr>
              <w:t>Day x1</w:t>
            </w:r>
          </w:p>
        </w:tc>
        <w:tc>
          <w:tcPr>
            <w:tcW w:w="1621" w:type="dxa"/>
            <w:tcBorders>
              <w:top w:val="single" w:sz="6" w:space="0" w:color="000000"/>
              <w:left w:val="single" w:sz="6" w:space="0" w:color="000000"/>
              <w:bottom w:val="single" w:sz="6" w:space="0" w:color="000000"/>
              <w:right w:val="single" w:sz="6" w:space="0" w:color="000000"/>
            </w:tcBorders>
          </w:tcPr>
          <w:p>
            <w:pPr/>
          </w:p>
        </w:tc>
        <w:tc>
          <w:tcPr>
            <w:tcW w:w="1957" w:type="dxa"/>
            <w:tcBorders>
              <w:top w:val="single" w:sz="6" w:space="0" w:color="000000"/>
              <w:left w:val="single" w:sz="6" w:space="0" w:color="000000"/>
              <w:bottom w:val="single" w:sz="6" w:space="0" w:color="000000"/>
              <w:right w:val="single" w:sz="6" w:space="0" w:color="000000"/>
            </w:tcBorders>
          </w:tcPr>
          <w:p>
            <w:pPr/>
          </w:p>
        </w:tc>
        <w:tc>
          <w:tcPr>
            <w:tcW w:w="1754" w:type="dxa"/>
            <w:tcBorders>
              <w:top w:val="single" w:sz="6" w:space="0" w:color="000000"/>
              <w:left w:val="single" w:sz="6" w:space="0" w:color="000000"/>
              <w:bottom w:val="single" w:sz="6" w:space="0" w:color="000000"/>
            </w:tcBorders>
          </w:tcPr>
          <w:p>
            <w:pPr/>
          </w:p>
        </w:tc>
      </w:tr>
      <w:tr>
        <w:trPr>
          <w:trHeight w:val="422" w:hRule="exact"/>
        </w:trPr>
        <w:tc>
          <w:tcPr>
            <w:tcW w:w="1154" w:type="dxa"/>
            <w:vMerge/>
            <w:tcBorders>
              <w:right w:val="single" w:sz="6" w:space="0" w:color="000000"/>
            </w:tcBorders>
          </w:tcPr>
          <w:p>
            <w:pPr/>
          </w:p>
        </w:tc>
        <w:tc>
          <w:tcPr>
            <w:tcW w:w="860" w:type="dxa"/>
            <w:tcBorders>
              <w:top w:val="single" w:sz="6" w:space="0" w:color="000000"/>
              <w:left w:val="single" w:sz="6" w:space="0" w:color="000000"/>
              <w:bottom w:val="single" w:sz="6" w:space="0" w:color="000000"/>
              <w:right w:val="single" w:sz="6" w:space="0" w:color="000000"/>
            </w:tcBorders>
          </w:tcPr>
          <w:p>
            <w:pPr>
              <w:pStyle w:val="TableParagraph"/>
              <w:spacing w:before="117"/>
              <w:ind w:left="136"/>
              <w:rPr>
                <w:i/>
                <w:sz w:val="20"/>
              </w:rPr>
            </w:pPr>
            <w:r>
              <w:rPr>
                <w:i/>
                <w:color w:val="FF0000"/>
                <w:sz w:val="20"/>
              </w:rPr>
              <w:t>Day x2</w:t>
            </w:r>
          </w:p>
        </w:tc>
        <w:tc>
          <w:tcPr>
            <w:tcW w:w="1621" w:type="dxa"/>
            <w:tcBorders>
              <w:top w:val="single" w:sz="6" w:space="0" w:color="000000"/>
              <w:left w:val="single" w:sz="6" w:space="0" w:color="000000"/>
              <w:bottom w:val="single" w:sz="6" w:space="0" w:color="000000"/>
              <w:right w:val="single" w:sz="6" w:space="0" w:color="000000"/>
            </w:tcBorders>
          </w:tcPr>
          <w:p>
            <w:pPr/>
          </w:p>
        </w:tc>
        <w:tc>
          <w:tcPr>
            <w:tcW w:w="1957" w:type="dxa"/>
            <w:tcBorders>
              <w:top w:val="single" w:sz="6" w:space="0" w:color="000000"/>
              <w:left w:val="single" w:sz="6" w:space="0" w:color="000000"/>
              <w:bottom w:val="single" w:sz="6" w:space="0" w:color="000000"/>
              <w:right w:val="single" w:sz="6" w:space="0" w:color="000000"/>
            </w:tcBorders>
          </w:tcPr>
          <w:p>
            <w:pPr/>
          </w:p>
        </w:tc>
        <w:tc>
          <w:tcPr>
            <w:tcW w:w="1754" w:type="dxa"/>
            <w:tcBorders>
              <w:top w:val="single" w:sz="6" w:space="0" w:color="000000"/>
              <w:left w:val="single" w:sz="6" w:space="0" w:color="000000"/>
              <w:bottom w:val="single" w:sz="6" w:space="0" w:color="000000"/>
            </w:tcBorders>
          </w:tcPr>
          <w:p>
            <w:pPr/>
          </w:p>
        </w:tc>
      </w:tr>
      <w:tr>
        <w:trPr>
          <w:trHeight w:val="431" w:hRule="exact"/>
        </w:trPr>
        <w:tc>
          <w:tcPr>
            <w:tcW w:w="1154" w:type="dxa"/>
            <w:vMerge/>
            <w:tcBorders>
              <w:right w:val="single" w:sz="6" w:space="0" w:color="000000"/>
            </w:tcBorders>
          </w:tcPr>
          <w:p>
            <w:pPr/>
          </w:p>
        </w:tc>
        <w:tc>
          <w:tcPr>
            <w:tcW w:w="860" w:type="dxa"/>
            <w:tcBorders>
              <w:top w:val="single" w:sz="6" w:space="0" w:color="000000"/>
              <w:left w:val="single" w:sz="6" w:space="0" w:color="000000"/>
              <w:right w:val="single" w:sz="6" w:space="0" w:color="000000"/>
            </w:tcBorders>
          </w:tcPr>
          <w:p>
            <w:pPr>
              <w:pStyle w:val="TableParagraph"/>
              <w:ind w:left="181"/>
              <w:rPr>
                <w:i/>
                <w:sz w:val="20"/>
              </w:rPr>
            </w:pPr>
            <w:r>
              <w:rPr>
                <w:i/>
                <w:color w:val="FF0000"/>
                <w:sz w:val="20"/>
              </w:rPr>
              <w:t>Day n</w:t>
            </w:r>
          </w:p>
        </w:tc>
        <w:tc>
          <w:tcPr>
            <w:tcW w:w="1621" w:type="dxa"/>
            <w:tcBorders>
              <w:top w:val="single" w:sz="6" w:space="0" w:color="000000"/>
              <w:left w:val="single" w:sz="6" w:space="0" w:color="000000"/>
              <w:right w:val="single" w:sz="6" w:space="0" w:color="000000"/>
            </w:tcBorders>
          </w:tcPr>
          <w:p>
            <w:pPr/>
          </w:p>
        </w:tc>
        <w:tc>
          <w:tcPr>
            <w:tcW w:w="1957" w:type="dxa"/>
            <w:tcBorders>
              <w:top w:val="single" w:sz="6" w:space="0" w:color="000000"/>
              <w:left w:val="single" w:sz="6" w:space="0" w:color="000000"/>
              <w:right w:val="single" w:sz="6" w:space="0" w:color="000000"/>
            </w:tcBorders>
          </w:tcPr>
          <w:p>
            <w:pPr/>
          </w:p>
        </w:tc>
        <w:tc>
          <w:tcPr>
            <w:tcW w:w="1754" w:type="dxa"/>
            <w:tcBorders>
              <w:top w:val="single" w:sz="6" w:space="0" w:color="000000"/>
              <w:left w:val="single" w:sz="6" w:space="0" w:color="000000"/>
            </w:tcBorders>
          </w:tcPr>
          <w:p>
            <w:pPr/>
          </w:p>
        </w:tc>
      </w:tr>
      <w:tr>
        <w:trPr>
          <w:trHeight w:val="653" w:hRule="exact"/>
        </w:trPr>
        <w:tc>
          <w:tcPr>
            <w:tcW w:w="2015" w:type="dxa"/>
            <w:gridSpan w:val="2"/>
            <w:tcBorders>
              <w:right w:val="single" w:sz="6" w:space="0" w:color="000000"/>
            </w:tcBorders>
          </w:tcPr>
          <w:p>
            <w:pPr>
              <w:pStyle w:val="TableParagraph"/>
              <w:spacing w:line="233" w:lineRule="exact" w:before="102"/>
              <w:ind w:left="380"/>
              <w:rPr>
                <w:sz w:val="13"/>
              </w:rPr>
            </w:pPr>
            <w:r>
              <w:rPr>
                <w:i/>
                <w:color w:val="FF0000"/>
                <w:sz w:val="20"/>
              </w:rPr>
              <w:t>LD</w:t>
            </w:r>
            <w:r>
              <w:rPr>
                <w:i/>
                <w:color w:val="FF0000"/>
                <w:position w:val="-1"/>
                <w:sz w:val="13"/>
              </w:rPr>
              <w:t>50</w:t>
            </w:r>
            <w:r>
              <w:rPr>
                <w:i/>
                <w:color w:val="FF0000"/>
                <w:sz w:val="20"/>
              </w:rPr>
              <w:t>/LC</w:t>
            </w:r>
            <w:r>
              <w:rPr>
                <w:i/>
                <w:color w:val="FF0000"/>
                <w:position w:val="-1"/>
                <w:sz w:val="13"/>
              </w:rPr>
              <w:t>50</w:t>
            </w:r>
            <w:r>
              <w:rPr>
                <w:i/>
                <w:color w:val="FF0000"/>
                <w:sz w:val="20"/>
              </w:rPr>
              <w:t>/LT</w:t>
            </w:r>
            <w:r>
              <w:rPr>
                <w:color w:val="FF0000"/>
                <w:position w:val="-1"/>
                <w:sz w:val="13"/>
              </w:rPr>
              <w:t>50</w:t>
            </w:r>
          </w:p>
          <w:p>
            <w:pPr>
              <w:pStyle w:val="TableParagraph"/>
              <w:spacing w:line="228" w:lineRule="exact" w:before="0"/>
              <w:ind w:left="422"/>
              <w:rPr>
                <w:i/>
                <w:sz w:val="20"/>
              </w:rPr>
            </w:pPr>
            <w:r>
              <w:rPr>
                <w:i/>
                <w:color w:val="FF0000"/>
                <w:sz w:val="20"/>
              </w:rPr>
              <w:t>(if applicable)</w:t>
            </w:r>
          </w:p>
        </w:tc>
        <w:tc>
          <w:tcPr>
            <w:tcW w:w="5333" w:type="dxa"/>
            <w:gridSpan w:val="3"/>
            <w:tcBorders>
              <w:left w:val="single" w:sz="6" w:space="0" w:color="000000"/>
            </w:tcBorders>
          </w:tcPr>
          <w:p>
            <w:pPr>
              <w:pStyle w:val="TableParagraph"/>
              <w:spacing w:before="9"/>
              <w:rPr>
                <w:sz w:val="19"/>
              </w:rPr>
            </w:pPr>
          </w:p>
          <w:p>
            <w:pPr>
              <w:pStyle w:val="TableParagraph"/>
              <w:spacing w:before="0"/>
              <w:ind w:left="1696"/>
              <w:rPr>
                <w:i/>
                <w:sz w:val="18"/>
              </w:rPr>
            </w:pPr>
            <w:r>
              <w:rPr>
                <w:i/>
                <w:color w:val="FF0000"/>
                <w:sz w:val="18"/>
              </w:rPr>
              <w:t>[insert [</w:t>
            </w:r>
            <w:r>
              <w:rPr>
                <w:b/>
                <w:color w:val="FF0000"/>
                <w:sz w:val="18"/>
              </w:rPr>
              <w:t>&gt;</w:t>
            </w:r>
            <w:r>
              <w:rPr>
                <w:i/>
                <w:color w:val="FF0000"/>
                <w:sz w:val="18"/>
              </w:rPr>
              <w:t>] if greater than]</w:t>
            </w:r>
          </w:p>
        </w:tc>
      </w:tr>
      <w:tr>
        <w:trPr>
          <w:trHeight w:val="424" w:hRule="exact"/>
        </w:trPr>
        <w:tc>
          <w:tcPr>
            <w:tcW w:w="2015" w:type="dxa"/>
            <w:gridSpan w:val="2"/>
            <w:tcBorders>
              <w:right w:val="single" w:sz="6" w:space="0" w:color="000000"/>
            </w:tcBorders>
          </w:tcPr>
          <w:p>
            <w:pPr>
              <w:pStyle w:val="TableParagraph"/>
              <w:spacing w:before="102"/>
              <w:ind w:left="441"/>
              <w:rPr>
                <w:i/>
                <w:sz w:val="20"/>
              </w:rPr>
            </w:pPr>
            <w:r>
              <w:rPr>
                <w:i/>
                <w:color w:val="FF0000"/>
                <w:sz w:val="20"/>
              </w:rPr>
              <w:t>NOEL/NOEC</w:t>
            </w:r>
          </w:p>
        </w:tc>
        <w:tc>
          <w:tcPr>
            <w:tcW w:w="5333" w:type="dxa"/>
            <w:gridSpan w:val="3"/>
            <w:tcBorders>
              <w:left w:val="single" w:sz="6" w:space="0" w:color="000000"/>
            </w:tcBorders>
          </w:tcPr>
          <w:p>
            <w:pPr>
              <w:pStyle w:val="TableParagraph"/>
              <w:spacing w:before="112"/>
              <w:ind w:left="1696"/>
              <w:rPr>
                <w:i/>
                <w:sz w:val="18"/>
              </w:rPr>
            </w:pPr>
            <w:r>
              <w:rPr>
                <w:i/>
                <w:color w:val="FF0000"/>
                <w:sz w:val="18"/>
              </w:rPr>
              <w:t>[insert [</w:t>
            </w:r>
            <w:r>
              <w:rPr>
                <w:b/>
                <w:color w:val="FF0000"/>
                <w:sz w:val="18"/>
              </w:rPr>
              <w:t>&gt;</w:t>
            </w:r>
            <w:r>
              <w:rPr>
                <w:i/>
                <w:color w:val="FF0000"/>
                <w:sz w:val="18"/>
              </w:rPr>
              <w:t>] if greater than]</w:t>
            </w:r>
          </w:p>
        </w:tc>
      </w:tr>
    </w:tbl>
    <w:p>
      <w:pPr>
        <w:pStyle w:val="Heading6"/>
        <w:ind w:right="773"/>
      </w:pPr>
      <w:r>
        <w:rPr>
          <w:i/>
          <w:color w:val="FF0000"/>
        </w:rPr>
        <w:t>[Table suitable for maximum hazard dose testing. Modify as appropriate to accommodate differences in experimental </w:t>
      </w:r>
      <w:r>
        <w:rPr>
          <w:color w:val="FF0000"/>
        </w:rPr>
        <w:t>design.]</w:t>
      </w:r>
    </w:p>
    <w:p>
      <w:pPr>
        <w:pStyle w:val="BodyText"/>
        <w:spacing w:before="4"/>
        <w:rPr>
          <w:i/>
          <w:sz w:val="22"/>
        </w:rPr>
      </w:pPr>
    </w:p>
    <w:p>
      <w:pPr>
        <w:tabs>
          <w:tab w:pos="1580" w:val="left" w:leader="none"/>
        </w:tabs>
        <w:spacing w:before="0" w:after="2"/>
        <w:ind w:left="139" w:right="168" w:firstLine="0"/>
        <w:jc w:val="left"/>
        <w:rPr>
          <w:sz w:val="22"/>
        </w:rPr>
      </w:pPr>
      <w:r>
        <w:rPr>
          <w:b/>
          <w:sz w:val="22"/>
        </w:rPr>
        <w:t>TABLE</w:t>
      </w:r>
      <w:r>
        <w:rPr>
          <w:b/>
          <w:spacing w:val="-1"/>
          <w:sz w:val="22"/>
        </w:rPr>
        <w:t> </w:t>
      </w:r>
      <w:r>
        <w:rPr>
          <w:b/>
          <w:i/>
          <w:color w:val="FF0000"/>
          <w:sz w:val="22"/>
        </w:rPr>
        <w:t>[#]</w:t>
      </w:r>
      <w:r>
        <w:rPr>
          <w:b/>
          <w:sz w:val="22"/>
        </w:rPr>
        <w:t>.</w:t>
        <w:tab/>
      </w:r>
      <w:r>
        <w:rPr>
          <w:sz w:val="22"/>
        </w:rPr>
        <w:t>Effect</w:t>
      </w:r>
      <w:r>
        <w:rPr>
          <w:spacing w:val="-4"/>
          <w:sz w:val="22"/>
        </w:rPr>
        <w:t> </w:t>
      </w:r>
      <w:r>
        <w:rPr>
          <w:sz w:val="22"/>
        </w:rPr>
        <w:t>of</w:t>
      </w:r>
      <w:r>
        <w:rPr>
          <w:spacing w:val="-4"/>
          <w:sz w:val="22"/>
        </w:rPr>
        <w:t> </w:t>
      </w:r>
      <w:r>
        <w:rPr>
          <w:i/>
          <w:color w:val="FF0000"/>
          <w:sz w:val="22"/>
        </w:rPr>
        <w:t>[test</w:t>
      </w:r>
      <w:r>
        <w:rPr>
          <w:i/>
          <w:color w:val="FF0000"/>
          <w:spacing w:val="-3"/>
          <w:sz w:val="22"/>
        </w:rPr>
        <w:t> </w:t>
      </w:r>
      <w:r>
        <w:rPr>
          <w:i/>
          <w:color w:val="FF0000"/>
          <w:sz w:val="22"/>
        </w:rPr>
        <w:t>material]</w:t>
      </w:r>
      <w:r>
        <w:rPr>
          <w:i/>
          <w:color w:val="FF0000"/>
          <w:spacing w:val="-1"/>
          <w:sz w:val="22"/>
        </w:rPr>
        <w:t> </w:t>
      </w:r>
      <w:r>
        <w:rPr>
          <w:sz w:val="22"/>
        </w:rPr>
        <w:t>on</w:t>
      </w:r>
      <w:r>
        <w:rPr>
          <w:spacing w:val="-6"/>
          <w:sz w:val="22"/>
        </w:rPr>
        <w:t> </w:t>
      </w:r>
      <w:r>
        <w:rPr>
          <w:sz w:val="22"/>
        </w:rPr>
        <w:t>cumulative</w:t>
      </w:r>
      <w:r>
        <w:rPr>
          <w:spacing w:val="-3"/>
          <w:sz w:val="22"/>
        </w:rPr>
        <w:t> </w:t>
      </w:r>
      <w:r>
        <w:rPr>
          <w:sz w:val="22"/>
        </w:rPr>
        <w:t>mortality</w:t>
      </w:r>
      <w:r>
        <w:rPr>
          <w:spacing w:val="-3"/>
          <w:sz w:val="22"/>
        </w:rPr>
        <w:t> </w:t>
      </w:r>
      <w:r>
        <w:rPr>
          <w:sz w:val="22"/>
        </w:rPr>
        <w:t>of</w:t>
      </w:r>
      <w:r>
        <w:rPr>
          <w:spacing w:val="-5"/>
          <w:sz w:val="22"/>
        </w:rPr>
        <w:t> </w:t>
      </w:r>
      <w:r>
        <w:rPr>
          <w:i/>
          <w:color w:val="FF0000"/>
          <w:sz w:val="22"/>
        </w:rPr>
        <w:t>[common</w:t>
      </w:r>
      <w:r>
        <w:rPr>
          <w:i/>
          <w:color w:val="FF0000"/>
          <w:spacing w:val="-4"/>
          <w:sz w:val="22"/>
        </w:rPr>
        <w:t> </w:t>
      </w:r>
      <w:r>
        <w:rPr>
          <w:i/>
          <w:color w:val="FF0000"/>
          <w:sz w:val="22"/>
        </w:rPr>
        <w:t>name</w:t>
      </w:r>
      <w:r>
        <w:rPr>
          <w:i/>
          <w:color w:val="FF0000"/>
          <w:spacing w:val="-5"/>
          <w:sz w:val="22"/>
        </w:rPr>
        <w:t> </w:t>
      </w:r>
      <w:r>
        <w:rPr>
          <w:i/>
          <w:color w:val="FF0000"/>
          <w:sz w:val="22"/>
        </w:rPr>
        <w:t>(scientific</w:t>
      </w:r>
      <w:r>
        <w:rPr>
          <w:i/>
          <w:color w:val="FF0000"/>
          <w:spacing w:val="-5"/>
          <w:sz w:val="22"/>
        </w:rPr>
        <w:t> </w:t>
      </w:r>
      <w:r>
        <w:rPr>
          <w:i/>
          <w:color w:val="FF0000"/>
          <w:sz w:val="22"/>
        </w:rPr>
        <w:t>name)]</w:t>
      </w:r>
      <w:r>
        <w:rPr>
          <w:i/>
          <w:color w:val="FF0000"/>
          <w:spacing w:val="-1"/>
          <w:sz w:val="22"/>
        </w:rPr>
        <w:t> </w:t>
      </w:r>
      <w:r>
        <w:rPr>
          <w:sz w:val="22"/>
        </w:rPr>
        <w:t>in</w:t>
      </w:r>
      <w:r>
        <w:rPr>
          <w:spacing w:val="-4"/>
          <w:sz w:val="22"/>
        </w:rPr>
        <w:t> </w:t>
      </w:r>
      <w:r>
        <w:rPr>
          <w:i/>
          <w:color w:val="FF0000"/>
          <w:sz w:val="22"/>
        </w:rPr>
        <w:t>[contact,</w:t>
      </w:r>
      <w:r>
        <w:rPr>
          <w:i/>
          <w:color w:val="FF0000"/>
          <w:w w:val="99"/>
          <w:sz w:val="22"/>
        </w:rPr>
        <w:t> </w:t>
      </w:r>
      <w:r>
        <w:rPr>
          <w:i/>
          <w:color w:val="FF0000"/>
          <w:sz w:val="22"/>
        </w:rPr>
        <w:t>acute oral or dietary]</w:t>
      </w:r>
      <w:r>
        <w:rPr>
          <w:i/>
          <w:color w:val="FF0000"/>
          <w:spacing w:val="-13"/>
          <w:sz w:val="22"/>
        </w:rPr>
        <w:t> </w:t>
      </w:r>
      <w:r>
        <w:rPr>
          <w:sz w:val="22"/>
        </w:rPr>
        <w:t>test.</w:t>
      </w:r>
    </w:p>
    <w:tbl>
      <w:tblPr>
        <w:tblW w:w="0" w:type="auto"/>
        <w:jc w:val="left"/>
        <w:tblInd w:w="48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1080"/>
        <w:gridCol w:w="1260"/>
        <w:gridCol w:w="973"/>
        <w:gridCol w:w="974"/>
        <w:gridCol w:w="974"/>
        <w:gridCol w:w="973"/>
        <w:gridCol w:w="974"/>
        <w:gridCol w:w="974"/>
      </w:tblGrid>
      <w:tr>
        <w:trPr>
          <w:trHeight w:val="438" w:hRule="exact"/>
        </w:trPr>
        <w:tc>
          <w:tcPr>
            <w:tcW w:w="2250" w:type="dxa"/>
            <w:gridSpan w:val="2"/>
            <w:vMerge w:val="restart"/>
            <w:tcBorders>
              <w:right w:val="single" w:sz="6" w:space="0" w:color="000000"/>
            </w:tcBorders>
          </w:tcPr>
          <w:p>
            <w:pPr>
              <w:pStyle w:val="TableParagraph"/>
              <w:spacing w:before="120"/>
              <w:ind w:left="614"/>
              <w:rPr>
                <w:b/>
                <w:sz w:val="20"/>
              </w:rPr>
            </w:pPr>
            <w:r>
              <w:rPr>
                <w:b/>
                <w:sz w:val="20"/>
              </w:rPr>
              <w:t>Treatments</w:t>
            </w:r>
          </w:p>
        </w:tc>
        <w:tc>
          <w:tcPr>
            <w:tcW w:w="1260" w:type="dxa"/>
            <w:vMerge w:val="restart"/>
            <w:tcBorders>
              <w:left w:val="single" w:sz="6" w:space="0" w:color="000000"/>
              <w:right w:val="single" w:sz="6" w:space="0" w:color="000000"/>
            </w:tcBorders>
          </w:tcPr>
          <w:p>
            <w:pPr>
              <w:pStyle w:val="TableParagraph"/>
              <w:spacing w:before="120"/>
              <w:ind w:left="154" w:right="138" w:firstLine="2"/>
              <w:rPr>
                <w:b/>
                <w:sz w:val="20"/>
              </w:rPr>
            </w:pPr>
            <w:r>
              <w:rPr>
                <w:b/>
                <w:sz w:val="20"/>
              </w:rPr>
              <w:t>No. of Test Organisms</w:t>
            </w:r>
          </w:p>
        </w:tc>
        <w:tc>
          <w:tcPr>
            <w:tcW w:w="5844" w:type="dxa"/>
            <w:gridSpan w:val="6"/>
            <w:tcBorders>
              <w:left w:val="single" w:sz="6" w:space="0" w:color="000000"/>
            </w:tcBorders>
          </w:tcPr>
          <w:p>
            <w:pPr>
              <w:pStyle w:val="TableParagraph"/>
              <w:spacing w:before="120"/>
              <w:ind w:left="1957" w:right="1952"/>
              <w:jc w:val="center"/>
              <w:rPr>
                <w:b/>
                <w:sz w:val="20"/>
              </w:rPr>
            </w:pPr>
            <w:r>
              <w:rPr>
                <w:b/>
                <w:sz w:val="20"/>
              </w:rPr>
              <w:t>Cumulative Mortality</w:t>
            </w:r>
          </w:p>
        </w:tc>
      </w:tr>
      <w:tr>
        <w:trPr>
          <w:trHeight w:val="438" w:hRule="exact"/>
        </w:trPr>
        <w:tc>
          <w:tcPr>
            <w:tcW w:w="2250" w:type="dxa"/>
            <w:gridSpan w:val="2"/>
            <w:vMerge/>
            <w:tcBorders>
              <w:right w:val="single" w:sz="6" w:space="0" w:color="000000"/>
            </w:tcBorders>
          </w:tcPr>
          <w:p>
            <w:pPr/>
          </w:p>
        </w:tc>
        <w:tc>
          <w:tcPr>
            <w:tcW w:w="1260" w:type="dxa"/>
            <w:vMerge/>
            <w:tcBorders>
              <w:left w:val="single" w:sz="6" w:space="0" w:color="000000"/>
              <w:right w:val="single" w:sz="6" w:space="0" w:color="000000"/>
            </w:tcBorders>
          </w:tcPr>
          <w:p>
            <w:pPr/>
          </w:p>
        </w:tc>
        <w:tc>
          <w:tcPr>
            <w:tcW w:w="973" w:type="dxa"/>
            <w:tcBorders>
              <w:left w:val="single" w:sz="6" w:space="0" w:color="000000"/>
              <w:right w:val="single" w:sz="6" w:space="0" w:color="000000"/>
            </w:tcBorders>
          </w:tcPr>
          <w:p>
            <w:pPr>
              <w:pStyle w:val="TableParagraph"/>
              <w:spacing w:before="120"/>
              <w:ind w:left="187"/>
              <w:rPr>
                <w:b/>
                <w:i/>
                <w:sz w:val="20"/>
              </w:rPr>
            </w:pPr>
            <w:r>
              <w:rPr>
                <w:b/>
                <w:i/>
                <w:color w:val="FF0000"/>
                <w:sz w:val="20"/>
              </w:rPr>
              <w:t>Day x1</w:t>
            </w:r>
          </w:p>
        </w:tc>
        <w:tc>
          <w:tcPr>
            <w:tcW w:w="974"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x2</w:t>
            </w:r>
          </w:p>
        </w:tc>
        <w:tc>
          <w:tcPr>
            <w:tcW w:w="974"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x3</w:t>
            </w:r>
          </w:p>
        </w:tc>
        <w:tc>
          <w:tcPr>
            <w:tcW w:w="973"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x4</w:t>
            </w:r>
          </w:p>
        </w:tc>
        <w:tc>
          <w:tcPr>
            <w:tcW w:w="974" w:type="dxa"/>
            <w:tcBorders>
              <w:left w:val="single" w:sz="6" w:space="0" w:color="000000"/>
              <w:right w:val="single" w:sz="6" w:space="0" w:color="000000"/>
            </w:tcBorders>
          </w:tcPr>
          <w:p>
            <w:pPr>
              <w:pStyle w:val="TableParagraph"/>
              <w:spacing w:before="120"/>
              <w:ind w:left="188"/>
              <w:rPr>
                <w:b/>
                <w:i/>
                <w:sz w:val="20"/>
              </w:rPr>
            </w:pPr>
            <w:r>
              <w:rPr>
                <w:b/>
                <w:i/>
                <w:color w:val="FF0000"/>
                <w:sz w:val="20"/>
              </w:rPr>
              <w:t>Day x5</w:t>
            </w:r>
          </w:p>
        </w:tc>
        <w:tc>
          <w:tcPr>
            <w:tcW w:w="974" w:type="dxa"/>
            <w:tcBorders>
              <w:left w:val="single" w:sz="6" w:space="0" w:color="000000"/>
            </w:tcBorders>
          </w:tcPr>
          <w:p>
            <w:pPr>
              <w:pStyle w:val="TableParagraph"/>
              <w:spacing w:before="120"/>
              <w:ind w:left="232"/>
              <w:rPr>
                <w:b/>
                <w:i/>
                <w:sz w:val="20"/>
              </w:rPr>
            </w:pPr>
            <w:r>
              <w:rPr>
                <w:b/>
                <w:i/>
                <w:color w:val="FF0000"/>
                <w:sz w:val="20"/>
              </w:rPr>
              <w:t>Day n</w:t>
            </w:r>
          </w:p>
        </w:tc>
      </w:tr>
      <w:tr>
        <w:trPr>
          <w:trHeight w:val="431" w:hRule="exact"/>
        </w:trPr>
        <w:tc>
          <w:tcPr>
            <w:tcW w:w="2250" w:type="dxa"/>
            <w:gridSpan w:val="2"/>
            <w:tcBorders>
              <w:bottom w:val="single" w:sz="6" w:space="0" w:color="000000"/>
              <w:right w:val="single" w:sz="6" w:space="0" w:color="000000"/>
            </w:tcBorders>
          </w:tcPr>
          <w:p>
            <w:pPr>
              <w:pStyle w:val="TableParagraph"/>
              <w:ind w:left="104"/>
              <w:rPr>
                <w:sz w:val="20"/>
              </w:rPr>
            </w:pPr>
            <w:r>
              <w:rPr>
                <w:sz w:val="20"/>
              </w:rPr>
              <w:t>Negative control</w:t>
            </w:r>
          </w:p>
        </w:tc>
        <w:tc>
          <w:tcPr>
            <w:tcW w:w="1260" w:type="dxa"/>
            <w:tcBorders>
              <w:left w:val="single" w:sz="6" w:space="0" w:color="000000"/>
              <w:bottom w:val="single" w:sz="6" w:space="0" w:color="000000"/>
              <w:right w:val="single" w:sz="6" w:space="0" w:color="000000"/>
            </w:tcBorders>
          </w:tcPr>
          <w:p>
            <w:pPr/>
          </w:p>
        </w:tc>
        <w:tc>
          <w:tcPr>
            <w:tcW w:w="973" w:type="dxa"/>
            <w:tcBorders>
              <w:left w:val="single" w:sz="6" w:space="0" w:color="000000"/>
              <w:bottom w:val="single" w:sz="6" w:space="0" w:color="000000"/>
              <w:right w:val="single" w:sz="6" w:space="0" w:color="000000"/>
            </w:tcBorders>
          </w:tcPr>
          <w:p>
            <w:pPr/>
          </w:p>
        </w:tc>
        <w:tc>
          <w:tcPr>
            <w:tcW w:w="974" w:type="dxa"/>
            <w:tcBorders>
              <w:left w:val="single" w:sz="6" w:space="0" w:color="000000"/>
              <w:bottom w:val="single" w:sz="6" w:space="0" w:color="000000"/>
              <w:right w:val="single" w:sz="6" w:space="0" w:color="000000"/>
            </w:tcBorders>
          </w:tcPr>
          <w:p>
            <w:pPr/>
          </w:p>
        </w:tc>
        <w:tc>
          <w:tcPr>
            <w:tcW w:w="974" w:type="dxa"/>
            <w:tcBorders>
              <w:left w:val="single" w:sz="6" w:space="0" w:color="000000"/>
              <w:bottom w:val="single" w:sz="6" w:space="0" w:color="000000"/>
              <w:right w:val="single" w:sz="6" w:space="0" w:color="000000"/>
            </w:tcBorders>
          </w:tcPr>
          <w:p>
            <w:pPr/>
          </w:p>
        </w:tc>
        <w:tc>
          <w:tcPr>
            <w:tcW w:w="973" w:type="dxa"/>
            <w:tcBorders>
              <w:left w:val="single" w:sz="6" w:space="0" w:color="000000"/>
              <w:bottom w:val="single" w:sz="6" w:space="0" w:color="000000"/>
              <w:right w:val="single" w:sz="6" w:space="0" w:color="000000"/>
            </w:tcBorders>
          </w:tcPr>
          <w:p>
            <w:pPr/>
          </w:p>
        </w:tc>
        <w:tc>
          <w:tcPr>
            <w:tcW w:w="974" w:type="dxa"/>
            <w:tcBorders>
              <w:left w:val="single" w:sz="6" w:space="0" w:color="000000"/>
              <w:bottom w:val="single" w:sz="6" w:space="0" w:color="000000"/>
              <w:right w:val="single" w:sz="6" w:space="0" w:color="000000"/>
            </w:tcBorders>
          </w:tcPr>
          <w:p>
            <w:pPr/>
          </w:p>
        </w:tc>
        <w:tc>
          <w:tcPr>
            <w:tcW w:w="974" w:type="dxa"/>
            <w:tcBorders>
              <w:left w:val="single" w:sz="6" w:space="0" w:color="000000"/>
              <w:bottom w:val="single" w:sz="6" w:space="0" w:color="000000"/>
            </w:tcBorders>
          </w:tcPr>
          <w:p>
            <w:pPr/>
          </w:p>
        </w:tc>
      </w:tr>
      <w:tr>
        <w:trPr>
          <w:trHeight w:val="424" w:hRule="exact"/>
        </w:trPr>
        <w:tc>
          <w:tcPr>
            <w:tcW w:w="2250" w:type="dxa"/>
            <w:gridSpan w:val="2"/>
            <w:tcBorders>
              <w:top w:val="single" w:sz="6" w:space="0" w:color="000000"/>
              <w:bottom w:val="single" w:sz="6" w:space="0" w:color="000000"/>
              <w:right w:val="single" w:sz="6" w:space="0" w:color="000000"/>
            </w:tcBorders>
          </w:tcPr>
          <w:p>
            <w:pPr>
              <w:pStyle w:val="TableParagraph"/>
              <w:ind w:left="104"/>
              <w:rPr>
                <w:i/>
                <w:sz w:val="20"/>
              </w:rPr>
            </w:pPr>
            <w:r>
              <w:rPr>
                <w:i/>
                <w:color w:val="FF0000"/>
                <w:sz w:val="20"/>
              </w:rPr>
              <w:t>Solvent control, if used</w:t>
            </w:r>
          </w:p>
        </w:tc>
        <w:tc>
          <w:tcPr>
            <w:tcW w:w="1260"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tcBorders>
          </w:tcPr>
          <w:p>
            <w:pPr/>
          </w:p>
        </w:tc>
      </w:tr>
      <w:tr>
        <w:trPr>
          <w:trHeight w:val="653" w:hRule="exact"/>
        </w:trPr>
        <w:tc>
          <w:tcPr>
            <w:tcW w:w="2250" w:type="dxa"/>
            <w:gridSpan w:val="2"/>
            <w:tcBorders>
              <w:top w:val="single" w:sz="6" w:space="0" w:color="000000"/>
              <w:bottom w:val="single" w:sz="6" w:space="0" w:color="000000"/>
              <w:right w:val="single" w:sz="6" w:space="0" w:color="000000"/>
            </w:tcBorders>
          </w:tcPr>
          <w:p>
            <w:pPr>
              <w:pStyle w:val="TableParagraph"/>
              <w:spacing w:before="117"/>
              <w:ind w:left="104" w:right="843"/>
              <w:rPr>
                <w:i/>
                <w:sz w:val="20"/>
              </w:rPr>
            </w:pPr>
            <w:r>
              <w:rPr>
                <w:i/>
                <w:color w:val="FF0000"/>
                <w:sz w:val="20"/>
              </w:rPr>
              <w:t>Measured test </w:t>
            </w:r>
            <w:r>
              <w:rPr>
                <w:i/>
                <w:color w:val="FF0000"/>
                <w:sz w:val="20"/>
              </w:rPr>
              <w:t>concentration 1</w:t>
            </w:r>
          </w:p>
        </w:tc>
        <w:tc>
          <w:tcPr>
            <w:tcW w:w="1260"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tcBorders>
          </w:tcPr>
          <w:p>
            <w:pPr/>
          </w:p>
        </w:tc>
      </w:tr>
      <w:tr>
        <w:trPr>
          <w:trHeight w:val="653" w:hRule="exact"/>
        </w:trPr>
        <w:tc>
          <w:tcPr>
            <w:tcW w:w="2250" w:type="dxa"/>
            <w:gridSpan w:val="2"/>
            <w:tcBorders>
              <w:top w:val="single" w:sz="6" w:space="0" w:color="000000"/>
              <w:bottom w:val="single" w:sz="6" w:space="0" w:color="000000"/>
              <w:right w:val="single" w:sz="6" w:space="0" w:color="000000"/>
            </w:tcBorders>
          </w:tcPr>
          <w:p>
            <w:pPr>
              <w:pStyle w:val="TableParagraph"/>
              <w:spacing w:before="117"/>
              <w:ind w:left="104" w:right="843"/>
              <w:rPr>
                <w:i/>
                <w:sz w:val="20"/>
              </w:rPr>
            </w:pPr>
            <w:r>
              <w:rPr>
                <w:i/>
                <w:color w:val="FF0000"/>
                <w:sz w:val="20"/>
              </w:rPr>
              <w:t>Measured test </w:t>
            </w:r>
            <w:r>
              <w:rPr>
                <w:i/>
                <w:color w:val="FF0000"/>
                <w:sz w:val="20"/>
              </w:rPr>
              <w:t>concentration 2</w:t>
            </w:r>
          </w:p>
        </w:tc>
        <w:tc>
          <w:tcPr>
            <w:tcW w:w="1260"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3"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right w:val="single" w:sz="6" w:space="0" w:color="000000"/>
            </w:tcBorders>
          </w:tcPr>
          <w:p>
            <w:pPr/>
          </w:p>
        </w:tc>
        <w:tc>
          <w:tcPr>
            <w:tcW w:w="974" w:type="dxa"/>
            <w:tcBorders>
              <w:top w:val="single" w:sz="6" w:space="0" w:color="000000"/>
              <w:left w:val="single" w:sz="6" w:space="0" w:color="000000"/>
              <w:bottom w:val="single" w:sz="6" w:space="0" w:color="000000"/>
            </w:tcBorders>
          </w:tcPr>
          <w:p>
            <w:pPr/>
          </w:p>
        </w:tc>
      </w:tr>
      <w:tr>
        <w:trPr>
          <w:trHeight w:val="660" w:hRule="exact"/>
        </w:trPr>
        <w:tc>
          <w:tcPr>
            <w:tcW w:w="2250" w:type="dxa"/>
            <w:gridSpan w:val="2"/>
            <w:tcBorders>
              <w:top w:val="single" w:sz="6" w:space="0" w:color="000000"/>
              <w:right w:val="single" w:sz="6" w:space="0" w:color="000000"/>
            </w:tcBorders>
          </w:tcPr>
          <w:p>
            <w:pPr>
              <w:pStyle w:val="TableParagraph"/>
              <w:spacing w:before="117"/>
              <w:ind w:left="104" w:right="843"/>
              <w:rPr>
                <w:i/>
                <w:sz w:val="20"/>
              </w:rPr>
            </w:pPr>
            <w:r>
              <w:rPr>
                <w:i/>
                <w:color w:val="FF0000"/>
                <w:sz w:val="20"/>
              </w:rPr>
              <w:t>Measured test </w:t>
            </w:r>
            <w:r>
              <w:rPr>
                <w:i/>
                <w:color w:val="FF0000"/>
                <w:sz w:val="20"/>
              </w:rPr>
              <w:t>concentration n</w:t>
            </w:r>
          </w:p>
        </w:tc>
        <w:tc>
          <w:tcPr>
            <w:tcW w:w="1260" w:type="dxa"/>
            <w:tcBorders>
              <w:top w:val="single" w:sz="6" w:space="0" w:color="000000"/>
              <w:left w:val="single" w:sz="6" w:space="0" w:color="000000"/>
              <w:right w:val="single" w:sz="6" w:space="0" w:color="000000"/>
            </w:tcBorders>
          </w:tcPr>
          <w:p>
            <w:pPr/>
          </w:p>
        </w:tc>
        <w:tc>
          <w:tcPr>
            <w:tcW w:w="973" w:type="dxa"/>
            <w:tcBorders>
              <w:top w:val="single" w:sz="6" w:space="0" w:color="000000"/>
              <w:left w:val="single" w:sz="6" w:space="0" w:color="000000"/>
              <w:right w:val="single" w:sz="6" w:space="0" w:color="000000"/>
            </w:tcBorders>
          </w:tcPr>
          <w:p>
            <w:pPr/>
          </w:p>
        </w:tc>
        <w:tc>
          <w:tcPr>
            <w:tcW w:w="974" w:type="dxa"/>
            <w:tcBorders>
              <w:top w:val="single" w:sz="6" w:space="0" w:color="000000"/>
              <w:left w:val="single" w:sz="6" w:space="0" w:color="000000"/>
              <w:right w:val="single" w:sz="6" w:space="0" w:color="000000"/>
            </w:tcBorders>
          </w:tcPr>
          <w:p>
            <w:pPr/>
          </w:p>
        </w:tc>
        <w:tc>
          <w:tcPr>
            <w:tcW w:w="974" w:type="dxa"/>
            <w:tcBorders>
              <w:top w:val="single" w:sz="6" w:space="0" w:color="000000"/>
              <w:left w:val="single" w:sz="6" w:space="0" w:color="000000"/>
              <w:right w:val="single" w:sz="6" w:space="0" w:color="000000"/>
            </w:tcBorders>
          </w:tcPr>
          <w:p>
            <w:pPr/>
          </w:p>
        </w:tc>
        <w:tc>
          <w:tcPr>
            <w:tcW w:w="973" w:type="dxa"/>
            <w:tcBorders>
              <w:top w:val="single" w:sz="6" w:space="0" w:color="000000"/>
              <w:left w:val="single" w:sz="6" w:space="0" w:color="000000"/>
              <w:right w:val="single" w:sz="6" w:space="0" w:color="000000"/>
            </w:tcBorders>
          </w:tcPr>
          <w:p>
            <w:pPr/>
          </w:p>
        </w:tc>
        <w:tc>
          <w:tcPr>
            <w:tcW w:w="974" w:type="dxa"/>
            <w:tcBorders>
              <w:top w:val="single" w:sz="6" w:space="0" w:color="000000"/>
              <w:left w:val="single" w:sz="6" w:space="0" w:color="000000"/>
              <w:right w:val="single" w:sz="6" w:space="0" w:color="000000"/>
            </w:tcBorders>
          </w:tcPr>
          <w:p>
            <w:pPr/>
          </w:p>
        </w:tc>
        <w:tc>
          <w:tcPr>
            <w:tcW w:w="974" w:type="dxa"/>
            <w:tcBorders>
              <w:top w:val="single" w:sz="6" w:space="0" w:color="000000"/>
              <w:left w:val="single" w:sz="6" w:space="0" w:color="000000"/>
            </w:tcBorders>
          </w:tcPr>
          <w:p>
            <w:pPr/>
          </w:p>
        </w:tc>
      </w:tr>
      <w:tr>
        <w:trPr>
          <w:trHeight w:val="644" w:hRule="exact"/>
        </w:trPr>
        <w:tc>
          <w:tcPr>
            <w:tcW w:w="2250" w:type="dxa"/>
            <w:gridSpan w:val="2"/>
            <w:tcBorders>
              <w:right w:val="single" w:sz="6" w:space="0" w:color="000000"/>
            </w:tcBorders>
          </w:tcPr>
          <w:p>
            <w:pPr>
              <w:pStyle w:val="TableParagraph"/>
              <w:spacing w:line="232" w:lineRule="exact"/>
              <w:ind w:left="104"/>
              <w:rPr>
                <w:sz w:val="13"/>
              </w:rPr>
            </w:pPr>
            <w:r>
              <w:rPr>
                <w:i/>
                <w:color w:val="FF0000"/>
                <w:sz w:val="20"/>
              </w:rPr>
              <w:t>LD</w:t>
            </w:r>
            <w:r>
              <w:rPr>
                <w:i/>
                <w:color w:val="FF0000"/>
                <w:position w:val="-1"/>
                <w:sz w:val="13"/>
              </w:rPr>
              <w:t>50</w:t>
            </w:r>
            <w:r>
              <w:rPr>
                <w:i/>
                <w:color w:val="FF0000"/>
                <w:sz w:val="20"/>
              </w:rPr>
              <w:t>/LC</w:t>
            </w:r>
            <w:r>
              <w:rPr>
                <w:i/>
                <w:color w:val="FF0000"/>
                <w:position w:val="-1"/>
                <w:sz w:val="13"/>
              </w:rPr>
              <w:t>50</w:t>
            </w:r>
            <w:r>
              <w:rPr>
                <w:i/>
                <w:color w:val="FF0000"/>
                <w:sz w:val="20"/>
              </w:rPr>
              <w:t>/LT</w:t>
            </w:r>
            <w:r>
              <w:rPr>
                <w:color w:val="FF0000"/>
                <w:position w:val="-1"/>
                <w:sz w:val="13"/>
              </w:rPr>
              <w:t>50</w:t>
            </w:r>
          </w:p>
          <w:p>
            <w:pPr>
              <w:pStyle w:val="TableParagraph"/>
              <w:spacing w:line="204" w:lineRule="exact" w:before="0"/>
              <w:ind w:left="104"/>
              <w:rPr>
                <w:i/>
                <w:sz w:val="18"/>
              </w:rPr>
            </w:pPr>
            <w:r>
              <w:rPr>
                <w:i/>
                <w:color w:val="FF0000"/>
                <w:sz w:val="18"/>
              </w:rPr>
              <w:t>[insert [</w:t>
            </w:r>
            <w:r>
              <w:rPr>
                <w:b/>
                <w:color w:val="FF0000"/>
                <w:sz w:val="18"/>
              </w:rPr>
              <w:t>&gt;</w:t>
            </w:r>
            <w:r>
              <w:rPr>
                <w:i/>
                <w:color w:val="FF0000"/>
                <w:sz w:val="18"/>
              </w:rPr>
              <w:t>] if greater than]</w:t>
            </w:r>
          </w:p>
        </w:tc>
        <w:tc>
          <w:tcPr>
            <w:tcW w:w="7104" w:type="dxa"/>
            <w:gridSpan w:val="7"/>
            <w:tcBorders>
              <w:left w:val="single" w:sz="6" w:space="0" w:color="000000"/>
            </w:tcBorders>
          </w:tcPr>
          <w:p>
            <w:pPr/>
          </w:p>
        </w:tc>
      </w:tr>
      <w:tr>
        <w:trPr>
          <w:trHeight w:val="646" w:hRule="exact"/>
        </w:trPr>
        <w:tc>
          <w:tcPr>
            <w:tcW w:w="2250" w:type="dxa"/>
            <w:gridSpan w:val="2"/>
            <w:tcBorders>
              <w:right w:val="single" w:sz="6" w:space="0" w:color="000000"/>
            </w:tcBorders>
          </w:tcPr>
          <w:p>
            <w:pPr>
              <w:pStyle w:val="TableParagraph"/>
              <w:spacing w:line="229" w:lineRule="exact"/>
              <w:ind w:left="104"/>
              <w:rPr>
                <w:i/>
                <w:sz w:val="20"/>
              </w:rPr>
            </w:pPr>
            <w:r>
              <w:rPr>
                <w:i/>
                <w:color w:val="FF0000"/>
                <w:sz w:val="20"/>
              </w:rPr>
              <w:t>NOEL/NOEC</w:t>
            </w:r>
          </w:p>
          <w:p>
            <w:pPr>
              <w:pStyle w:val="TableParagraph"/>
              <w:spacing w:line="206" w:lineRule="exact" w:before="0"/>
              <w:ind w:left="104"/>
              <w:rPr>
                <w:i/>
                <w:sz w:val="18"/>
              </w:rPr>
            </w:pPr>
            <w:r>
              <w:rPr>
                <w:i/>
                <w:color w:val="FF0000"/>
                <w:sz w:val="18"/>
              </w:rPr>
              <w:t>[insert [</w:t>
            </w:r>
            <w:r>
              <w:rPr>
                <w:b/>
                <w:color w:val="FF0000"/>
                <w:sz w:val="18"/>
              </w:rPr>
              <w:t>&gt;</w:t>
            </w:r>
            <w:r>
              <w:rPr>
                <w:i/>
                <w:color w:val="FF0000"/>
                <w:sz w:val="18"/>
              </w:rPr>
              <w:t>] if greater than]</w:t>
            </w:r>
          </w:p>
        </w:tc>
        <w:tc>
          <w:tcPr>
            <w:tcW w:w="7104" w:type="dxa"/>
            <w:gridSpan w:val="7"/>
            <w:tcBorders>
              <w:left w:val="single" w:sz="6" w:space="0" w:color="000000"/>
            </w:tcBorders>
          </w:tcPr>
          <w:p>
            <w:pPr/>
          </w:p>
        </w:tc>
      </w:tr>
      <w:tr>
        <w:trPr>
          <w:trHeight w:val="898" w:hRule="exact"/>
        </w:trPr>
        <w:tc>
          <w:tcPr>
            <w:tcW w:w="1170" w:type="dxa"/>
            <w:vMerge w:val="restart"/>
            <w:tcBorders>
              <w:right w:val="single" w:sz="6" w:space="0" w:color="000000"/>
            </w:tcBorders>
          </w:tcPr>
          <w:p>
            <w:pPr>
              <w:pStyle w:val="TableParagraph"/>
              <w:ind w:left="104" w:right="225"/>
              <w:rPr>
                <w:i/>
                <w:sz w:val="20"/>
              </w:rPr>
            </w:pPr>
            <w:r>
              <w:rPr>
                <w:i/>
                <w:color w:val="FF0000"/>
                <w:sz w:val="20"/>
              </w:rPr>
              <w:t>Reference </w:t>
            </w:r>
            <w:r>
              <w:rPr>
                <w:i/>
                <w:color w:val="FF0000"/>
                <w:sz w:val="20"/>
              </w:rPr>
              <w:t>Material (if used)</w:t>
            </w:r>
          </w:p>
        </w:tc>
        <w:tc>
          <w:tcPr>
            <w:tcW w:w="1080" w:type="dxa"/>
            <w:tcBorders>
              <w:left w:val="single" w:sz="6" w:space="0" w:color="000000"/>
              <w:right w:val="single" w:sz="6" w:space="0" w:color="000000"/>
            </w:tcBorders>
          </w:tcPr>
          <w:p>
            <w:pPr>
              <w:pStyle w:val="TableParagraph"/>
              <w:ind w:left="111" w:right="179"/>
              <w:rPr>
                <w:i/>
                <w:sz w:val="20"/>
              </w:rPr>
            </w:pPr>
            <w:r>
              <w:rPr>
                <w:i/>
                <w:color w:val="FF0000"/>
                <w:sz w:val="20"/>
              </w:rPr>
              <w:t>Mortality </w:t>
            </w:r>
            <w:r>
              <w:rPr>
                <w:i/>
                <w:color w:val="FF0000"/>
                <w:sz w:val="20"/>
              </w:rPr>
              <w:t>(% or No.)</w:t>
            </w:r>
          </w:p>
        </w:tc>
        <w:tc>
          <w:tcPr>
            <w:tcW w:w="1260" w:type="dxa"/>
            <w:tcBorders>
              <w:left w:val="single" w:sz="6" w:space="0" w:color="000000"/>
              <w:right w:val="single" w:sz="6" w:space="0" w:color="000000"/>
            </w:tcBorders>
          </w:tcPr>
          <w:p>
            <w:pPr/>
          </w:p>
        </w:tc>
        <w:tc>
          <w:tcPr>
            <w:tcW w:w="973" w:type="dxa"/>
            <w:tcBorders>
              <w:left w:val="single" w:sz="6" w:space="0" w:color="000000"/>
              <w:right w:val="single" w:sz="6" w:space="0" w:color="000000"/>
            </w:tcBorders>
          </w:tcPr>
          <w:p>
            <w:pPr/>
          </w:p>
        </w:tc>
        <w:tc>
          <w:tcPr>
            <w:tcW w:w="974" w:type="dxa"/>
            <w:tcBorders>
              <w:left w:val="single" w:sz="6" w:space="0" w:color="000000"/>
              <w:right w:val="single" w:sz="6" w:space="0" w:color="000000"/>
            </w:tcBorders>
          </w:tcPr>
          <w:p>
            <w:pPr/>
          </w:p>
        </w:tc>
        <w:tc>
          <w:tcPr>
            <w:tcW w:w="974" w:type="dxa"/>
            <w:tcBorders>
              <w:left w:val="single" w:sz="6" w:space="0" w:color="000000"/>
              <w:right w:val="single" w:sz="6" w:space="0" w:color="000000"/>
            </w:tcBorders>
          </w:tcPr>
          <w:p>
            <w:pPr/>
          </w:p>
        </w:tc>
        <w:tc>
          <w:tcPr>
            <w:tcW w:w="973" w:type="dxa"/>
            <w:tcBorders>
              <w:left w:val="single" w:sz="6" w:space="0" w:color="000000"/>
              <w:right w:val="single" w:sz="6" w:space="0" w:color="000000"/>
            </w:tcBorders>
          </w:tcPr>
          <w:p>
            <w:pPr/>
          </w:p>
        </w:tc>
        <w:tc>
          <w:tcPr>
            <w:tcW w:w="974" w:type="dxa"/>
            <w:tcBorders>
              <w:left w:val="single" w:sz="6" w:space="0" w:color="000000"/>
              <w:right w:val="single" w:sz="6" w:space="0" w:color="000000"/>
            </w:tcBorders>
          </w:tcPr>
          <w:p>
            <w:pPr/>
          </w:p>
        </w:tc>
        <w:tc>
          <w:tcPr>
            <w:tcW w:w="974" w:type="dxa"/>
            <w:tcBorders>
              <w:left w:val="single" w:sz="6" w:space="0" w:color="000000"/>
            </w:tcBorders>
          </w:tcPr>
          <w:p>
            <w:pPr/>
          </w:p>
        </w:tc>
      </w:tr>
      <w:tr>
        <w:trPr>
          <w:trHeight w:val="898" w:hRule="exact"/>
        </w:trPr>
        <w:tc>
          <w:tcPr>
            <w:tcW w:w="1170" w:type="dxa"/>
            <w:vMerge/>
            <w:tcBorders>
              <w:right w:val="single" w:sz="6" w:space="0" w:color="000000"/>
            </w:tcBorders>
          </w:tcPr>
          <w:p>
            <w:pPr/>
          </w:p>
        </w:tc>
        <w:tc>
          <w:tcPr>
            <w:tcW w:w="1080" w:type="dxa"/>
            <w:tcBorders>
              <w:left w:val="single" w:sz="6" w:space="0" w:color="000000"/>
              <w:right w:val="single" w:sz="6" w:space="0" w:color="000000"/>
            </w:tcBorders>
          </w:tcPr>
          <w:p>
            <w:pPr>
              <w:pStyle w:val="TableParagraph"/>
              <w:spacing w:line="235" w:lineRule="auto" w:before="122"/>
              <w:ind w:left="111" w:right="498"/>
              <w:jc w:val="both"/>
              <w:rPr>
                <w:i/>
                <w:sz w:val="20"/>
              </w:rPr>
            </w:pPr>
            <w:r>
              <w:rPr>
                <w:i/>
                <w:color w:val="FF0000"/>
                <w:sz w:val="20"/>
              </w:rPr>
              <w:t>LD</w:t>
            </w:r>
            <w:r>
              <w:rPr>
                <w:i/>
                <w:color w:val="FF0000"/>
                <w:position w:val="-1"/>
                <w:sz w:val="13"/>
              </w:rPr>
              <w:t>50</w:t>
            </w:r>
            <w:r>
              <w:rPr>
                <w:i/>
                <w:color w:val="FF0000"/>
                <w:sz w:val="20"/>
              </w:rPr>
              <w:t>: </w:t>
            </w:r>
            <w:r>
              <w:rPr>
                <w:i/>
                <w:color w:val="FF0000"/>
                <w:sz w:val="20"/>
              </w:rPr>
              <w:t>LC</w:t>
            </w:r>
            <w:r>
              <w:rPr>
                <w:i/>
                <w:color w:val="FF0000"/>
                <w:position w:val="-1"/>
                <w:sz w:val="13"/>
              </w:rPr>
              <w:t>50</w:t>
            </w:r>
            <w:r>
              <w:rPr>
                <w:i/>
                <w:color w:val="FF0000"/>
                <w:sz w:val="20"/>
              </w:rPr>
              <w:t>: LT</w:t>
            </w:r>
            <w:r>
              <w:rPr>
                <w:i/>
                <w:color w:val="FF0000"/>
                <w:position w:val="-1"/>
                <w:sz w:val="13"/>
              </w:rPr>
              <w:t>50</w:t>
            </w:r>
            <w:r>
              <w:rPr>
                <w:i/>
                <w:color w:val="FF0000"/>
                <w:sz w:val="20"/>
              </w:rPr>
              <w:t>:</w:t>
            </w:r>
          </w:p>
        </w:tc>
        <w:tc>
          <w:tcPr>
            <w:tcW w:w="7104" w:type="dxa"/>
            <w:gridSpan w:val="7"/>
            <w:tcBorders>
              <w:left w:val="single" w:sz="6" w:space="0" w:color="000000"/>
            </w:tcBorders>
          </w:tcPr>
          <w:p>
            <w:pPr>
              <w:pStyle w:val="TableParagraph"/>
              <w:spacing w:before="116"/>
              <w:ind w:left="111"/>
              <w:rPr>
                <w:i/>
                <w:sz w:val="18"/>
              </w:rPr>
            </w:pPr>
            <w:r>
              <w:rPr>
                <w:i/>
                <w:color w:val="FF0000"/>
                <w:sz w:val="18"/>
              </w:rPr>
              <w:t>[insert [</w:t>
            </w:r>
            <w:r>
              <w:rPr>
                <w:b/>
                <w:color w:val="FF0000"/>
                <w:sz w:val="18"/>
              </w:rPr>
              <w:t>&gt;</w:t>
            </w:r>
            <w:r>
              <w:rPr>
                <w:i/>
                <w:color w:val="FF0000"/>
                <w:sz w:val="18"/>
              </w:rPr>
              <w:t>] if greater than]</w:t>
            </w:r>
          </w:p>
        </w:tc>
      </w:tr>
      <w:tr>
        <w:trPr>
          <w:trHeight w:val="670" w:hRule="exact"/>
        </w:trPr>
        <w:tc>
          <w:tcPr>
            <w:tcW w:w="1170" w:type="dxa"/>
            <w:vMerge/>
            <w:tcBorders>
              <w:right w:val="single" w:sz="6" w:space="0" w:color="000000"/>
            </w:tcBorders>
          </w:tcPr>
          <w:p>
            <w:pPr/>
          </w:p>
        </w:tc>
        <w:tc>
          <w:tcPr>
            <w:tcW w:w="1080" w:type="dxa"/>
            <w:tcBorders>
              <w:left w:val="single" w:sz="6" w:space="0" w:color="000000"/>
              <w:right w:val="single" w:sz="6" w:space="0" w:color="000000"/>
            </w:tcBorders>
          </w:tcPr>
          <w:p>
            <w:pPr>
              <w:pStyle w:val="TableParagraph"/>
              <w:ind w:left="111" w:right="317"/>
              <w:rPr>
                <w:i/>
                <w:sz w:val="20"/>
              </w:rPr>
            </w:pPr>
            <w:r>
              <w:rPr>
                <w:i/>
                <w:color w:val="FF0000"/>
                <w:sz w:val="20"/>
              </w:rPr>
              <w:t>NOEL / </w:t>
            </w:r>
            <w:r>
              <w:rPr>
                <w:i/>
                <w:color w:val="FF0000"/>
                <w:sz w:val="20"/>
              </w:rPr>
              <w:t>NOEC</w:t>
            </w:r>
          </w:p>
        </w:tc>
        <w:tc>
          <w:tcPr>
            <w:tcW w:w="7104" w:type="dxa"/>
            <w:gridSpan w:val="7"/>
            <w:tcBorders>
              <w:left w:val="single" w:sz="6" w:space="0" w:color="000000"/>
            </w:tcBorders>
          </w:tcPr>
          <w:p>
            <w:pPr>
              <w:pStyle w:val="TableParagraph"/>
              <w:spacing w:before="116"/>
              <w:ind w:left="111"/>
              <w:rPr>
                <w:i/>
                <w:sz w:val="18"/>
              </w:rPr>
            </w:pPr>
            <w:r>
              <w:rPr>
                <w:i/>
                <w:color w:val="FF0000"/>
                <w:sz w:val="18"/>
              </w:rPr>
              <w:t>[insert [</w:t>
            </w:r>
            <w:r>
              <w:rPr>
                <w:b/>
                <w:color w:val="FF0000"/>
                <w:sz w:val="18"/>
              </w:rPr>
              <w:t>&gt;</w:t>
            </w:r>
            <w:r>
              <w:rPr>
                <w:i/>
                <w:color w:val="FF0000"/>
                <w:sz w:val="18"/>
              </w:rPr>
              <w:t>] if greater than]</w:t>
            </w:r>
          </w:p>
        </w:tc>
      </w:tr>
    </w:tbl>
    <w:p>
      <w:pPr>
        <w:spacing w:after="0"/>
        <w:rPr>
          <w:sz w:val="18"/>
        </w:rPr>
        <w:sectPr>
          <w:pgSz w:w="12240" w:h="15840"/>
          <w:pgMar w:header="729" w:footer="796" w:top="1880" w:bottom="980" w:left="940" w:right="940"/>
        </w:sectPr>
      </w:pPr>
    </w:p>
    <w:p>
      <w:pPr>
        <w:pStyle w:val="Heading6"/>
        <w:spacing w:before="130"/>
        <w:rPr>
          <w:i/>
        </w:rPr>
      </w:pPr>
      <w:r>
        <w:rPr>
          <w:i/>
          <w:color w:val="FF0000"/>
        </w:rPr>
        <w:t>[</w:t>
      </w:r>
      <w:r>
        <w:rPr>
          <w:i/>
          <w:color w:val="FF0000"/>
          <w:position w:val="7"/>
          <w:sz w:val="13"/>
        </w:rPr>
        <w:t>a </w:t>
      </w:r>
      <w:r>
        <w:rPr>
          <w:i/>
          <w:color w:val="FF0000"/>
        </w:rPr>
        <w:t>Use superscript and footnote to indicate values that are statistically significantly different from control.]</w:t>
      </w:r>
    </w:p>
    <w:p>
      <w:pPr>
        <w:pStyle w:val="BodyText"/>
        <w:spacing w:before="2"/>
        <w:rPr>
          <w:i/>
          <w:sz w:val="22"/>
        </w:rPr>
      </w:pPr>
    </w:p>
    <w:p>
      <w:pPr>
        <w:pStyle w:val="ListParagraph"/>
        <w:numPr>
          <w:ilvl w:val="0"/>
          <w:numId w:val="4"/>
        </w:numPr>
        <w:tabs>
          <w:tab w:pos="859" w:val="left" w:leader="none"/>
          <w:tab w:pos="861" w:val="left" w:leader="none"/>
          <w:tab w:pos="5179" w:val="left" w:leader="none"/>
        </w:tabs>
        <w:spacing w:line="240" w:lineRule="auto" w:before="0" w:after="0"/>
        <w:ind w:left="860" w:right="199" w:hanging="720"/>
        <w:jc w:val="left"/>
        <w:rPr>
          <w:i/>
          <w:sz w:val="22"/>
          <w:u w:val="none"/>
        </w:rPr>
      </w:pPr>
      <w:r>
        <w:rPr>
          <w:b/>
          <w:sz w:val="22"/>
          <w:u w:val="thick"/>
        </w:rPr>
        <w:t>SUB-LETHAL</w:t>
      </w:r>
      <w:r>
        <w:rPr>
          <w:b/>
          <w:spacing w:val="-2"/>
          <w:sz w:val="22"/>
          <w:u w:val="thick"/>
        </w:rPr>
        <w:t> </w:t>
      </w:r>
      <w:r>
        <w:rPr>
          <w:b/>
          <w:sz w:val="22"/>
          <w:u w:val="thick"/>
        </w:rPr>
        <w:t>TOXICITY</w:t>
      </w:r>
      <w:r>
        <w:rPr>
          <w:b/>
          <w:spacing w:val="-3"/>
          <w:sz w:val="22"/>
          <w:u w:val="thick"/>
        </w:rPr>
        <w:t> </w:t>
      </w:r>
      <w:r>
        <w:rPr>
          <w:b/>
          <w:sz w:val="22"/>
          <w:u w:val="thick"/>
        </w:rPr>
        <w:t>EFFECTS</w:t>
      </w:r>
      <w:r>
        <w:rPr>
          <w:b/>
          <w:sz w:val="22"/>
          <w:u w:val="none"/>
        </w:rPr>
        <w:t>:</w:t>
        <w:tab/>
      </w:r>
      <w:r>
        <w:rPr>
          <w:i/>
          <w:color w:val="FF0000"/>
          <w:sz w:val="22"/>
          <w:u w:val="none"/>
        </w:rPr>
        <w:t>[Include if any sublethal effects are</w:t>
      </w:r>
      <w:r>
        <w:rPr>
          <w:i/>
          <w:color w:val="FF0000"/>
          <w:spacing w:val="-24"/>
          <w:sz w:val="22"/>
          <w:u w:val="none"/>
        </w:rPr>
        <w:t> </w:t>
      </w:r>
      <w:r>
        <w:rPr>
          <w:i/>
          <w:color w:val="FF0000"/>
          <w:sz w:val="22"/>
          <w:u w:val="none"/>
        </w:rPr>
        <w:t>observed-</w:t>
      </w:r>
      <w:r>
        <w:rPr>
          <w:i/>
          <w:color w:val="FF0000"/>
          <w:spacing w:val="-4"/>
          <w:sz w:val="22"/>
          <w:u w:val="none"/>
        </w:rPr>
        <w:t> </w:t>
      </w:r>
      <w:r>
        <w:rPr>
          <w:i/>
          <w:color w:val="FF0000"/>
          <w:sz w:val="22"/>
          <w:u w:val="none"/>
        </w:rPr>
        <w:t>Briefly</w:t>
      </w:r>
      <w:r>
        <w:rPr>
          <w:i/>
          <w:color w:val="FF0000"/>
          <w:w w:val="99"/>
          <w:sz w:val="22"/>
          <w:u w:val="none"/>
        </w:rPr>
        <w:t> </w:t>
      </w:r>
      <w:r>
        <w:rPr>
          <w:i/>
          <w:color w:val="FF0000"/>
          <w:sz w:val="22"/>
          <w:u w:val="none"/>
        </w:rPr>
        <w:t>summarize behavioral abnormalities or other signs of toxicity. . Indicate effects that were related to the test-material.</w:t>
      </w:r>
      <w:r>
        <w:rPr>
          <w:i/>
          <w:color w:val="FF0000"/>
          <w:spacing w:val="-3"/>
          <w:sz w:val="22"/>
          <w:u w:val="none"/>
        </w:rPr>
        <w:t> </w:t>
      </w:r>
      <w:r>
        <w:rPr>
          <w:i/>
          <w:color w:val="FF0000"/>
          <w:sz w:val="22"/>
          <w:u w:val="none"/>
        </w:rPr>
        <w:t>Compare</w:t>
      </w:r>
      <w:r>
        <w:rPr>
          <w:i/>
          <w:color w:val="FF0000"/>
          <w:spacing w:val="-5"/>
          <w:sz w:val="22"/>
          <w:u w:val="none"/>
        </w:rPr>
        <w:t> </w:t>
      </w:r>
      <w:r>
        <w:rPr>
          <w:i/>
          <w:color w:val="FF0000"/>
          <w:sz w:val="22"/>
          <w:u w:val="none"/>
        </w:rPr>
        <w:t>sub-lethal</w:t>
      </w:r>
      <w:r>
        <w:rPr>
          <w:i/>
          <w:color w:val="FF0000"/>
          <w:spacing w:val="-4"/>
          <w:sz w:val="22"/>
          <w:u w:val="none"/>
        </w:rPr>
        <w:t> </w:t>
      </w:r>
      <w:r>
        <w:rPr>
          <w:i/>
          <w:color w:val="FF0000"/>
          <w:sz w:val="22"/>
          <w:u w:val="none"/>
        </w:rPr>
        <w:t>effects</w:t>
      </w:r>
      <w:r>
        <w:rPr>
          <w:i/>
          <w:color w:val="FF0000"/>
          <w:spacing w:val="-5"/>
          <w:sz w:val="22"/>
          <w:u w:val="none"/>
        </w:rPr>
        <w:t> </w:t>
      </w:r>
      <w:r>
        <w:rPr>
          <w:i/>
          <w:color w:val="FF0000"/>
          <w:sz w:val="22"/>
          <w:u w:val="none"/>
        </w:rPr>
        <w:t>with</w:t>
      </w:r>
      <w:r>
        <w:rPr>
          <w:i/>
          <w:color w:val="FF0000"/>
          <w:spacing w:val="-4"/>
          <w:sz w:val="22"/>
          <w:u w:val="none"/>
        </w:rPr>
        <w:t> </w:t>
      </w:r>
      <w:r>
        <w:rPr>
          <w:i/>
          <w:color w:val="FF0000"/>
          <w:sz w:val="22"/>
          <w:u w:val="none"/>
        </w:rPr>
        <w:t>control</w:t>
      </w:r>
      <w:r>
        <w:rPr>
          <w:i/>
          <w:color w:val="FF0000"/>
          <w:spacing w:val="-5"/>
          <w:sz w:val="22"/>
          <w:u w:val="none"/>
        </w:rPr>
        <w:t> </w:t>
      </w:r>
      <w:r>
        <w:rPr>
          <w:i/>
          <w:color w:val="FF0000"/>
          <w:sz w:val="22"/>
          <w:u w:val="none"/>
        </w:rPr>
        <w:t>treatment</w:t>
      </w:r>
      <w:r>
        <w:rPr>
          <w:i/>
          <w:color w:val="FF0000"/>
          <w:spacing w:val="-4"/>
          <w:sz w:val="22"/>
          <w:u w:val="none"/>
        </w:rPr>
        <w:t> </w:t>
      </w:r>
      <w:r>
        <w:rPr>
          <w:i/>
          <w:color w:val="FF0000"/>
          <w:sz w:val="22"/>
          <w:u w:val="none"/>
        </w:rPr>
        <w:t>and/or</w:t>
      </w:r>
      <w:r>
        <w:rPr>
          <w:i/>
          <w:color w:val="FF0000"/>
          <w:spacing w:val="-5"/>
          <w:sz w:val="22"/>
          <w:u w:val="none"/>
        </w:rPr>
        <w:t> </w:t>
      </w:r>
      <w:r>
        <w:rPr>
          <w:i/>
          <w:color w:val="FF0000"/>
          <w:sz w:val="22"/>
          <w:u w:val="none"/>
        </w:rPr>
        <w:t>the</w:t>
      </w:r>
      <w:r>
        <w:rPr>
          <w:i/>
          <w:color w:val="FF0000"/>
          <w:spacing w:val="-5"/>
          <w:sz w:val="22"/>
          <w:u w:val="none"/>
        </w:rPr>
        <w:t> </w:t>
      </w:r>
      <w:r>
        <w:rPr>
          <w:i/>
          <w:color w:val="FF0000"/>
          <w:sz w:val="22"/>
          <w:u w:val="none"/>
        </w:rPr>
        <w:t>reference</w:t>
      </w:r>
      <w:r>
        <w:rPr>
          <w:i/>
          <w:color w:val="FF0000"/>
          <w:spacing w:val="-5"/>
          <w:sz w:val="22"/>
          <w:u w:val="none"/>
        </w:rPr>
        <w:t> </w:t>
      </w:r>
      <w:r>
        <w:rPr>
          <w:i/>
          <w:color w:val="FF0000"/>
          <w:sz w:val="22"/>
          <w:u w:val="none"/>
        </w:rPr>
        <w:t>chemical.</w:t>
      </w:r>
      <w:r>
        <w:rPr>
          <w:i/>
          <w:color w:val="FF0000"/>
          <w:spacing w:val="-5"/>
          <w:sz w:val="22"/>
          <w:u w:val="none"/>
        </w:rPr>
        <w:t> </w:t>
      </w:r>
      <w:r>
        <w:rPr>
          <w:i/>
          <w:color w:val="FF0000"/>
          <w:sz w:val="22"/>
          <w:u w:val="none"/>
        </w:rPr>
        <w:t>Data</w:t>
      </w:r>
      <w:r>
        <w:rPr>
          <w:i/>
          <w:color w:val="FF0000"/>
          <w:spacing w:val="-4"/>
          <w:sz w:val="22"/>
          <w:u w:val="none"/>
        </w:rPr>
        <w:t> </w:t>
      </w:r>
      <w:r>
        <w:rPr>
          <w:i/>
          <w:color w:val="FF0000"/>
          <w:sz w:val="22"/>
          <w:u w:val="none"/>
        </w:rPr>
        <w:t>may be summarized in a table such as those presented below. Modify tables to accommodate differences in experimental design. For acute oral and dietary, provide information about palatability of the treated diet, rate of consumption of diet in treated and untreated</w:t>
      </w:r>
      <w:r>
        <w:rPr>
          <w:i/>
          <w:color w:val="FF0000"/>
          <w:spacing w:val="-34"/>
          <w:sz w:val="22"/>
          <w:u w:val="none"/>
        </w:rPr>
        <w:t> </w:t>
      </w:r>
      <w:r>
        <w:rPr>
          <w:i/>
          <w:color w:val="FF0000"/>
          <w:sz w:val="22"/>
          <w:u w:val="none"/>
        </w:rPr>
        <w:t>groups.]</w:t>
      </w:r>
    </w:p>
    <w:p>
      <w:pPr>
        <w:pStyle w:val="BodyText"/>
        <w:spacing w:before="9"/>
        <w:rPr>
          <w:i/>
          <w:sz w:val="21"/>
        </w:rPr>
      </w:pPr>
    </w:p>
    <w:p>
      <w:pPr>
        <w:tabs>
          <w:tab w:pos="1580" w:val="left" w:leader="none"/>
        </w:tabs>
        <w:spacing w:before="0" w:after="2"/>
        <w:ind w:left="140" w:right="472" w:firstLine="0"/>
        <w:jc w:val="left"/>
        <w:rPr>
          <w:sz w:val="22"/>
        </w:rPr>
      </w:pPr>
      <w:r>
        <w:rPr>
          <w:b/>
          <w:sz w:val="22"/>
        </w:rPr>
        <w:t>TABLE</w:t>
      </w:r>
      <w:r>
        <w:rPr>
          <w:b/>
          <w:spacing w:val="-1"/>
          <w:sz w:val="22"/>
        </w:rPr>
        <w:t> </w:t>
      </w:r>
      <w:r>
        <w:rPr>
          <w:b/>
          <w:i/>
          <w:color w:val="FF0000"/>
          <w:sz w:val="22"/>
        </w:rPr>
        <w:t>[#[</w:t>
      </w:r>
      <w:r>
        <w:rPr>
          <w:b/>
          <w:sz w:val="22"/>
        </w:rPr>
        <w:t>.</w:t>
        <w:tab/>
      </w:r>
      <w:r>
        <w:rPr>
          <w:sz w:val="22"/>
        </w:rPr>
        <w:t>Sublethal</w:t>
      </w:r>
      <w:r>
        <w:rPr>
          <w:spacing w:val="-4"/>
          <w:sz w:val="22"/>
        </w:rPr>
        <w:t> </w:t>
      </w:r>
      <w:r>
        <w:rPr>
          <w:sz w:val="22"/>
        </w:rPr>
        <w:t>effects</w:t>
      </w:r>
      <w:r>
        <w:rPr>
          <w:spacing w:val="-5"/>
          <w:sz w:val="22"/>
        </w:rPr>
        <w:t> </w:t>
      </w:r>
      <w:r>
        <w:rPr>
          <w:sz w:val="22"/>
        </w:rPr>
        <w:t>of</w:t>
      </w:r>
      <w:r>
        <w:rPr>
          <w:spacing w:val="-4"/>
          <w:sz w:val="22"/>
        </w:rPr>
        <w:t> </w:t>
      </w:r>
      <w:r>
        <w:rPr>
          <w:i/>
          <w:color w:val="FF0000"/>
          <w:sz w:val="22"/>
        </w:rPr>
        <w:t>[test</w:t>
      </w:r>
      <w:r>
        <w:rPr>
          <w:i/>
          <w:color w:val="FF0000"/>
          <w:spacing w:val="-4"/>
          <w:sz w:val="22"/>
        </w:rPr>
        <w:t> </w:t>
      </w:r>
      <w:r>
        <w:rPr>
          <w:i/>
          <w:color w:val="FF0000"/>
          <w:sz w:val="22"/>
        </w:rPr>
        <w:t>material]</w:t>
      </w:r>
      <w:r>
        <w:rPr>
          <w:i/>
          <w:color w:val="FF0000"/>
          <w:spacing w:val="-1"/>
          <w:sz w:val="22"/>
        </w:rPr>
        <w:t> </w:t>
      </w:r>
      <w:r>
        <w:rPr>
          <w:sz w:val="22"/>
        </w:rPr>
        <w:t>to</w:t>
      </w:r>
      <w:r>
        <w:rPr>
          <w:spacing w:val="-5"/>
          <w:sz w:val="22"/>
        </w:rPr>
        <w:t> </w:t>
      </w:r>
      <w:r>
        <w:rPr>
          <w:i/>
          <w:color w:val="FF0000"/>
          <w:sz w:val="22"/>
        </w:rPr>
        <w:t>[common</w:t>
      </w:r>
      <w:r>
        <w:rPr>
          <w:i/>
          <w:color w:val="FF0000"/>
          <w:spacing w:val="-4"/>
          <w:sz w:val="22"/>
        </w:rPr>
        <w:t> </w:t>
      </w:r>
      <w:r>
        <w:rPr>
          <w:i/>
          <w:color w:val="FF0000"/>
          <w:sz w:val="22"/>
        </w:rPr>
        <w:t>name</w:t>
      </w:r>
      <w:r>
        <w:rPr>
          <w:i/>
          <w:color w:val="FF0000"/>
          <w:spacing w:val="-5"/>
          <w:sz w:val="22"/>
        </w:rPr>
        <w:t> </w:t>
      </w:r>
      <w:r>
        <w:rPr>
          <w:i/>
          <w:color w:val="FF0000"/>
          <w:sz w:val="22"/>
        </w:rPr>
        <w:t>(scientific</w:t>
      </w:r>
      <w:r>
        <w:rPr>
          <w:i/>
          <w:color w:val="FF0000"/>
          <w:spacing w:val="-5"/>
          <w:sz w:val="22"/>
        </w:rPr>
        <w:t> </w:t>
      </w:r>
      <w:r>
        <w:rPr>
          <w:i/>
          <w:color w:val="FF0000"/>
          <w:sz w:val="22"/>
        </w:rPr>
        <w:t>name)] </w:t>
      </w:r>
      <w:r>
        <w:rPr>
          <w:sz w:val="22"/>
        </w:rPr>
        <w:t>in</w:t>
      </w:r>
      <w:r>
        <w:rPr>
          <w:spacing w:val="-5"/>
          <w:sz w:val="22"/>
        </w:rPr>
        <w:t> </w:t>
      </w:r>
      <w:r>
        <w:rPr>
          <w:sz w:val="22"/>
        </w:rPr>
        <w:t>a(n)</w:t>
      </w:r>
      <w:r>
        <w:rPr>
          <w:spacing w:val="-4"/>
          <w:sz w:val="22"/>
        </w:rPr>
        <w:t> </w:t>
      </w:r>
      <w:r>
        <w:rPr>
          <w:i/>
          <w:color w:val="FF0000"/>
          <w:sz w:val="22"/>
        </w:rPr>
        <w:t>[contact,</w:t>
      </w:r>
      <w:r>
        <w:rPr>
          <w:i/>
          <w:color w:val="FF0000"/>
          <w:spacing w:val="-4"/>
          <w:sz w:val="22"/>
        </w:rPr>
        <w:t> </w:t>
      </w:r>
      <w:r>
        <w:rPr>
          <w:i/>
          <w:color w:val="FF0000"/>
          <w:sz w:val="22"/>
        </w:rPr>
        <w:t>acute</w:t>
      </w:r>
      <w:r>
        <w:rPr>
          <w:i/>
          <w:color w:val="FF0000"/>
          <w:w w:val="99"/>
          <w:sz w:val="22"/>
        </w:rPr>
        <w:t> </w:t>
      </w:r>
      <w:r>
        <w:rPr>
          <w:i/>
          <w:color w:val="FF0000"/>
          <w:sz w:val="22"/>
        </w:rPr>
        <w:t>oral or dietary]</w:t>
      </w:r>
      <w:r>
        <w:rPr>
          <w:i/>
          <w:color w:val="FF0000"/>
          <w:spacing w:val="-11"/>
          <w:sz w:val="22"/>
        </w:rPr>
        <w:t> </w:t>
      </w:r>
      <w:r>
        <w:rPr>
          <w:sz w:val="22"/>
        </w:rPr>
        <w:t>test.</w:t>
      </w:r>
    </w:p>
    <w:tbl>
      <w:tblPr>
        <w:tblW w:w="0" w:type="auto"/>
        <w:jc w:val="left"/>
        <w:tblInd w:w="48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70"/>
        <w:gridCol w:w="990"/>
        <w:gridCol w:w="1200"/>
        <w:gridCol w:w="1200"/>
        <w:gridCol w:w="1200"/>
        <w:gridCol w:w="1200"/>
        <w:gridCol w:w="1200"/>
        <w:gridCol w:w="1200"/>
      </w:tblGrid>
      <w:tr>
        <w:trPr>
          <w:trHeight w:val="431" w:hRule="exact"/>
        </w:trPr>
        <w:tc>
          <w:tcPr>
            <w:tcW w:w="2160" w:type="dxa"/>
            <w:gridSpan w:val="2"/>
            <w:vMerge w:val="restart"/>
            <w:tcBorders>
              <w:right w:val="single" w:sz="6" w:space="0" w:color="000000"/>
            </w:tcBorders>
          </w:tcPr>
          <w:p>
            <w:pPr>
              <w:pStyle w:val="TableParagraph"/>
              <w:spacing w:before="120"/>
              <w:ind w:left="133" w:right="139"/>
              <w:jc w:val="center"/>
              <w:rPr>
                <w:b/>
                <w:sz w:val="20"/>
              </w:rPr>
            </w:pPr>
            <w:r>
              <w:rPr>
                <w:b/>
                <w:sz w:val="20"/>
              </w:rPr>
              <w:t>Treatments</w:t>
            </w:r>
          </w:p>
          <w:p>
            <w:pPr>
              <w:pStyle w:val="TableParagraph"/>
              <w:spacing w:before="0"/>
              <w:ind w:left="133" w:right="140"/>
              <w:jc w:val="center"/>
              <w:rPr>
                <w:b/>
                <w:i/>
                <w:sz w:val="20"/>
              </w:rPr>
            </w:pPr>
            <w:r>
              <w:rPr>
                <w:b/>
                <w:i/>
                <w:color w:val="FF0000"/>
                <w:sz w:val="20"/>
              </w:rPr>
              <w:t>[indicate if nominal or </w:t>
            </w:r>
            <w:r>
              <w:rPr>
                <w:b/>
                <w:i/>
                <w:color w:val="FF0000"/>
                <w:sz w:val="20"/>
              </w:rPr>
              <w:t>measured]</w:t>
            </w:r>
          </w:p>
        </w:tc>
        <w:tc>
          <w:tcPr>
            <w:tcW w:w="7200" w:type="dxa"/>
            <w:gridSpan w:val="6"/>
            <w:tcBorders>
              <w:left w:val="single" w:sz="6" w:space="0" w:color="000000"/>
              <w:bottom w:val="single" w:sz="6" w:space="0" w:color="000000"/>
            </w:tcBorders>
          </w:tcPr>
          <w:p>
            <w:pPr>
              <w:pStyle w:val="TableParagraph"/>
              <w:spacing w:before="120"/>
              <w:ind w:left="2736" w:right="2730"/>
              <w:jc w:val="center"/>
              <w:rPr>
                <w:b/>
                <w:sz w:val="20"/>
              </w:rPr>
            </w:pPr>
            <w:r>
              <w:rPr>
                <w:b/>
                <w:sz w:val="20"/>
              </w:rPr>
              <w:t>Observation Period</w:t>
            </w:r>
          </w:p>
        </w:tc>
      </w:tr>
      <w:tr>
        <w:trPr>
          <w:trHeight w:val="424" w:hRule="exact"/>
        </w:trPr>
        <w:tc>
          <w:tcPr>
            <w:tcW w:w="2160" w:type="dxa"/>
            <w:gridSpan w:val="2"/>
            <w:vMerge/>
            <w:tcBorders>
              <w:right w:val="single" w:sz="6" w:space="0" w:color="000000"/>
            </w:tcBorders>
          </w:tcPr>
          <w:p>
            <w:pPr/>
          </w:p>
        </w:tc>
        <w:tc>
          <w:tcPr>
            <w:tcW w:w="2400"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20"/>
              <w:ind w:left="931" w:right="931"/>
              <w:jc w:val="center"/>
              <w:rPr>
                <w:b/>
                <w:i/>
                <w:sz w:val="20"/>
              </w:rPr>
            </w:pPr>
            <w:r>
              <w:rPr>
                <w:b/>
                <w:i/>
                <w:color w:val="FF0000"/>
                <w:sz w:val="20"/>
              </w:rPr>
              <w:t>Day x</w:t>
            </w:r>
          </w:p>
        </w:tc>
        <w:tc>
          <w:tcPr>
            <w:tcW w:w="2400" w:type="dxa"/>
            <w:gridSpan w:val="2"/>
            <w:tcBorders>
              <w:top w:val="single" w:sz="6" w:space="0" w:color="000000"/>
              <w:left w:val="single" w:sz="6" w:space="0" w:color="000000"/>
              <w:bottom w:val="single" w:sz="6" w:space="0" w:color="000000"/>
              <w:right w:val="single" w:sz="6" w:space="0" w:color="000000"/>
            </w:tcBorders>
          </w:tcPr>
          <w:p>
            <w:pPr>
              <w:pStyle w:val="TableParagraph"/>
              <w:spacing w:before="120"/>
              <w:ind w:left="931" w:right="931"/>
              <w:jc w:val="center"/>
              <w:rPr>
                <w:b/>
                <w:i/>
                <w:sz w:val="20"/>
              </w:rPr>
            </w:pPr>
            <w:r>
              <w:rPr>
                <w:b/>
                <w:i/>
                <w:color w:val="FF0000"/>
                <w:sz w:val="20"/>
              </w:rPr>
              <w:t>Day y</w:t>
            </w:r>
          </w:p>
        </w:tc>
        <w:tc>
          <w:tcPr>
            <w:tcW w:w="2400" w:type="dxa"/>
            <w:gridSpan w:val="2"/>
            <w:tcBorders>
              <w:top w:val="single" w:sz="6" w:space="0" w:color="000000"/>
              <w:left w:val="single" w:sz="6" w:space="0" w:color="000000"/>
              <w:bottom w:val="single" w:sz="6" w:space="0" w:color="000000"/>
            </w:tcBorders>
          </w:tcPr>
          <w:p>
            <w:pPr>
              <w:pStyle w:val="TableParagraph"/>
              <w:spacing w:before="120"/>
              <w:ind w:left="941" w:right="936"/>
              <w:jc w:val="center"/>
              <w:rPr>
                <w:b/>
                <w:i/>
                <w:sz w:val="20"/>
              </w:rPr>
            </w:pPr>
            <w:r>
              <w:rPr>
                <w:b/>
                <w:i/>
                <w:color w:val="FF0000"/>
                <w:sz w:val="20"/>
              </w:rPr>
              <w:t>Day z</w:t>
            </w:r>
          </w:p>
        </w:tc>
      </w:tr>
      <w:tr>
        <w:trPr>
          <w:trHeight w:val="430" w:hRule="exact"/>
        </w:trPr>
        <w:tc>
          <w:tcPr>
            <w:tcW w:w="2160" w:type="dxa"/>
            <w:gridSpan w:val="2"/>
            <w:vMerge/>
            <w:tcBorders>
              <w:right w:val="single" w:sz="6" w:space="0" w:color="000000"/>
            </w:tcBorders>
          </w:tcPr>
          <w:p>
            <w:pPr/>
          </w:p>
        </w:tc>
        <w:tc>
          <w:tcPr>
            <w:tcW w:w="1200" w:type="dxa"/>
            <w:tcBorders>
              <w:top w:val="single" w:sz="6" w:space="0" w:color="000000"/>
              <w:left w:val="single" w:sz="6" w:space="0" w:color="000000"/>
              <w:right w:val="single" w:sz="6" w:space="0" w:color="000000"/>
            </w:tcBorders>
          </w:tcPr>
          <w:p>
            <w:pPr>
              <w:pStyle w:val="TableParagraph"/>
              <w:spacing w:before="119"/>
              <w:ind w:left="230"/>
              <w:rPr>
                <w:b/>
                <w:i/>
                <w:sz w:val="20"/>
              </w:rPr>
            </w:pPr>
            <w:r>
              <w:rPr>
                <w:b/>
                <w:i/>
                <w:color w:val="FF0000"/>
                <w:sz w:val="20"/>
              </w:rPr>
              <w:t>endpoint</w:t>
            </w:r>
          </w:p>
        </w:tc>
        <w:tc>
          <w:tcPr>
            <w:tcW w:w="1200" w:type="dxa"/>
            <w:tcBorders>
              <w:top w:val="single" w:sz="6" w:space="0" w:color="000000"/>
              <w:left w:val="single" w:sz="6" w:space="0" w:color="000000"/>
              <w:right w:val="single" w:sz="6" w:space="0" w:color="000000"/>
            </w:tcBorders>
          </w:tcPr>
          <w:p>
            <w:pPr>
              <w:pStyle w:val="TableParagraph"/>
              <w:spacing w:before="119"/>
              <w:ind w:left="105"/>
              <w:rPr>
                <w:b/>
                <w:sz w:val="20"/>
              </w:rPr>
            </w:pPr>
            <w:r>
              <w:rPr>
                <w:b/>
                <w:sz w:val="20"/>
              </w:rPr>
              <w:t>% Affected</w:t>
            </w:r>
          </w:p>
        </w:tc>
        <w:tc>
          <w:tcPr>
            <w:tcW w:w="1200" w:type="dxa"/>
            <w:tcBorders>
              <w:top w:val="single" w:sz="6" w:space="0" w:color="000000"/>
              <w:left w:val="single" w:sz="6" w:space="0" w:color="000000"/>
              <w:right w:val="single" w:sz="6" w:space="0" w:color="000000"/>
            </w:tcBorders>
          </w:tcPr>
          <w:p>
            <w:pPr>
              <w:pStyle w:val="TableParagraph"/>
              <w:spacing w:before="119"/>
              <w:ind w:left="230"/>
              <w:rPr>
                <w:b/>
                <w:i/>
                <w:sz w:val="20"/>
              </w:rPr>
            </w:pPr>
            <w:r>
              <w:rPr>
                <w:b/>
                <w:i/>
                <w:color w:val="FF0000"/>
                <w:sz w:val="20"/>
              </w:rPr>
              <w:t>endpoint</w:t>
            </w:r>
          </w:p>
        </w:tc>
        <w:tc>
          <w:tcPr>
            <w:tcW w:w="1200" w:type="dxa"/>
            <w:tcBorders>
              <w:top w:val="single" w:sz="6" w:space="0" w:color="000000"/>
              <w:left w:val="single" w:sz="6" w:space="0" w:color="000000"/>
              <w:right w:val="single" w:sz="6" w:space="0" w:color="000000"/>
            </w:tcBorders>
          </w:tcPr>
          <w:p>
            <w:pPr>
              <w:pStyle w:val="TableParagraph"/>
              <w:spacing w:before="119"/>
              <w:ind w:left="105"/>
              <w:rPr>
                <w:b/>
                <w:sz w:val="20"/>
              </w:rPr>
            </w:pPr>
            <w:r>
              <w:rPr>
                <w:b/>
                <w:sz w:val="20"/>
              </w:rPr>
              <w:t>% Affected</w:t>
            </w:r>
          </w:p>
        </w:tc>
        <w:tc>
          <w:tcPr>
            <w:tcW w:w="1200" w:type="dxa"/>
            <w:tcBorders>
              <w:top w:val="single" w:sz="6" w:space="0" w:color="000000"/>
              <w:left w:val="single" w:sz="6" w:space="0" w:color="000000"/>
              <w:right w:val="single" w:sz="6" w:space="0" w:color="000000"/>
            </w:tcBorders>
          </w:tcPr>
          <w:p>
            <w:pPr>
              <w:pStyle w:val="TableParagraph"/>
              <w:spacing w:before="119"/>
              <w:ind w:left="230"/>
              <w:rPr>
                <w:b/>
                <w:i/>
                <w:sz w:val="20"/>
              </w:rPr>
            </w:pPr>
            <w:r>
              <w:rPr>
                <w:b/>
                <w:i/>
                <w:color w:val="FF0000"/>
                <w:sz w:val="20"/>
              </w:rPr>
              <w:t>endpoint</w:t>
            </w:r>
          </w:p>
        </w:tc>
        <w:tc>
          <w:tcPr>
            <w:tcW w:w="1200" w:type="dxa"/>
            <w:tcBorders>
              <w:top w:val="single" w:sz="6" w:space="0" w:color="000000"/>
              <w:left w:val="single" w:sz="6" w:space="0" w:color="000000"/>
            </w:tcBorders>
          </w:tcPr>
          <w:p>
            <w:pPr>
              <w:pStyle w:val="TableParagraph"/>
              <w:spacing w:before="119"/>
              <w:ind w:left="105"/>
              <w:rPr>
                <w:b/>
                <w:sz w:val="20"/>
              </w:rPr>
            </w:pPr>
            <w:r>
              <w:rPr>
                <w:b/>
                <w:sz w:val="20"/>
              </w:rPr>
              <w:t>% Affected</w:t>
            </w:r>
          </w:p>
        </w:tc>
      </w:tr>
      <w:tr>
        <w:trPr>
          <w:trHeight w:val="985" w:hRule="exact"/>
        </w:trPr>
        <w:tc>
          <w:tcPr>
            <w:tcW w:w="2160" w:type="dxa"/>
            <w:gridSpan w:val="2"/>
            <w:tcBorders>
              <w:bottom w:val="single" w:sz="6" w:space="0" w:color="000000"/>
              <w:right w:val="single" w:sz="6" w:space="0" w:color="000000"/>
            </w:tcBorders>
          </w:tcPr>
          <w:p>
            <w:pPr>
              <w:pStyle w:val="TableParagraph"/>
              <w:ind w:left="43"/>
              <w:rPr>
                <w:sz w:val="20"/>
              </w:rPr>
            </w:pPr>
            <w:r>
              <w:rPr>
                <w:sz w:val="20"/>
              </w:rPr>
              <w:t>Negative control</w:t>
            </w:r>
          </w:p>
        </w:tc>
        <w:tc>
          <w:tcPr>
            <w:tcW w:w="1200" w:type="dxa"/>
            <w:tcBorders>
              <w:left w:val="single" w:sz="6" w:space="0" w:color="000000"/>
              <w:bottom w:val="single" w:sz="6" w:space="0" w:color="000000"/>
              <w:right w:val="single" w:sz="6" w:space="0" w:color="000000"/>
            </w:tcBorders>
          </w:tcPr>
          <w:p>
            <w:pPr/>
          </w:p>
        </w:tc>
        <w:tc>
          <w:tcPr>
            <w:tcW w:w="1200" w:type="dxa"/>
            <w:tcBorders>
              <w:left w:val="single" w:sz="6" w:space="0" w:color="000000"/>
              <w:bottom w:val="single" w:sz="6" w:space="0" w:color="000000"/>
              <w:right w:val="single" w:sz="6" w:space="0" w:color="000000"/>
            </w:tcBorders>
          </w:tcPr>
          <w:p>
            <w:pPr/>
          </w:p>
        </w:tc>
        <w:tc>
          <w:tcPr>
            <w:tcW w:w="1200" w:type="dxa"/>
            <w:tcBorders>
              <w:left w:val="single" w:sz="6" w:space="0" w:color="000000"/>
              <w:bottom w:val="single" w:sz="6" w:space="0" w:color="000000"/>
              <w:right w:val="single" w:sz="6" w:space="0" w:color="000000"/>
            </w:tcBorders>
          </w:tcPr>
          <w:p>
            <w:pPr/>
          </w:p>
        </w:tc>
        <w:tc>
          <w:tcPr>
            <w:tcW w:w="1200" w:type="dxa"/>
            <w:tcBorders>
              <w:left w:val="single" w:sz="6" w:space="0" w:color="000000"/>
              <w:bottom w:val="single" w:sz="6" w:space="0" w:color="000000"/>
              <w:right w:val="single" w:sz="6" w:space="0" w:color="000000"/>
            </w:tcBorders>
          </w:tcPr>
          <w:p>
            <w:pPr/>
          </w:p>
        </w:tc>
        <w:tc>
          <w:tcPr>
            <w:tcW w:w="1200" w:type="dxa"/>
            <w:tcBorders>
              <w:left w:val="single" w:sz="6" w:space="0" w:color="000000"/>
              <w:bottom w:val="single" w:sz="6" w:space="0" w:color="000000"/>
              <w:right w:val="single" w:sz="6" w:space="0" w:color="000000"/>
            </w:tcBorders>
          </w:tcPr>
          <w:p>
            <w:pPr/>
          </w:p>
        </w:tc>
        <w:tc>
          <w:tcPr>
            <w:tcW w:w="1200" w:type="dxa"/>
            <w:tcBorders>
              <w:left w:val="single" w:sz="6" w:space="0" w:color="000000"/>
              <w:bottom w:val="single" w:sz="6" w:space="0" w:color="000000"/>
            </w:tcBorders>
          </w:tcPr>
          <w:p>
            <w:pPr/>
          </w:p>
        </w:tc>
      </w:tr>
      <w:tr>
        <w:trPr>
          <w:trHeight w:val="978" w:hRule="exact"/>
        </w:trPr>
        <w:tc>
          <w:tcPr>
            <w:tcW w:w="2160" w:type="dxa"/>
            <w:gridSpan w:val="2"/>
            <w:tcBorders>
              <w:top w:val="single" w:sz="6" w:space="0" w:color="000000"/>
              <w:bottom w:val="single" w:sz="6" w:space="0" w:color="000000"/>
              <w:right w:val="single" w:sz="6" w:space="0" w:color="000000"/>
            </w:tcBorders>
          </w:tcPr>
          <w:p>
            <w:pPr>
              <w:pStyle w:val="TableParagraph"/>
              <w:ind w:left="43"/>
              <w:rPr>
                <w:i/>
                <w:sz w:val="20"/>
              </w:rPr>
            </w:pPr>
            <w:r>
              <w:rPr>
                <w:i/>
                <w:color w:val="FF0000"/>
                <w:sz w:val="20"/>
              </w:rPr>
              <w:t>Solvent control, if used</w:t>
            </w: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tcBorders>
          </w:tcPr>
          <w:p>
            <w:pPr/>
          </w:p>
        </w:tc>
      </w:tr>
      <w:tr>
        <w:trPr>
          <w:trHeight w:val="654" w:hRule="exact"/>
        </w:trPr>
        <w:tc>
          <w:tcPr>
            <w:tcW w:w="2160" w:type="dxa"/>
            <w:gridSpan w:val="2"/>
            <w:tcBorders>
              <w:top w:val="single" w:sz="6" w:space="0" w:color="000000"/>
              <w:bottom w:val="single" w:sz="6" w:space="0" w:color="000000"/>
              <w:right w:val="single" w:sz="6" w:space="0" w:color="000000"/>
            </w:tcBorders>
          </w:tcPr>
          <w:p>
            <w:pPr>
              <w:pStyle w:val="TableParagraph"/>
              <w:ind w:left="43" w:right="814"/>
              <w:rPr>
                <w:i/>
                <w:sz w:val="20"/>
              </w:rPr>
            </w:pPr>
            <w:r>
              <w:rPr>
                <w:i/>
                <w:color w:val="FF0000"/>
                <w:sz w:val="20"/>
              </w:rPr>
              <w:t>measured test </w:t>
            </w:r>
            <w:r>
              <w:rPr>
                <w:i/>
                <w:color w:val="FF0000"/>
                <w:sz w:val="20"/>
              </w:rPr>
              <w:t>concentration 1</w:t>
            </w: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tcBorders>
          </w:tcPr>
          <w:p>
            <w:pPr/>
          </w:p>
        </w:tc>
      </w:tr>
      <w:tr>
        <w:trPr>
          <w:trHeight w:val="653" w:hRule="exact"/>
        </w:trPr>
        <w:tc>
          <w:tcPr>
            <w:tcW w:w="2160" w:type="dxa"/>
            <w:gridSpan w:val="2"/>
            <w:tcBorders>
              <w:top w:val="single" w:sz="6" w:space="0" w:color="000000"/>
              <w:bottom w:val="single" w:sz="6" w:space="0" w:color="000000"/>
              <w:right w:val="single" w:sz="6" w:space="0" w:color="000000"/>
            </w:tcBorders>
          </w:tcPr>
          <w:p>
            <w:pPr>
              <w:pStyle w:val="TableParagraph"/>
              <w:spacing w:before="117"/>
              <w:ind w:left="43" w:right="814"/>
              <w:rPr>
                <w:i/>
                <w:sz w:val="20"/>
              </w:rPr>
            </w:pPr>
            <w:r>
              <w:rPr>
                <w:i/>
                <w:color w:val="FF0000"/>
                <w:sz w:val="20"/>
              </w:rPr>
              <w:t>measured test </w:t>
            </w:r>
            <w:r>
              <w:rPr>
                <w:i/>
                <w:color w:val="FF0000"/>
                <w:sz w:val="20"/>
              </w:rPr>
              <w:t>concentration 2</w:t>
            </w: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right w:val="single" w:sz="6" w:space="0" w:color="000000"/>
            </w:tcBorders>
          </w:tcPr>
          <w:p>
            <w:pPr/>
          </w:p>
        </w:tc>
        <w:tc>
          <w:tcPr>
            <w:tcW w:w="1200" w:type="dxa"/>
            <w:tcBorders>
              <w:top w:val="single" w:sz="6" w:space="0" w:color="000000"/>
              <w:left w:val="single" w:sz="6" w:space="0" w:color="000000"/>
              <w:bottom w:val="single" w:sz="6" w:space="0" w:color="000000"/>
            </w:tcBorders>
          </w:tcPr>
          <w:p>
            <w:pPr/>
          </w:p>
        </w:tc>
      </w:tr>
      <w:tr>
        <w:trPr>
          <w:trHeight w:val="660" w:hRule="exact"/>
        </w:trPr>
        <w:tc>
          <w:tcPr>
            <w:tcW w:w="2160" w:type="dxa"/>
            <w:gridSpan w:val="2"/>
            <w:tcBorders>
              <w:top w:val="single" w:sz="6" w:space="0" w:color="000000"/>
              <w:right w:val="single" w:sz="6" w:space="0" w:color="000000"/>
            </w:tcBorders>
          </w:tcPr>
          <w:p>
            <w:pPr>
              <w:pStyle w:val="TableParagraph"/>
              <w:spacing w:before="117"/>
              <w:ind w:left="43" w:right="814"/>
              <w:rPr>
                <w:i/>
                <w:sz w:val="20"/>
              </w:rPr>
            </w:pPr>
            <w:r>
              <w:rPr>
                <w:i/>
                <w:color w:val="FF0000"/>
                <w:sz w:val="20"/>
              </w:rPr>
              <w:t>measured test </w:t>
            </w:r>
            <w:r>
              <w:rPr>
                <w:i/>
                <w:color w:val="FF0000"/>
                <w:sz w:val="20"/>
              </w:rPr>
              <w:t>concentration n</w:t>
            </w:r>
          </w:p>
        </w:tc>
        <w:tc>
          <w:tcPr>
            <w:tcW w:w="1200" w:type="dxa"/>
            <w:tcBorders>
              <w:top w:val="single" w:sz="6" w:space="0" w:color="000000"/>
              <w:left w:val="single" w:sz="6" w:space="0" w:color="000000"/>
              <w:right w:val="single" w:sz="6" w:space="0" w:color="000000"/>
            </w:tcBorders>
          </w:tcPr>
          <w:p>
            <w:pPr/>
          </w:p>
        </w:tc>
        <w:tc>
          <w:tcPr>
            <w:tcW w:w="1200" w:type="dxa"/>
            <w:tcBorders>
              <w:top w:val="single" w:sz="6" w:space="0" w:color="000000"/>
              <w:left w:val="single" w:sz="6" w:space="0" w:color="000000"/>
              <w:right w:val="single" w:sz="6" w:space="0" w:color="000000"/>
            </w:tcBorders>
          </w:tcPr>
          <w:p>
            <w:pPr/>
          </w:p>
        </w:tc>
        <w:tc>
          <w:tcPr>
            <w:tcW w:w="1200" w:type="dxa"/>
            <w:tcBorders>
              <w:top w:val="single" w:sz="6" w:space="0" w:color="000000"/>
              <w:left w:val="single" w:sz="6" w:space="0" w:color="000000"/>
              <w:right w:val="single" w:sz="6" w:space="0" w:color="000000"/>
            </w:tcBorders>
          </w:tcPr>
          <w:p>
            <w:pPr/>
          </w:p>
        </w:tc>
        <w:tc>
          <w:tcPr>
            <w:tcW w:w="1200" w:type="dxa"/>
            <w:tcBorders>
              <w:top w:val="single" w:sz="6" w:space="0" w:color="000000"/>
              <w:left w:val="single" w:sz="6" w:space="0" w:color="000000"/>
              <w:right w:val="single" w:sz="6" w:space="0" w:color="000000"/>
            </w:tcBorders>
          </w:tcPr>
          <w:p>
            <w:pPr/>
          </w:p>
        </w:tc>
        <w:tc>
          <w:tcPr>
            <w:tcW w:w="1200" w:type="dxa"/>
            <w:tcBorders>
              <w:top w:val="single" w:sz="6" w:space="0" w:color="000000"/>
              <w:left w:val="single" w:sz="6" w:space="0" w:color="000000"/>
              <w:right w:val="single" w:sz="6" w:space="0" w:color="000000"/>
            </w:tcBorders>
          </w:tcPr>
          <w:p>
            <w:pPr/>
          </w:p>
        </w:tc>
        <w:tc>
          <w:tcPr>
            <w:tcW w:w="1200" w:type="dxa"/>
            <w:tcBorders>
              <w:top w:val="single" w:sz="6" w:space="0" w:color="000000"/>
              <w:left w:val="single" w:sz="6" w:space="0" w:color="000000"/>
            </w:tcBorders>
          </w:tcPr>
          <w:p>
            <w:pPr/>
          </w:p>
        </w:tc>
      </w:tr>
      <w:tr>
        <w:trPr>
          <w:trHeight w:val="860" w:hRule="exact"/>
        </w:trPr>
        <w:tc>
          <w:tcPr>
            <w:tcW w:w="2160" w:type="dxa"/>
            <w:gridSpan w:val="2"/>
            <w:tcBorders>
              <w:right w:val="single" w:sz="6" w:space="0" w:color="000000"/>
            </w:tcBorders>
          </w:tcPr>
          <w:p>
            <w:pPr>
              <w:pStyle w:val="TableParagraph"/>
              <w:spacing w:line="230" w:lineRule="exact" w:before="105"/>
              <w:ind w:left="43" w:right="150"/>
              <w:rPr>
                <w:i/>
                <w:sz w:val="20"/>
              </w:rPr>
            </w:pPr>
            <w:r>
              <w:rPr>
                <w:i/>
                <w:color w:val="FF0000"/>
                <w:sz w:val="20"/>
              </w:rPr>
              <w:t>EC</w:t>
            </w:r>
            <w:r>
              <w:rPr>
                <w:i/>
                <w:color w:val="FF0000"/>
                <w:position w:val="-1"/>
                <w:sz w:val="13"/>
              </w:rPr>
              <w:t>50</w:t>
            </w:r>
            <w:r>
              <w:rPr>
                <w:i/>
                <w:color w:val="FF0000"/>
                <w:sz w:val="20"/>
              </w:rPr>
              <w:t>/ or other sublethal </w:t>
            </w:r>
            <w:r>
              <w:rPr>
                <w:i/>
                <w:color w:val="FF0000"/>
                <w:sz w:val="20"/>
              </w:rPr>
              <w:t>endpoint</w:t>
            </w:r>
          </w:p>
          <w:p>
            <w:pPr>
              <w:pStyle w:val="TableParagraph"/>
              <w:spacing w:line="203" w:lineRule="exact" w:before="0"/>
              <w:ind w:left="43"/>
              <w:rPr>
                <w:i/>
                <w:sz w:val="18"/>
              </w:rPr>
            </w:pPr>
            <w:r>
              <w:rPr>
                <w:i/>
                <w:color w:val="FF0000"/>
                <w:sz w:val="18"/>
              </w:rPr>
              <w:t>[insert [</w:t>
            </w:r>
            <w:r>
              <w:rPr>
                <w:b/>
                <w:color w:val="FF0000"/>
                <w:sz w:val="18"/>
              </w:rPr>
              <w:t>&gt;</w:t>
            </w:r>
            <w:r>
              <w:rPr>
                <w:i/>
                <w:color w:val="FF0000"/>
                <w:sz w:val="18"/>
              </w:rPr>
              <w:t>] if greater than]</w:t>
            </w:r>
          </w:p>
        </w:tc>
        <w:tc>
          <w:tcPr>
            <w:tcW w:w="1200" w:type="dxa"/>
            <w:tcBorders>
              <w:left w:val="single" w:sz="6" w:space="0" w:color="000000"/>
              <w:right w:val="single" w:sz="6" w:space="0" w:color="000000"/>
            </w:tcBorders>
          </w:tcPr>
          <w:p>
            <w:pPr/>
          </w:p>
        </w:tc>
        <w:tc>
          <w:tcPr>
            <w:tcW w:w="1200" w:type="dxa"/>
            <w:tcBorders>
              <w:left w:val="single" w:sz="6" w:space="0" w:color="000000"/>
              <w:right w:val="single" w:sz="6" w:space="0" w:color="000000"/>
            </w:tcBorders>
          </w:tcPr>
          <w:p>
            <w:pPr/>
          </w:p>
        </w:tc>
        <w:tc>
          <w:tcPr>
            <w:tcW w:w="1200" w:type="dxa"/>
            <w:tcBorders>
              <w:left w:val="single" w:sz="6" w:space="0" w:color="000000"/>
              <w:right w:val="single" w:sz="6" w:space="0" w:color="000000"/>
            </w:tcBorders>
          </w:tcPr>
          <w:p>
            <w:pPr/>
          </w:p>
        </w:tc>
        <w:tc>
          <w:tcPr>
            <w:tcW w:w="1200" w:type="dxa"/>
            <w:tcBorders>
              <w:left w:val="single" w:sz="6" w:space="0" w:color="000000"/>
              <w:right w:val="single" w:sz="6" w:space="0" w:color="000000"/>
            </w:tcBorders>
          </w:tcPr>
          <w:p>
            <w:pPr/>
          </w:p>
        </w:tc>
        <w:tc>
          <w:tcPr>
            <w:tcW w:w="1200" w:type="dxa"/>
            <w:tcBorders>
              <w:left w:val="single" w:sz="6" w:space="0" w:color="000000"/>
              <w:right w:val="single" w:sz="6" w:space="0" w:color="000000"/>
            </w:tcBorders>
          </w:tcPr>
          <w:p>
            <w:pPr/>
          </w:p>
        </w:tc>
        <w:tc>
          <w:tcPr>
            <w:tcW w:w="1200" w:type="dxa"/>
            <w:tcBorders>
              <w:left w:val="single" w:sz="6" w:space="0" w:color="000000"/>
            </w:tcBorders>
          </w:tcPr>
          <w:p>
            <w:pPr/>
          </w:p>
        </w:tc>
      </w:tr>
      <w:tr>
        <w:trPr>
          <w:trHeight w:val="644" w:hRule="exact"/>
        </w:trPr>
        <w:tc>
          <w:tcPr>
            <w:tcW w:w="2160" w:type="dxa"/>
            <w:gridSpan w:val="2"/>
            <w:tcBorders>
              <w:right w:val="single" w:sz="6" w:space="0" w:color="000000"/>
            </w:tcBorders>
          </w:tcPr>
          <w:p>
            <w:pPr>
              <w:pStyle w:val="TableParagraph"/>
              <w:spacing w:line="229" w:lineRule="exact"/>
              <w:ind w:left="43"/>
              <w:rPr>
                <w:i/>
                <w:sz w:val="20"/>
              </w:rPr>
            </w:pPr>
            <w:r>
              <w:rPr>
                <w:i/>
                <w:color w:val="FF0000"/>
                <w:sz w:val="20"/>
              </w:rPr>
              <w:t>NOEC</w:t>
            </w:r>
          </w:p>
          <w:p>
            <w:pPr>
              <w:pStyle w:val="TableParagraph"/>
              <w:spacing w:line="206" w:lineRule="exact" w:before="0"/>
              <w:ind w:left="43"/>
              <w:rPr>
                <w:i/>
                <w:sz w:val="18"/>
              </w:rPr>
            </w:pPr>
            <w:r>
              <w:rPr>
                <w:i/>
                <w:color w:val="FF0000"/>
                <w:sz w:val="18"/>
              </w:rPr>
              <w:t>[insert [</w:t>
            </w:r>
            <w:r>
              <w:rPr>
                <w:b/>
                <w:color w:val="FF0000"/>
                <w:sz w:val="18"/>
              </w:rPr>
              <w:t>&gt;</w:t>
            </w:r>
            <w:r>
              <w:rPr>
                <w:i/>
                <w:color w:val="FF0000"/>
                <w:sz w:val="18"/>
              </w:rPr>
              <w:t>] if greater than]</w:t>
            </w:r>
          </w:p>
        </w:tc>
        <w:tc>
          <w:tcPr>
            <w:tcW w:w="7200" w:type="dxa"/>
            <w:gridSpan w:val="6"/>
            <w:tcBorders>
              <w:left w:val="single" w:sz="6" w:space="0" w:color="000000"/>
            </w:tcBorders>
          </w:tcPr>
          <w:p>
            <w:pPr/>
          </w:p>
        </w:tc>
      </w:tr>
      <w:tr>
        <w:trPr>
          <w:trHeight w:val="890" w:hRule="exact"/>
        </w:trPr>
        <w:tc>
          <w:tcPr>
            <w:tcW w:w="1170" w:type="dxa"/>
            <w:vMerge w:val="restart"/>
            <w:tcBorders>
              <w:right w:val="single" w:sz="6" w:space="0" w:color="000000"/>
            </w:tcBorders>
          </w:tcPr>
          <w:p>
            <w:pPr>
              <w:pStyle w:val="TableParagraph"/>
              <w:ind w:left="43" w:right="286"/>
              <w:rPr>
                <w:i/>
                <w:sz w:val="20"/>
              </w:rPr>
            </w:pPr>
            <w:r>
              <w:rPr>
                <w:i/>
                <w:color w:val="FF0000"/>
                <w:sz w:val="20"/>
              </w:rPr>
              <w:t>Reference </w:t>
            </w:r>
            <w:r>
              <w:rPr>
                <w:i/>
                <w:color w:val="FF0000"/>
                <w:sz w:val="20"/>
              </w:rPr>
              <w:t>chemical (if used)</w:t>
            </w:r>
          </w:p>
        </w:tc>
        <w:tc>
          <w:tcPr>
            <w:tcW w:w="990" w:type="dxa"/>
            <w:tcBorders>
              <w:left w:val="single" w:sz="6" w:space="0" w:color="000000"/>
              <w:bottom w:val="single" w:sz="6" w:space="0" w:color="000000"/>
              <w:right w:val="single" w:sz="6" w:space="0" w:color="000000"/>
            </w:tcBorders>
          </w:tcPr>
          <w:p>
            <w:pPr>
              <w:pStyle w:val="TableParagraph"/>
              <w:spacing w:line="235" w:lineRule="auto" w:before="122"/>
              <w:ind w:left="50" w:right="470"/>
              <w:jc w:val="both"/>
              <w:rPr>
                <w:i/>
                <w:sz w:val="20"/>
              </w:rPr>
            </w:pPr>
            <w:r>
              <w:rPr>
                <w:i/>
                <w:color w:val="FF0000"/>
                <w:sz w:val="20"/>
              </w:rPr>
              <w:t>LD</w:t>
            </w:r>
            <w:r>
              <w:rPr>
                <w:i/>
                <w:color w:val="FF0000"/>
                <w:position w:val="-1"/>
                <w:sz w:val="13"/>
              </w:rPr>
              <w:t>50</w:t>
            </w:r>
            <w:r>
              <w:rPr>
                <w:i/>
                <w:color w:val="FF0000"/>
                <w:sz w:val="20"/>
              </w:rPr>
              <w:t>: </w:t>
            </w:r>
            <w:r>
              <w:rPr>
                <w:i/>
                <w:color w:val="FF0000"/>
                <w:sz w:val="20"/>
              </w:rPr>
              <w:t>LC</w:t>
            </w:r>
            <w:r>
              <w:rPr>
                <w:i/>
                <w:color w:val="FF0000"/>
                <w:position w:val="-1"/>
                <w:sz w:val="13"/>
              </w:rPr>
              <w:t>50</w:t>
            </w:r>
            <w:r>
              <w:rPr>
                <w:i/>
                <w:color w:val="FF0000"/>
                <w:sz w:val="20"/>
              </w:rPr>
              <w:t>: LT</w:t>
            </w:r>
            <w:r>
              <w:rPr>
                <w:i/>
                <w:color w:val="FF0000"/>
                <w:position w:val="-1"/>
                <w:sz w:val="13"/>
              </w:rPr>
              <w:t>50</w:t>
            </w:r>
            <w:r>
              <w:rPr>
                <w:i/>
                <w:color w:val="FF0000"/>
                <w:sz w:val="20"/>
              </w:rPr>
              <w:t>:</w:t>
            </w:r>
          </w:p>
        </w:tc>
        <w:tc>
          <w:tcPr>
            <w:tcW w:w="7200" w:type="dxa"/>
            <w:gridSpan w:val="6"/>
            <w:tcBorders>
              <w:left w:val="single" w:sz="6" w:space="0" w:color="000000"/>
              <w:bottom w:val="single" w:sz="6" w:space="0" w:color="000000"/>
            </w:tcBorders>
          </w:tcPr>
          <w:p>
            <w:pPr>
              <w:pStyle w:val="TableParagraph"/>
              <w:spacing w:before="116"/>
              <w:ind w:left="50"/>
              <w:rPr>
                <w:i/>
                <w:sz w:val="18"/>
              </w:rPr>
            </w:pPr>
            <w:r>
              <w:rPr>
                <w:i/>
                <w:color w:val="FF0000"/>
                <w:sz w:val="18"/>
              </w:rPr>
              <w:t>[insert [</w:t>
            </w:r>
            <w:r>
              <w:rPr>
                <w:b/>
                <w:color w:val="FF0000"/>
                <w:sz w:val="18"/>
              </w:rPr>
              <w:t>&gt;</w:t>
            </w:r>
            <w:r>
              <w:rPr>
                <w:i/>
                <w:color w:val="FF0000"/>
                <w:sz w:val="18"/>
              </w:rPr>
              <w:t>] if greater than]</w:t>
            </w:r>
          </w:p>
        </w:tc>
      </w:tr>
      <w:tr>
        <w:trPr>
          <w:trHeight w:val="661" w:hRule="exact"/>
        </w:trPr>
        <w:tc>
          <w:tcPr>
            <w:tcW w:w="1170" w:type="dxa"/>
            <w:vMerge/>
            <w:tcBorders>
              <w:right w:val="single" w:sz="6" w:space="0" w:color="000000"/>
            </w:tcBorders>
          </w:tcPr>
          <w:p>
            <w:pPr/>
          </w:p>
        </w:tc>
        <w:tc>
          <w:tcPr>
            <w:tcW w:w="990" w:type="dxa"/>
            <w:tcBorders>
              <w:top w:val="single" w:sz="6" w:space="0" w:color="000000"/>
              <w:left w:val="single" w:sz="6" w:space="0" w:color="000000"/>
              <w:right w:val="single" w:sz="6" w:space="0" w:color="000000"/>
            </w:tcBorders>
          </w:tcPr>
          <w:p>
            <w:pPr>
              <w:pStyle w:val="TableParagraph"/>
              <w:ind w:left="50" w:right="338"/>
              <w:rPr>
                <w:i/>
                <w:sz w:val="20"/>
              </w:rPr>
            </w:pPr>
            <w:r>
              <w:rPr>
                <w:i/>
                <w:color w:val="FF0000"/>
                <w:sz w:val="20"/>
              </w:rPr>
              <w:t>NOEL/ </w:t>
            </w:r>
            <w:r>
              <w:rPr>
                <w:i/>
                <w:color w:val="FF0000"/>
                <w:sz w:val="20"/>
              </w:rPr>
              <w:t>NOEC</w:t>
            </w:r>
          </w:p>
        </w:tc>
        <w:tc>
          <w:tcPr>
            <w:tcW w:w="7200" w:type="dxa"/>
            <w:gridSpan w:val="6"/>
            <w:tcBorders>
              <w:top w:val="single" w:sz="6" w:space="0" w:color="000000"/>
              <w:left w:val="single" w:sz="6" w:space="0" w:color="000000"/>
            </w:tcBorders>
          </w:tcPr>
          <w:p>
            <w:pPr>
              <w:pStyle w:val="TableParagraph"/>
              <w:spacing w:before="116"/>
              <w:ind w:left="50"/>
              <w:rPr>
                <w:i/>
                <w:sz w:val="18"/>
              </w:rPr>
            </w:pPr>
            <w:r>
              <w:rPr>
                <w:i/>
                <w:color w:val="FF0000"/>
                <w:sz w:val="18"/>
              </w:rPr>
              <w:t>[insert [</w:t>
            </w:r>
            <w:r>
              <w:rPr>
                <w:b/>
                <w:color w:val="FF0000"/>
                <w:sz w:val="18"/>
              </w:rPr>
              <w:t>&gt;</w:t>
            </w:r>
            <w:r>
              <w:rPr>
                <w:i/>
                <w:color w:val="FF0000"/>
                <w:sz w:val="18"/>
              </w:rPr>
              <w:t>] if greater than]</w:t>
            </w:r>
          </w:p>
        </w:tc>
      </w:tr>
    </w:tbl>
    <w:p>
      <w:pPr>
        <w:pStyle w:val="Heading6"/>
      </w:pPr>
      <w:r>
        <w:rPr>
          <w:i/>
          <w:color w:val="FF0000"/>
        </w:rPr>
        <w:t>[Modify table as appropriate to accommodate differences in experimental design. Alternatively generate one table per </w:t>
      </w:r>
      <w:r>
        <w:rPr>
          <w:color w:val="FF0000"/>
        </w:rPr>
        <w:t>endpoint/sublethal effect, if appropriate.]</w:t>
      </w:r>
    </w:p>
    <w:p>
      <w:pPr>
        <w:spacing w:line="230" w:lineRule="exact" w:before="0"/>
        <w:ind w:left="140" w:right="0" w:firstLine="0"/>
        <w:jc w:val="left"/>
        <w:rPr>
          <w:i/>
          <w:sz w:val="20"/>
        </w:rPr>
      </w:pPr>
      <w:r>
        <w:rPr>
          <w:i/>
          <w:color w:val="FF0000"/>
          <w:sz w:val="20"/>
        </w:rPr>
        <w:t>[</w:t>
      </w:r>
      <w:r>
        <w:rPr>
          <w:i/>
          <w:color w:val="FF0000"/>
          <w:position w:val="7"/>
          <w:sz w:val="13"/>
        </w:rPr>
        <w:t>a </w:t>
      </w:r>
      <w:r>
        <w:rPr>
          <w:i/>
          <w:color w:val="FF0000"/>
          <w:sz w:val="20"/>
        </w:rPr>
        <w:t>Use superscript and footnote to indicate values that are statistically significantly different from control.]</w:t>
      </w:r>
    </w:p>
    <w:p>
      <w:pPr>
        <w:pStyle w:val="BodyText"/>
        <w:spacing w:before="1"/>
        <w:rPr>
          <w:i/>
          <w:sz w:val="22"/>
        </w:rPr>
      </w:pPr>
    </w:p>
    <w:p>
      <w:pPr>
        <w:pStyle w:val="ListParagraph"/>
        <w:numPr>
          <w:ilvl w:val="0"/>
          <w:numId w:val="4"/>
        </w:numPr>
        <w:tabs>
          <w:tab w:pos="859" w:val="left" w:leader="none"/>
          <w:tab w:pos="861" w:val="left" w:leader="none"/>
          <w:tab w:pos="3739" w:val="left" w:leader="none"/>
        </w:tabs>
        <w:spacing w:line="240" w:lineRule="auto" w:before="0" w:after="0"/>
        <w:ind w:left="860" w:right="240" w:hanging="720"/>
        <w:jc w:val="left"/>
        <w:rPr>
          <w:i/>
          <w:sz w:val="22"/>
          <w:u w:val="none"/>
        </w:rPr>
      </w:pPr>
      <w:r>
        <w:rPr>
          <w:b/>
          <w:sz w:val="22"/>
          <w:u w:val="thick"/>
        </w:rPr>
        <w:t>REPORTED</w:t>
      </w:r>
      <w:r>
        <w:rPr>
          <w:b/>
          <w:spacing w:val="-3"/>
          <w:sz w:val="22"/>
          <w:u w:val="thick"/>
        </w:rPr>
        <w:t> </w:t>
      </w:r>
      <w:r>
        <w:rPr>
          <w:b/>
          <w:sz w:val="22"/>
          <w:u w:val="thick"/>
        </w:rPr>
        <w:t>STATISTICS</w:t>
      </w:r>
      <w:r>
        <w:rPr>
          <w:b/>
          <w:sz w:val="22"/>
          <w:u w:val="none"/>
        </w:rPr>
        <w:t>:</w:t>
        <w:tab/>
      </w:r>
      <w:r>
        <w:rPr>
          <w:i/>
          <w:color w:val="FF0000"/>
          <w:sz w:val="22"/>
          <w:u w:val="none"/>
        </w:rPr>
        <w:t>[If applicable- List the parameters that were analyzed and</w:t>
      </w:r>
      <w:r>
        <w:rPr>
          <w:i/>
          <w:color w:val="FF0000"/>
          <w:spacing w:val="-32"/>
          <w:sz w:val="22"/>
          <w:u w:val="none"/>
        </w:rPr>
        <w:t> </w:t>
      </w:r>
      <w:r>
        <w:rPr>
          <w:i/>
          <w:color w:val="FF0000"/>
          <w:sz w:val="22"/>
          <w:u w:val="none"/>
        </w:rPr>
        <w:t>the</w:t>
      </w:r>
      <w:r>
        <w:rPr>
          <w:i/>
          <w:color w:val="FF0000"/>
          <w:spacing w:val="-5"/>
          <w:sz w:val="22"/>
          <w:u w:val="none"/>
        </w:rPr>
        <w:t> </w:t>
      </w:r>
      <w:r>
        <w:rPr>
          <w:i/>
          <w:color w:val="FF0000"/>
          <w:sz w:val="22"/>
          <w:u w:val="none"/>
        </w:rPr>
        <w:t>statistical</w:t>
      </w:r>
      <w:r>
        <w:rPr>
          <w:i/>
          <w:color w:val="FF0000"/>
          <w:w w:val="99"/>
          <w:sz w:val="22"/>
          <w:u w:val="none"/>
        </w:rPr>
        <w:t> </w:t>
      </w:r>
      <w:r>
        <w:rPr>
          <w:i/>
          <w:color w:val="FF0000"/>
          <w:sz w:val="22"/>
          <w:u w:val="none"/>
        </w:rPr>
        <w:t>tests that were</w:t>
      </w:r>
      <w:r>
        <w:rPr>
          <w:i/>
          <w:color w:val="FF0000"/>
          <w:spacing w:val="-15"/>
          <w:sz w:val="22"/>
          <w:u w:val="none"/>
        </w:rPr>
        <w:t> </w:t>
      </w:r>
      <w:r>
        <w:rPr>
          <w:i/>
          <w:color w:val="FF0000"/>
          <w:sz w:val="22"/>
          <w:u w:val="none"/>
        </w:rPr>
        <w:t>performed.</w:t>
      </w:r>
    </w:p>
    <w:p>
      <w:pPr>
        <w:spacing w:after="0" w:line="240" w:lineRule="auto"/>
        <w:jc w:val="left"/>
        <w:rPr>
          <w:sz w:val="22"/>
        </w:rPr>
        <w:sectPr>
          <w:pgSz w:w="12240" w:h="15840"/>
          <w:pgMar w:header="729" w:footer="796" w:top="1880" w:bottom="980" w:left="940" w:right="940"/>
        </w:sectPr>
      </w:pPr>
    </w:p>
    <w:p>
      <w:pPr>
        <w:pStyle w:val="BodyText"/>
        <w:spacing w:before="6"/>
        <w:rPr>
          <w:i/>
          <w:sz w:val="25"/>
        </w:rPr>
      </w:pPr>
    </w:p>
    <w:p>
      <w:pPr>
        <w:pStyle w:val="BodyText"/>
        <w:spacing w:before="93"/>
        <w:ind w:left="860" w:right="213"/>
      </w:pPr>
      <w:r>
        <w:rPr>
          <w:b/>
          <w:i/>
          <w:color w:val="0070C0"/>
        </w:rPr>
        <w:t>U.S. EPA OCSPP 885.4340 </w:t>
      </w:r>
      <w:r>
        <w:rPr>
          <w:i/>
          <w:color w:val="0070C0"/>
        </w:rPr>
        <w:t>No specific statistical recommendations. From </w:t>
      </w:r>
      <w:r>
        <w:rPr>
          <w:b/>
          <w:i/>
          <w:color w:val="0070C0"/>
        </w:rPr>
        <w:t>U.S. EPA OCSPP 885.0001- </w:t>
      </w:r>
      <w:r>
        <w:rPr>
          <w:i/>
          <w:color w:val="0070C0"/>
        </w:rPr>
        <w:t>Appropriate statistical methods are to </w:t>
      </w:r>
      <w:r>
        <w:rPr>
          <w:color w:val="0070C0"/>
        </w:rPr>
        <w:t>be used to summarize experimental data, to express trends, and to evaluate the significance of differences in data obtained from different test group and methods used shall reflect the current state-of-the art. All data averages or means must be accompanied by standard deviations and the standard errors of the means should also be calculated; however, notations of statistically significant differences accompanied by the confidence level or probability should also be used in place of standard error determinations. Other methods of expressing data dispersion may also be used when appropriate.</w:t>
      </w:r>
    </w:p>
    <w:p>
      <w:pPr>
        <w:pStyle w:val="BodyText"/>
        <w:ind w:left="860" w:right="213" w:hanging="1"/>
      </w:pPr>
      <w:r>
        <w:rPr>
          <w:b/>
          <w:i/>
          <w:color w:val="0070C0"/>
        </w:rPr>
        <w:t>PMRA DIR 2001-02   </w:t>
      </w:r>
      <w:r>
        <w:rPr>
          <w:i/>
          <w:color w:val="0070C0"/>
        </w:rPr>
        <w:t>All relevant analyses of results must be provided. NOTE: May attach a copy of the statistical methods from the study with </w:t>
      </w:r>
      <w:r>
        <w:rPr>
          <w:color w:val="0070C0"/>
        </w:rPr>
        <w:t>a statement that the reviewer has no objections to the analyses used.</w:t>
      </w:r>
    </w:p>
    <w:p>
      <w:pPr>
        <w:pStyle w:val="BodyText"/>
        <w:spacing w:before="1"/>
        <w:ind w:left="860" w:right="150"/>
      </w:pPr>
      <w:r>
        <w:rPr>
          <w:b/>
          <w:i/>
          <w:color w:val="0070C0"/>
        </w:rPr>
        <w:t>Environment Canada EPS 1/RM/44   </w:t>
      </w:r>
      <w:r>
        <w:rPr>
          <w:i/>
          <w:color w:val="0070C0"/>
        </w:rPr>
        <w:t>Single concentration test: percent survival of the first-generation adults on Day 28, mean (± SD) number </w:t>
      </w:r>
      <w:r>
        <w:rPr>
          <w:color w:val="0070C0"/>
        </w:rPr>
        <w:t>of second-generation juveniles on Day 28, comparing MHC to controls.  Multi-concentration test: percent survival of the first-generation adults on Day 28, mean (± SD) number of second-generation juveniles on Day 28, comparing each test chamber and treatment. Data permitting, 28-day LC</w:t>
      </w:r>
      <w:r>
        <w:rPr>
          <w:color w:val="0070C0"/>
          <w:position w:val="-1"/>
          <w:sz w:val="10"/>
        </w:rPr>
        <w:t>50 </w:t>
      </w:r>
      <w:r>
        <w:rPr>
          <w:color w:val="0070C0"/>
        </w:rPr>
        <w:t>for adults, and 28-day IC</w:t>
      </w:r>
      <w:r>
        <w:rPr>
          <w:color w:val="0070C0"/>
          <w:position w:val="-1"/>
          <w:sz w:val="10"/>
        </w:rPr>
        <w:t>25 </w:t>
      </w:r>
      <w:r>
        <w:rPr>
          <w:color w:val="0070C0"/>
        </w:rPr>
        <w:t>for number of juveniles generated, NOEC/LOEC.</w:t>
      </w:r>
    </w:p>
    <w:p>
      <w:pPr>
        <w:pStyle w:val="Heading7"/>
        <w:spacing w:line="178" w:lineRule="exact" w:before="0"/>
        <w:ind w:right="4327"/>
        <w:jc w:val="center"/>
        <w:rPr>
          <w:i/>
        </w:rPr>
      </w:pPr>
      <w:r>
        <w:rPr>
          <w:i/>
          <w:color w:val="0070C0"/>
          <w:u w:val="single" w:color="0070C0"/>
        </w:rPr>
        <w:t>Supplemental guidance for terrestrial non-arthropod invertebrates:</w:t>
      </w:r>
    </w:p>
    <w:p>
      <w:pPr>
        <w:pStyle w:val="BodyText"/>
        <w:spacing w:line="237" w:lineRule="auto"/>
        <w:ind w:left="859" w:right="184"/>
      </w:pPr>
      <w:r>
        <w:rPr>
          <w:b/>
          <w:i/>
          <w:color w:val="0070C0"/>
        </w:rPr>
        <w:t>Environment Canada EPS 1/RM/44 </w:t>
      </w:r>
      <w:r>
        <w:rPr>
          <w:i/>
          <w:color w:val="0070C0"/>
        </w:rPr>
        <w:t>Single concentration test: percent survival of adults on Day 28, percent of live adults showing atypical </w:t>
      </w:r>
      <w:r>
        <w:rPr>
          <w:color w:val="0070C0"/>
        </w:rPr>
        <w:t>appearance and/or behavior on Day 28; mean (± SD) number of live juveniles on Day 56, percent of live juveniles showing atypical appearance and/or behavior on Day 56, comparing MHC to controls. Multi-concentration test: percent survival of adults on Day 28, percent of live adults showing atypical appearance and/or behavior on Day 28; mean (± SD) number of live juveniles on Day 56, percent of live juveniles showing atypical appearance and/or behavior on Day 56, comparing each test chamber and treatment. Data permitting, 28-day LC</w:t>
      </w:r>
      <w:r>
        <w:rPr>
          <w:color w:val="0070C0"/>
          <w:position w:val="-1"/>
          <w:sz w:val="10"/>
        </w:rPr>
        <w:t>50 </w:t>
      </w:r>
      <w:r>
        <w:rPr>
          <w:color w:val="0070C0"/>
        </w:rPr>
        <w:t>for adults, 28-day EC</w:t>
      </w:r>
      <w:r>
        <w:rPr>
          <w:color w:val="0070C0"/>
          <w:position w:val="-1"/>
          <w:sz w:val="10"/>
        </w:rPr>
        <w:t>50 </w:t>
      </w:r>
      <w:r>
        <w:rPr>
          <w:color w:val="0070C0"/>
        </w:rPr>
        <w:t>for atypical appearance/behavior of adults, 56-day EC</w:t>
      </w:r>
      <w:r>
        <w:rPr>
          <w:color w:val="0070C0"/>
          <w:position w:val="-1"/>
          <w:sz w:val="10"/>
        </w:rPr>
        <w:t>50 </w:t>
      </w:r>
      <w:r>
        <w:rPr>
          <w:color w:val="0070C0"/>
        </w:rPr>
        <w:t>for atypical appearance/behavior of juveniles, 56-day IC</w:t>
      </w:r>
      <w:r>
        <w:rPr>
          <w:color w:val="0070C0"/>
          <w:position w:val="-1"/>
          <w:sz w:val="10"/>
        </w:rPr>
        <w:t>25 </w:t>
      </w:r>
      <w:r>
        <w:rPr>
          <w:color w:val="0070C0"/>
        </w:rPr>
        <w:t>for number of juveniles, 56-day IC</w:t>
      </w:r>
      <w:r>
        <w:rPr>
          <w:color w:val="0070C0"/>
          <w:position w:val="-1"/>
          <w:sz w:val="10"/>
        </w:rPr>
        <w:t>25 </w:t>
      </w:r>
      <w:r>
        <w:rPr>
          <w:color w:val="0070C0"/>
        </w:rPr>
        <w:t>for dry weight of juveniles.</w:t>
      </w:r>
    </w:p>
    <w:p>
      <w:pPr>
        <w:pStyle w:val="BodyText"/>
        <w:spacing w:line="184" w:lineRule="exact"/>
        <w:ind w:left="860"/>
        <w:rPr>
          <w:i/>
        </w:rPr>
      </w:pPr>
      <w:r>
        <w:rPr>
          <w:b/>
          <w:i/>
          <w:color w:val="0070C0"/>
        </w:rPr>
        <w:t>OECD 207  </w:t>
      </w:r>
      <w:r>
        <w:rPr>
          <w:i/>
          <w:color w:val="0070C0"/>
        </w:rPr>
        <w:t>Mortality/concentration data should be plotted on log probability graph paper and the LC</w:t>
      </w:r>
      <w:r>
        <w:rPr>
          <w:i/>
          <w:color w:val="0070C0"/>
          <w:position w:val="-1"/>
          <w:sz w:val="10"/>
        </w:rPr>
        <w:t>50 </w:t>
      </w:r>
      <w:r>
        <w:rPr>
          <w:i/>
          <w:color w:val="0070C0"/>
        </w:rPr>
        <w:t>and its confidence limits</w:t>
      </w:r>
    </w:p>
    <w:p>
      <w:pPr>
        <w:pStyle w:val="BodyText"/>
        <w:rPr>
          <w:i/>
          <w:sz w:val="18"/>
        </w:rPr>
      </w:pPr>
    </w:p>
    <w:p>
      <w:pPr>
        <w:pStyle w:val="BodyText"/>
        <w:spacing w:before="10"/>
        <w:rPr>
          <w:i/>
          <w:sz w:val="19"/>
        </w:rPr>
      </w:pPr>
    </w:p>
    <w:p>
      <w:pPr>
        <w:pStyle w:val="ListParagraph"/>
        <w:numPr>
          <w:ilvl w:val="0"/>
          <w:numId w:val="4"/>
        </w:numPr>
        <w:tabs>
          <w:tab w:pos="859" w:val="left" w:leader="none"/>
          <w:tab w:pos="861" w:val="left" w:leader="none"/>
          <w:tab w:pos="8060" w:val="left" w:leader="none"/>
        </w:tabs>
        <w:spacing w:line="254" w:lineRule="exact" w:before="0" w:after="0"/>
        <w:ind w:left="859" w:right="367" w:hanging="719"/>
        <w:jc w:val="left"/>
        <w:rPr>
          <w:i/>
          <w:sz w:val="22"/>
          <w:u w:val="none"/>
        </w:rPr>
      </w:pPr>
      <w:r>
        <w:rPr>
          <w:b/>
          <w:sz w:val="22"/>
          <w:u w:val="thick"/>
        </w:rPr>
        <w:t>VERIFICATION OF STATISTICAL RESULTS BY</w:t>
      </w:r>
      <w:r>
        <w:rPr>
          <w:b/>
          <w:spacing w:val="-19"/>
          <w:sz w:val="22"/>
          <w:u w:val="thick"/>
        </w:rPr>
        <w:t> </w:t>
      </w:r>
      <w:r>
        <w:rPr>
          <w:b/>
          <w:sz w:val="22"/>
          <w:u w:val="thick"/>
        </w:rPr>
        <w:t>THE</w:t>
      </w:r>
      <w:r>
        <w:rPr>
          <w:b/>
          <w:spacing w:val="-3"/>
          <w:sz w:val="22"/>
          <w:u w:val="thick"/>
        </w:rPr>
        <w:t> </w:t>
      </w:r>
      <w:r>
        <w:rPr>
          <w:b/>
          <w:sz w:val="22"/>
          <w:u w:val="thick"/>
        </w:rPr>
        <w:t>REVIEWER</w:t>
      </w:r>
      <w:r>
        <w:rPr>
          <w:b/>
          <w:sz w:val="22"/>
          <w:u w:val="none"/>
        </w:rPr>
        <w:t>:</w:t>
        <w:tab/>
      </w:r>
      <w:r>
        <w:rPr>
          <w:i/>
          <w:color w:val="FF0000"/>
          <w:sz w:val="22"/>
          <w:u w:val="none"/>
        </w:rPr>
        <w:t>[If</w:t>
      </w:r>
      <w:r>
        <w:rPr>
          <w:i/>
          <w:color w:val="FF0000"/>
          <w:spacing w:val="-6"/>
          <w:sz w:val="22"/>
          <w:u w:val="none"/>
        </w:rPr>
        <w:t> </w:t>
      </w:r>
      <w:r>
        <w:rPr>
          <w:i/>
          <w:color w:val="FF0000"/>
          <w:sz w:val="22"/>
          <w:u w:val="none"/>
        </w:rPr>
        <w:t>applicable-</w:t>
      </w:r>
      <w:r>
        <w:rPr>
          <w:i/>
          <w:color w:val="FF0000"/>
          <w:spacing w:val="-6"/>
          <w:sz w:val="22"/>
          <w:u w:val="none"/>
        </w:rPr>
        <w:t> </w:t>
      </w:r>
      <w:r>
        <w:rPr>
          <w:i/>
          <w:color w:val="FF0000"/>
          <w:sz w:val="22"/>
          <w:u w:val="none"/>
        </w:rPr>
        <w:t>Report</w:t>
      </w:r>
      <w:r>
        <w:rPr>
          <w:i/>
          <w:color w:val="FF0000"/>
          <w:spacing w:val="-1"/>
          <w:w w:val="99"/>
          <w:sz w:val="22"/>
          <w:u w:val="none"/>
        </w:rPr>
        <w:t> </w:t>
      </w:r>
      <w:r>
        <w:rPr>
          <w:i/>
          <w:color w:val="FF0000"/>
          <w:sz w:val="22"/>
          <w:u w:val="none"/>
        </w:rPr>
        <w:t>the statistical methods used by the reviewer to verify the applicant’s results; If values for LD</w:t>
      </w:r>
      <w:r>
        <w:rPr>
          <w:i/>
          <w:color w:val="FF0000"/>
          <w:position w:val="-1"/>
          <w:sz w:val="14"/>
          <w:u w:val="none"/>
        </w:rPr>
        <w:t>50</w:t>
      </w:r>
      <w:r>
        <w:rPr>
          <w:i/>
          <w:color w:val="FF0000"/>
          <w:sz w:val="22"/>
          <w:u w:val="none"/>
        </w:rPr>
        <w:t>, LC</w:t>
      </w:r>
      <w:r>
        <w:rPr>
          <w:i/>
          <w:color w:val="FF0000"/>
          <w:position w:val="-1"/>
          <w:sz w:val="14"/>
          <w:u w:val="none"/>
        </w:rPr>
        <w:t>50</w:t>
      </w:r>
      <w:r>
        <w:rPr>
          <w:i/>
          <w:color w:val="FF0000"/>
          <w:sz w:val="22"/>
          <w:u w:val="none"/>
        </w:rPr>
        <w:t>, LT</w:t>
      </w:r>
      <w:r>
        <w:rPr>
          <w:i/>
          <w:color w:val="FF0000"/>
          <w:position w:val="-1"/>
          <w:sz w:val="14"/>
          <w:u w:val="none"/>
        </w:rPr>
        <w:t>50</w:t>
      </w:r>
      <w:r>
        <w:rPr>
          <w:i/>
          <w:color w:val="FF0000"/>
          <w:sz w:val="22"/>
          <w:u w:val="none"/>
        </w:rPr>
        <w:t>, NOEL, NOEC are greater than the MHD level, use </w:t>
      </w:r>
      <w:r>
        <w:rPr>
          <w:b/>
          <w:i/>
          <w:color w:val="FF0000"/>
          <w:sz w:val="22"/>
          <w:u w:val="none"/>
        </w:rPr>
        <w:t>&lt;</w:t>
      </w:r>
      <w:r>
        <w:rPr>
          <w:b/>
          <w:i/>
          <w:color w:val="FF0000"/>
          <w:spacing w:val="-29"/>
          <w:sz w:val="22"/>
          <w:u w:val="none"/>
        </w:rPr>
        <w:t> </w:t>
      </w:r>
      <w:r>
        <w:rPr>
          <w:i/>
          <w:color w:val="FF0000"/>
          <w:sz w:val="22"/>
          <w:u w:val="none"/>
        </w:rPr>
        <w:t>symbol.]</w:t>
      </w:r>
    </w:p>
    <w:p>
      <w:pPr>
        <w:pStyle w:val="BodyText"/>
        <w:spacing w:before="6"/>
        <w:rPr>
          <w:i/>
          <w:sz w:val="21"/>
        </w:rPr>
      </w:pPr>
    </w:p>
    <w:p>
      <w:pPr>
        <w:pStyle w:val="Heading4"/>
        <w:tabs>
          <w:tab w:pos="5900" w:val="left" w:leader="none"/>
        </w:tabs>
        <w:spacing w:line="254" w:lineRule="exact"/>
      </w:pPr>
      <w:r>
        <w:rPr/>
        <w:t>LD</w:t>
      </w:r>
      <w:r>
        <w:rPr>
          <w:position w:val="-1"/>
          <w:sz w:val="14"/>
        </w:rPr>
        <w:t>50</w:t>
      </w:r>
      <w:r>
        <w:rPr/>
        <w:t>:</w:t>
        <w:tab/>
        <w:t>95%</w:t>
      </w:r>
      <w:r>
        <w:rPr>
          <w:spacing w:val="-3"/>
        </w:rPr>
        <w:t> </w:t>
      </w:r>
      <w:r>
        <w:rPr/>
        <w:t>C.I.:</w:t>
      </w:r>
    </w:p>
    <w:p>
      <w:pPr>
        <w:tabs>
          <w:tab w:pos="5900" w:val="left" w:leader="none"/>
        </w:tabs>
        <w:spacing w:line="253" w:lineRule="exact" w:before="0"/>
        <w:ind w:left="860" w:right="0" w:firstLine="0"/>
        <w:jc w:val="left"/>
        <w:rPr>
          <w:sz w:val="22"/>
        </w:rPr>
      </w:pPr>
      <w:r>
        <w:rPr>
          <w:sz w:val="22"/>
        </w:rPr>
        <w:t>LC</w:t>
      </w:r>
      <w:r>
        <w:rPr>
          <w:position w:val="-1"/>
          <w:sz w:val="14"/>
        </w:rPr>
        <w:t>50</w:t>
      </w:r>
      <w:r>
        <w:rPr>
          <w:sz w:val="22"/>
        </w:rPr>
        <w:t>:</w:t>
        <w:tab/>
        <w:t>95%</w:t>
      </w:r>
      <w:r>
        <w:rPr>
          <w:spacing w:val="-3"/>
          <w:sz w:val="22"/>
        </w:rPr>
        <w:t> </w:t>
      </w:r>
      <w:r>
        <w:rPr>
          <w:sz w:val="22"/>
        </w:rPr>
        <w:t>C.I.:</w:t>
      </w:r>
    </w:p>
    <w:p>
      <w:pPr>
        <w:tabs>
          <w:tab w:pos="5900" w:val="left" w:leader="none"/>
        </w:tabs>
        <w:spacing w:line="253" w:lineRule="exact" w:before="0"/>
        <w:ind w:left="860" w:right="0" w:firstLine="0"/>
        <w:jc w:val="left"/>
        <w:rPr>
          <w:sz w:val="22"/>
        </w:rPr>
      </w:pPr>
      <w:r>
        <w:rPr>
          <w:sz w:val="22"/>
        </w:rPr>
        <w:t>LT</w:t>
      </w:r>
      <w:r>
        <w:rPr>
          <w:position w:val="-1"/>
          <w:sz w:val="14"/>
        </w:rPr>
        <w:t>50</w:t>
      </w:r>
      <w:r>
        <w:rPr>
          <w:sz w:val="22"/>
        </w:rPr>
        <w:t>:</w:t>
        <w:tab/>
        <w:t>95%</w:t>
      </w:r>
      <w:r>
        <w:rPr>
          <w:spacing w:val="-3"/>
          <w:sz w:val="22"/>
        </w:rPr>
        <w:t> </w:t>
      </w:r>
      <w:r>
        <w:rPr>
          <w:sz w:val="22"/>
        </w:rPr>
        <w:t>C.I.:</w:t>
      </w:r>
    </w:p>
    <w:p>
      <w:pPr>
        <w:tabs>
          <w:tab w:pos="5900" w:val="left" w:leader="none"/>
        </w:tabs>
        <w:spacing w:line="253" w:lineRule="exact" w:before="0"/>
        <w:ind w:left="860" w:right="0" w:firstLine="0"/>
        <w:jc w:val="left"/>
        <w:rPr>
          <w:sz w:val="22"/>
        </w:rPr>
      </w:pPr>
      <w:r>
        <w:rPr>
          <w:sz w:val="22"/>
        </w:rPr>
        <w:t>EC</w:t>
      </w:r>
      <w:r>
        <w:rPr>
          <w:position w:val="-1"/>
          <w:sz w:val="14"/>
        </w:rPr>
        <w:t>50</w:t>
      </w:r>
      <w:r>
        <w:rPr>
          <w:sz w:val="22"/>
        </w:rPr>
        <w:t>:</w:t>
        <w:tab/>
        <w:t>95%</w:t>
      </w:r>
      <w:r>
        <w:rPr>
          <w:spacing w:val="-3"/>
          <w:sz w:val="22"/>
        </w:rPr>
        <w:t> </w:t>
      </w:r>
      <w:r>
        <w:rPr>
          <w:sz w:val="22"/>
        </w:rPr>
        <w:t>C.I.:</w:t>
      </w:r>
    </w:p>
    <w:p>
      <w:pPr>
        <w:spacing w:before="0"/>
        <w:ind w:left="860" w:right="8833" w:hanging="1"/>
        <w:jc w:val="left"/>
        <w:rPr>
          <w:sz w:val="22"/>
        </w:rPr>
      </w:pPr>
      <w:r>
        <w:rPr>
          <w:sz w:val="22"/>
        </w:rPr>
        <w:t>NOEL: </w:t>
      </w:r>
      <w:r>
        <w:rPr>
          <w:w w:val="95"/>
          <w:sz w:val="22"/>
        </w:rPr>
        <w:t>NOEC:</w:t>
      </w:r>
    </w:p>
    <w:p>
      <w:pPr>
        <w:tabs>
          <w:tab w:pos="5900" w:val="left" w:leader="none"/>
        </w:tabs>
        <w:spacing w:before="2"/>
        <w:ind w:left="860" w:right="0" w:firstLine="0"/>
        <w:jc w:val="left"/>
        <w:rPr>
          <w:sz w:val="22"/>
        </w:rPr>
      </w:pPr>
      <w:r>
        <w:rPr>
          <w:sz w:val="22"/>
        </w:rPr>
        <w:t>Probit</w:t>
      </w:r>
      <w:r>
        <w:rPr>
          <w:spacing w:val="-2"/>
          <w:sz w:val="22"/>
        </w:rPr>
        <w:t> </w:t>
      </w:r>
      <w:r>
        <w:rPr>
          <w:sz w:val="22"/>
        </w:rPr>
        <w:t>Slope:</w:t>
        <w:tab/>
        <w:t>95%</w:t>
      </w:r>
      <w:r>
        <w:rPr>
          <w:spacing w:val="-3"/>
          <w:sz w:val="22"/>
        </w:rPr>
        <w:t> </w:t>
      </w:r>
      <w:r>
        <w:rPr>
          <w:sz w:val="22"/>
        </w:rPr>
        <w:t>C.I.:</w:t>
      </w:r>
    </w:p>
    <w:p>
      <w:pPr>
        <w:spacing w:before="0"/>
        <w:ind w:left="861" w:right="0" w:firstLine="0"/>
        <w:jc w:val="left"/>
        <w:rPr>
          <w:sz w:val="22"/>
        </w:rPr>
      </w:pPr>
      <w:r>
        <w:rPr>
          <w:sz w:val="22"/>
        </w:rPr>
        <w:t>Endpoint(s) Affected:</w:t>
      </w:r>
    </w:p>
    <w:p>
      <w:pPr>
        <w:pStyle w:val="BodyText"/>
        <w:rPr>
          <w:i w:val="0"/>
          <w:sz w:val="24"/>
        </w:rPr>
      </w:pPr>
    </w:p>
    <w:p>
      <w:pPr>
        <w:pStyle w:val="BodyText"/>
        <w:rPr>
          <w:i w:val="0"/>
          <w:sz w:val="20"/>
        </w:rPr>
      </w:pPr>
    </w:p>
    <w:p>
      <w:pPr>
        <w:pStyle w:val="ListParagraph"/>
        <w:numPr>
          <w:ilvl w:val="0"/>
          <w:numId w:val="1"/>
        </w:numPr>
        <w:tabs>
          <w:tab w:pos="861" w:val="left" w:leader="none"/>
          <w:tab w:pos="862" w:val="left" w:leader="none"/>
        </w:tabs>
        <w:spacing w:line="240" w:lineRule="auto" w:before="0" w:after="0"/>
        <w:ind w:left="861" w:right="0" w:hanging="720"/>
        <w:jc w:val="left"/>
        <w:rPr>
          <w:b/>
          <w:sz w:val="22"/>
          <w:u w:val="none"/>
        </w:rPr>
      </w:pPr>
      <w:r>
        <w:rPr>
          <w:b/>
          <w:sz w:val="22"/>
          <w:u w:val="none"/>
        </w:rPr>
        <w:t>CONCLUSION:</w:t>
      </w:r>
    </w:p>
    <w:p>
      <w:pPr>
        <w:pStyle w:val="BodyText"/>
        <w:rPr>
          <w:b/>
          <w:i w:val="0"/>
          <w:sz w:val="22"/>
        </w:rPr>
      </w:pPr>
    </w:p>
    <w:p>
      <w:pPr>
        <w:pStyle w:val="ListParagraph"/>
        <w:numPr>
          <w:ilvl w:val="0"/>
          <w:numId w:val="5"/>
        </w:numPr>
        <w:tabs>
          <w:tab w:pos="859" w:val="left" w:leader="none"/>
          <w:tab w:pos="861" w:val="left" w:leader="none"/>
          <w:tab w:pos="4459" w:val="left" w:leader="none"/>
        </w:tabs>
        <w:spacing w:line="240" w:lineRule="auto" w:before="0" w:after="0"/>
        <w:ind w:left="860" w:right="367"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 conclusions- Provide</w:t>
      </w:r>
      <w:r>
        <w:rPr>
          <w:i/>
          <w:color w:val="FF0000"/>
          <w:spacing w:val="-26"/>
          <w:sz w:val="22"/>
          <w:u w:val="none"/>
        </w:rPr>
        <w:t> </w:t>
      </w:r>
      <w:r>
        <w:rPr>
          <w:i/>
          <w:color w:val="FF0000"/>
          <w:sz w:val="22"/>
          <w:u w:val="none"/>
        </w:rPr>
        <w:t>the</w:t>
      </w:r>
      <w:r>
        <w:rPr>
          <w:i/>
          <w:color w:val="FF0000"/>
          <w:spacing w:val="-5"/>
          <w:sz w:val="22"/>
          <w:u w:val="none"/>
        </w:rPr>
        <w:t> </w:t>
      </w:r>
      <w:r>
        <w:rPr>
          <w:i/>
          <w:color w:val="FF0000"/>
          <w:sz w:val="22"/>
          <w:u w:val="none"/>
        </w:rPr>
        <w:t>major</w:t>
      </w:r>
      <w:r>
        <w:rPr>
          <w:i/>
          <w:color w:val="FF0000"/>
          <w:w w:val="99"/>
          <w:sz w:val="22"/>
          <w:u w:val="none"/>
        </w:rPr>
        <w:t> </w:t>
      </w:r>
      <w:r>
        <w:rPr>
          <w:i/>
          <w:color w:val="FF0000"/>
          <w:sz w:val="22"/>
          <w:u w:val="none"/>
        </w:rPr>
        <w:t>conclusions e.g., values for LD</w:t>
      </w:r>
      <w:r>
        <w:rPr>
          <w:i/>
          <w:color w:val="FF0000"/>
          <w:position w:val="-1"/>
          <w:sz w:val="14"/>
          <w:u w:val="none"/>
        </w:rPr>
        <w:t>50</w:t>
      </w:r>
      <w:r>
        <w:rPr>
          <w:i/>
          <w:color w:val="FF0000"/>
          <w:sz w:val="22"/>
          <w:u w:val="none"/>
        </w:rPr>
        <w:t>, LC</w:t>
      </w:r>
      <w:r>
        <w:rPr>
          <w:i/>
          <w:color w:val="FF0000"/>
          <w:position w:val="-1"/>
          <w:sz w:val="14"/>
          <w:u w:val="none"/>
        </w:rPr>
        <w:t>50</w:t>
      </w:r>
      <w:r>
        <w:rPr>
          <w:i/>
          <w:color w:val="FF0000"/>
          <w:sz w:val="22"/>
          <w:u w:val="none"/>
        </w:rPr>
        <w:t>, LT</w:t>
      </w:r>
      <w:r>
        <w:rPr>
          <w:i/>
          <w:color w:val="FF0000"/>
          <w:position w:val="-1"/>
          <w:sz w:val="14"/>
          <w:u w:val="none"/>
        </w:rPr>
        <w:t>50</w:t>
      </w:r>
      <w:r>
        <w:rPr>
          <w:i/>
          <w:color w:val="FF0000"/>
          <w:sz w:val="22"/>
          <w:u w:val="none"/>
        </w:rPr>
        <w:t>, NOEL, NOEC were [</w:t>
      </w:r>
      <w:r>
        <w:rPr>
          <w:b/>
          <w:i/>
          <w:color w:val="FF0000"/>
          <w:sz w:val="22"/>
          <w:u w:val="none"/>
        </w:rPr>
        <w:t>=, &gt; or &lt;</w:t>
      </w:r>
      <w:r>
        <w:rPr>
          <w:i/>
          <w:color w:val="FF0000"/>
          <w:sz w:val="22"/>
          <w:u w:val="none"/>
        </w:rPr>
        <w:t>] in appropriate</w:t>
      </w:r>
      <w:r>
        <w:rPr>
          <w:i/>
          <w:color w:val="FF0000"/>
          <w:spacing w:val="9"/>
          <w:sz w:val="22"/>
          <w:u w:val="none"/>
        </w:rPr>
        <w:t> </w:t>
      </w:r>
      <w:r>
        <w:rPr>
          <w:i/>
          <w:color w:val="FF0000"/>
          <w:sz w:val="22"/>
          <w:u w:val="none"/>
        </w:rPr>
        <w:t>units]</w:t>
      </w:r>
    </w:p>
    <w:p>
      <w:pPr>
        <w:pStyle w:val="BodyText"/>
        <w:spacing w:before="6"/>
        <w:rPr>
          <w:i/>
          <w:sz w:val="21"/>
        </w:rPr>
      </w:pPr>
    </w:p>
    <w:p>
      <w:pPr>
        <w:pStyle w:val="ListParagraph"/>
        <w:numPr>
          <w:ilvl w:val="0"/>
          <w:numId w:val="5"/>
        </w:numPr>
        <w:tabs>
          <w:tab w:pos="859" w:val="left" w:leader="none"/>
          <w:tab w:pos="860" w:val="left" w:leader="none"/>
        </w:tabs>
        <w:spacing w:line="240" w:lineRule="auto" w:before="0" w:after="0"/>
        <w:ind w:left="859" w:right="457" w:hanging="719"/>
        <w:jc w:val="left"/>
        <w:rPr>
          <w:sz w:val="22"/>
          <w:u w:val="none"/>
        </w:rPr>
      </w:pPr>
      <w:r>
        <w:rPr>
          <w:b/>
          <w:w w:val="99"/>
          <w:sz w:val="22"/>
          <w:u w:val="thick"/>
        </w:rPr>
        <w:t> </w:t>
      </w:r>
      <w:r>
        <w:rPr>
          <w:b/>
          <w:sz w:val="22"/>
          <w:u w:val="thick"/>
        </w:rPr>
        <w:t>REVIEWER’S COMMENTS</w:t>
      </w:r>
      <w:r>
        <w:rPr>
          <w:b/>
          <w:sz w:val="22"/>
          <w:u w:val="none"/>
        </w:rPr>
        <w:t>: </w:t>
      </w:r>
      <w:r>
        <w:rPr>
          <w:sz w:val="22"/>
          <w:u w:val="none"/>
        </w:rPr>
        <w:t>The reviewer agrees </w:t>
      </w:r>
      <w:r>
        <w:rPr>
          <w:i/>
          <w:color w:val="FF0000"/>
          <w:sz w:val="22"/>
          <w:u w:val="none"/>
        </w:rPr>
        <w:t>[does not agree] </w:t>
      </w:r>
      <w:r>
        <w:rPr>
          <w:sz w:val="22"/>
          <w:u w:val="none"/>
        </w:rPr>
        <w:t>with the study author’s conclusion. </w:t>
      </w:r>
      <w:r>
        <w:rPr>
          <w:i/>
          <w:color w:val="FF0000"/>
          <w:sz w:val="22"/>
          <w:u w:val="none"/>
        </w:rPr>
        <w:t>[Provide additional comments that do not appear under other sections of the template. </w:t>
      </w:r>
      <w:r>
        <w:rPr>
          <w:i/>
          <w:color w:val="FF0000"/>
          <w:sz w:val="22"/>
          <w:u w:val="none"/>
        </w:rPr>
        <w:t>Discuss the specific methods/ results/findings that may affect the validity of the study and overall acceptability of the study.] </w:t>
      </w:r>
      <w:r>
        <w:rPr>
          <w:sz w:val="22"/>
          <w:u w:val="none"/>
        </w:rPr>
        <w:t>The study was </w:t>
      </w:r>
      <w:r>
        <w:rPr>
          <w:i/>
          <w:color w:val="FF0000"/>
          <w:sz w:val="22"/>
          <w:u w:val="none"/>
        </w:rPr>
        <w:t>[not] </w:t>
      </w:r>
      <w:r>
        <w:rPr>
          <w:sz w:val="22"/>
          <w:u w:val="none"/>
        </w:rPr>
        <w:t>conducted in accordance with the guideline recommendations</w:t>
      </w:r>
      <w:r>
        <w:rPr>
          <w:spacing w:val="-5"/>
          <w:sz w:val="22"/>
          <w:u w:val="none"/>
        </w:rPr>
        <w:t> </w:t>
      </w:r>
      <w:r>
        <w:rPr>
          <w:sz w:val="22"/>
          <w:u w:val="none"/>
        </w:rPr>
        <w:t>for</w:t>
      </w:r>
      <w:r>
        <w:rPr>
          <w:spacing w:val="-4"/>
          <w:sz w:val="22"/>
          <w:u w:val="none"/>
        </w:rPr>
        <w:t> </w:t>
      </w:r>
      <w:r>
        <w:rPr>
          <w:sz w:val="22"/>
          <w:u w:val="none"/>
        </w:rPr>
        <w:t>a</w:t>
      </w:r>
      <w:r>
        <w:rPr>
          <w:spacing w:val="-5"/>
          <w:sz w:val="22"/>
          <w:u w:val="none"/>
        </w:rPr>
        <w:t> </w:t>
      </w:r>
      <w:r>
        <w:rPr>
          <w:i/>
          <w:color w:val="FF0000"/>
          <w:sz w:val="22"/>
          <w:u w:val="none"/>
        </w:rPr>
        <w:t>[contact,</w:t>
      </w:r>
      <w:r>
        <w:rPr>
          <w:i/>
          <w:color w:val="FF0000"/>
          <w:spacing w:val="-4"/>
          <w:sz w:val="22"/>
          <w:u w:val="none"/>
        </w:rPr>
        <w:t> </w:t>
      </w:r>
      <w:r>
        <w:rPr>
          <w:i/>
          <w:color w:val="FF0000"/>
          <w:sz w:val="22"/>
          <w:u w:val="none"/>
        </w:rPr>
        <w:t>oral</w:t>
      </w:r>
      <w:r>
        <w:rPr>
          <w:i/>
          <w:color w:val="FF0000"/>
          <w:spacing w:val="-5"/>
          <w:sz w:val="22"/>
          <w:u w:val="none"/>
        </w:rPr>
        <w:t> </w:t>
      </w:r>
      <w:r>
        <w:rPr>
          <w:i/>
          <w:color w:val="FF0000"/>
          <w:sz w:val="22"/>
          <w:u w:val="none"/>
        </w:rPr>
        <w:t>or</w:t>
      </w:r>
      <w:r>
        <w:rPr>
          <w:i/>
          <w:color w:val="FF0000"/>
          <w:spacing w:val="-6"/>
          <w:sz w:val="22"/>
          <w:u w:val="none"/>
        </w:rPr>
        <w:t> </w:t>
      </w:r>
      <w:r>
        <w:rPr>
          <w:i/>
          <w:color w:val="FF0000"/>
          <w:sz w:val="22"/>
          <w:u w:val="none"/>
        </w:rPr>
        <w:t>dietary]</w:t>
      </w:r>
      <w:r>
        <w:rPr>
          <w:i/>
          <w:color w:val="FF0000"/>
          <w:spacing w:val="-1"/>
          <w:sz w:val="22"/>
          <w:u w:val="none"/>
        </w:rPr>
        <w:t> </w:t>
      </w:r>
      <w:r>
        <w:rPr>
          <w:sz w:val="22"/>
          <w:u w:val="none"/>
        </w:rPr>
        <w:t>toxicity</w:t>
      </w:r>
      <w:r>
        <w:rPr>
          <w:spacing w:val="-4"/>
          <w:sz w:val="22"/>
          <w:u w:val="none"/>
        </w:rPr>
        <w:t> </w:t>
      </w:r>
      <w:r>
        <w:rPr>
          <w:sz w:val="22"/>
          <w:u w:val="none"/>
        </w:rPr>
        <w:t>and</w:t>
      </w:r>
      <w:r>
        <w:rPr>
          <w:spacing w:val="-4"/>
          <w:sz w:val="22"/>
          <w:u w:val="none"/>
        </w:rPr>
        <w:t> </w:t>
      </w:r>
      <w:r>
        <w:rPr>
          <w:sz w:val="22"/>
          <w:u w:val="none"/>
        </w:rPr>
        <w:t>pathogenicity</w:t>
      </w:r>
      <w:r>
        <w:rPr>
          <w:spacing w:val="-4"/>
          <w:sz w:val="22"/>
          <w:u w:val="none"/>
        </w:rPr>
        <w:t> </w:t>
      </w:r>
      <w:r>
        <w:rPr>
          <w:sz w:val="22"/>
          <w:u w:val="none"/>
        </w:rPr>
        <w:t>study</w:t>
      </w:r>
      <w:r>
        <w:rPr>
          <w:spacing w:val="-4"/>
          <w:sz w:val="22"/>
          <w:u w:val="none"/>
        </w:rPr>
        <w:t> </w:t>
      </w:r>
      <w:r>
        <w:rPr>
          <w:sz w:val="22"/>
          <w:u w:val="none"/>
        </w:rPr>
        <w:t>for</w:t>
      </w:r>
      <w:r>
        <w:rPr>
          <w:spacing w:val="-4"/>
          <w:sz w:val="22"/>
          <w:u w:val="none"/>
        </w:rPr>
        <w:t> </w:t>
      </w:r>
      <w:r>
        <w:rPr>
          <w:sz w:val="22"/>
          <w:u w:val="none"/>
        </w:rPr>
        <w:t>nontarget</w:t>
      </w:r>
      <w:r>
        <w:rPr>
          <w:spacing w:val="-4"/>
          <w:sz w:val="22"/>
          <w:u w:val="none"/>
        </w:rPr>
        <w:t> </w:t>
      </w:r>
      <w:r>
        <w:rPr>
          <w:sz w:val="22"/>
          <w:u w:val="none"/>
        </w:rPr>
        <w:t>insects (OCSPP 885.4340; PMRA: M9.5.1 and OECD: IIM 8.8, IIIM 10.4) in the</w:t>
      </w:r>
      <w:r>
        <w:rPr>
          <w:spacing w:val="-33"/>
          <w:sz w:val="22"/>
          <w:u w:val="none"/>
        </w:rPr>
        <w:t> </w:t>
      </w:r>
      <w:r>
        <w:rPr>
          <w:i/>
          <w:color w:val="FF0000"/>
          <w:sz w:val="22"/>
          <w:u w:val="none"/>
        </w:rPr>
        <w:t>[species]</w:t>
      </w:r>
      <w:r>
        <w:rPr>
          <w:color w:val="FF0000"/>
          <w:sz w:val="22"/>
          <w:u w:val="none"/>
        </w:rPr>
        <w:t>.</w:t>
      </w:r>
    </w:p>
    <w:p>
      <w:pPr>
        <w:pStyle w:val="BodyText"/>
        <w:rPr>
          <w:i w:val="0"/>
          <w:sz w:val="22"/>
        </w:rPr>
      </w:pPr>
    </w:p>
    <w:p>
      <w:pPr>
        <w:pStyle w:val="Heading5"/>
        <w:numPr>
          <w:ilvl w:val="0"/>
          <w:numId w:val="5"/>
        </w:numPr>
        <w:tabs>
          <w:tab w:pos="859" w:val="left" w:leader="none"/>
          <w:tab w:pos="860" w:val="left" w:leader="none"/>
          <w:tab w:pos="3075" w:val="left" w:leader="none"/>
        </w:tabs>
        <w:spacing w:line="240" w:lineRule="auto" w:before="0" w:after="0"/>
        <w:ind w:left="860" w:right="544" w:hanging="720"/>
        <w:jc w:val="left"/>
      </w:pPr>
      <w:r>
        <w:rPr>
          <w:b/>
          <w:i w:val="0"/>
          <w:u w:val="thick"/>
        </w:rPr>
        <w:t>DEFICIENCIES</w:t>
      </w:r>
      <w:r>
        <w:rPr>
          <w:b/>
          <w:i w:val="0"/>
        </w:rPr>
        <w:t>:</w:t>
        <w:tab/>
      </w:r>
      <w:r>
        <w:rPr>
          <w:i/>
          <w:color w:val="FF0000"/>
        </w:rPr>
        <w:t>[List each deficiency with the required data to resolve the deficiency or</w:t>
      </w:r>
      <w:r>
        <w:rPr>
          <w:i/>
          <w:color w:val="FF0000"/>
          <w:spacing w:val="-37"/>
        </w:rPr>
        <w:t> </w:t>
      </w:r>
      <w:r>
        <w:rPr>
          <w:i/>
          <w:color w:val="FF0000"/>
        </w:rPr>
        <w:t>if</w:t>
      </w:r>
      <w:r>
        <w:rPr>
          <w:i/>
          <w:color w:val="FF0000"/>
          <w:spacing w:val="-3"/>
        </w:rPr>
        <w:t> </w:t>
      </w:r>
      <w:r>
        <w:rPr>
          <w:i/>
          <w:color w:val="FF0000"/>
        </w:rPr>
        <w:t>no</w:t>
      </w:r>
      <w:r>
        <w:rPr>
          <w:color w:val="FF0000"/>
          <w:w w:val="99"/>
        </w:rPr>
        <w:t> </w:t>
      </w:r>
      <w:r>
        <w:rPr>
          <w:color w:val="FF0000"/>
        </w:rPr>
        <w:t>data can be provided to satisfy the</w:t>
      </w:r>
      <w:r>
        <w:rPr>
          <w:color w:val="FF0000"/>
          <w:spacing w:val="-27"/>
        </w:rPr>
        <w:t> </w:t>
      </w:r>
      <w:r>
        <w:rPr>
          <w:color w:val="FF0000"/>
        </w:rPr>
        <w:t>deficiency.]</w:t>
      </w:r>
    </w:p>
    <w:p>
      <w:pPr>
        <w:pStyle w:val="BodyText"/>
        <w:spacing w:before="9"/>
        <w:rPr>
          <w:i/>
          <w:sz w:val="24"/>
        </w:rPr>
      </w:pPr>
    </w:p>
    <w:p>
      <w:pPr>
        <w:pStyle w:val="BodyText"/>
        <w:spacing w:before="1"/>
        <w:ind w:left="860"/>
        <w:rPr>
          <w:i/>
        </w:rPr>
      </w:pPr>
      <w:r>
        <w:rPr>
          <w:b/>
          <w:i/>
          <w:color w:val="0070C0"/>
        </w:rPr>
        <w:t>U.S. EPA OCSPP 885.4340  </w:t>
      </w:r>
      <w:r>
        <w:rPr>
          <w:i/>
          <w:color w:val="0070C0"/>
        </w:rPr>
        <w:t>No specific validity criteria. Acceptability of studies should be determined based on expert judgment.</w:t>
      </w:r>
    </w:p>
    <w:p>
      <w:pPr>
        <w:spacing w:line="184" w:lineRule="exact" w:before="1"/>
        <w:ind w:left="860" w:right="0" w:firstLine="0"/>
        <w:jc w:val="left"/>
        <w:rPr>
          <w:i/>
          <w:sz w:val="16"/>
        </w:rPr>
      </w:pPr>
      <w:r>
        <w:rPr>
          <w:b/>
          <w:i/>
          <w:color w:val="0070C0"/>
          <w:sz w:val="16"/>
        </w:rPr>
        <w:t>PMRA DIR 2001-02   </w:t>
      </w:r>
      <w:r>
        <w:rPr>
          <w:i/>
          <w:color w:val="0070C0"/>
          <w:sz w:val="16"/>
        </w:rPr>
        <w:t>No specific validity criteria.</w:t>
      </w:r>
    </w:p>
    <w:p>
      <w:pPr>
        <w:spacing w:line="184" w:lineRule="exact" w:before="0"/>
        <w:ind w:left="860" w:right="0" w:firstLine="0"/>
        <w:jc w:val="left"/>
        <w:rPr>
          <w:i/>
          <w:sz w:val="16"/>
        </w:rPr>
      </w:pPr>
      <w:r>
        <w:rPr>
          <w:b/>
          <w:i/>
          <w:color w:val="0070C0"/>
          <w:sz w:val="16"/>
        </w:rPr>
        <w:t>Environment Canada EPS 1/RM/44  </w:t>
      </w:r>
      <w:r>
        <w:rPr>
          <w:i/>
          <w:color w:val="0070C0"/>
          <w:sz w:val="16"/>
        </w:rPr>
        <w:t>The test is invalid if mean 28-day survival of adult (first generation) springtails in negative control soil</w:t>
      </w:r>
    </w:p>
    <w:p>
      <w:pPr>
        <w:pStyle w:val="BodyText"/>
        <w:spacing w:line="184" w:lineRule="exact"/>
        <w:ind w:left="860"/>
        <w:rPr>
          <w:i/>
        </w:rPr>
      </w:pPr>
      <w:r>
        <w:rPr>
          <w:i/>
          <w:color w:val="0070C0"/>
        </w:rPr>
        <w:t>&lt;70%. Also, the test is invalid if mean reproduction rate for adults in negative control soil &lt;10 juveniles/adult.</w:t>
      </w:r>
    </w:p>
    <w:p>
      <w:pPr>
        <w:spacing w:after="0" w:line="184" w:lineRule="exact"/>
        <w:sectPr>
          <w:pgSz w:w="12240" w:h="15840"/>
          <w:pgMar w:header="729" w:footer="796" w:top="1880" w:bottom="980" w:left="940" w:right="940"/>
        </w:sectPr>
      </w:pPr>
    </w:p>
    <w:p>
      <w:pPr>
        <w:pStyle w:val="Heading7"/>
        <w:spacing w:line="183" w:lineRule="exact" w:before="137"/>
        <w:ind w:left="1579"/>
        <w:rPr>
          <w:i/>
        </w:rPr>
      </w:pPr>
      <w:r>
        <w:rPr>
          <w:i/>
          <w:color w:val="0070C0"/>
          <w:u w:val="single" w:color="0070C0"/>
        </w:rPr>
        <w:t>Supplemental guidance for terrestrial non-arthropod invertebrates:</w:t>
      </w:r>
    </w:p>
    <w:p>
      <w:pPr>
        <w:pStyle w:val="BodyText"/>
        <w:ind w:left="859" w:right="187"/>
      </w:pPr>
      <w:r>
        <w:rPr>
          <w:b/>
          <w:i/>
          <w:color w:val="0070C0"/>
        </w:rPr>
        <w:t>Environment Canada EPS 1/RM/44   </w:t>
      </w:r>
      <w:r>
        <w:rPr>
          <w:i/>
          <w:color w:val="0070C0"/>
        </w:rPr>
        <w:t>The study is invalid if 28-day survival in adults is less than 90%, if the mean reproductive rate is less than </w:t>
      </w:r>
      <w:r>
        <w:rPr>
          <w:color w:val="0070C0"/>
        </w:rPr>
        <w:t>3 juveniles per adult and if the mean dry weight of individual live juveniles is &lt;2.0 mg in negative control soil.</w:t>
      </w:r>
    </w:p>
    <w:p>
      <w:pPr>
        <w:pStyle w:val="BodyText"/>
        <w:spacing w:line="184" w:lineRule="exact" w:before="2"/>
        <w:ind w:left="859"/>
        <w:rPr>
          <w:i/>
        </w:rPr>
      </w:pPr>
      <w:r>
        <w:rPr>
          <w:b/>
          <w:i/>
          <w:color w:val="0070C0"/>
        </w:rPr>
        <w:t>OECD 207   </w:t>
      </w:r>
      <w:r>
        <w:rPr>
          <w:i/>
          <w:color w:val="0070C0"/>
        </w:rPr>
        <w:t>Mortality in controls should not exceed 10% at the end of either test.</w:t>
      </w:r>
    </w:p>
    <w:p>
      <w:pPr>
        <w:pStyle w:val="BodyText"/>
        <w:spacing w:before="3"/>
        <w:rPr>
          <w:i/>
        </w:rPr>
      </w:pPr>
    </w:p>
    <w:p>
      <w:pPr>
        <w:pStyle w:val="Heading2"/>
        <w:numPr>
          <w:ilvl w:val="0"/>
          <w:numId w:val="5"/>
        </w:numPr>
        <w:tabs>
          <w:tab w:pos="859" w:val="left" w:leader="none"/>
          <w:tab w:pos="861" w:val="left" w:leader="none"/>
        </w:tabs>
        <w:spacing w:line="240" w:lineRule="auto" w:before="0" w:after="0"/>
        <w:ind w:left="860" w:right="1360" w:hanging="720"/>
        <w:jc w:val="left"/>
      </w:pPr>
      <w:r>
        <w:rPr>
          <w:u w:val="thick"/>
        </w:rPr>
        <w:t>CLASSIFICATION: </w:t>
      </w:r>
      <w:r>
        <w:rPr>
          <w:color w:val="FF0000"/>
        </w:rPr>
        <w:t>[ACCEPTABLE / UNACCEPTABLE / SUPPLEMENTAL, but UPGRADEABLE]</w:t>
      </w:r>
    </w:p>
    <w:p>
      <w:pPr>
        <w:pStyle w:val="BodyText"/>
        <w:spacing w:before="1"/>
        <w:rPr>
          <w:b/>
          <w:i w:val="0"/>
          <w:sz w:val="25"/>
        </w:rPr>
      </w:pPr>
    </w:p>
    <w:p>
      <w:pPr>
        <w:pStyle w:val="Heading5"/>
        <w:numPr>
          <w:ilvl w:val="0"/>
          <w:numId w:val="1"/>
        </w:numPr>
        <w:tabs>
          <w:tab w:pos="859" w:val="left" w:leader="none"/>
          <w:tab w:pos="860" w:val="left" w:leader="none"/>
        </w:tabs>
        <w:spacing w:line="240" w:lineRule="auto" w:before="0" w:after="0"/>
        <w:ind w:left="860" w:right="252" w:hanging="721"/>
        <w:jc w:val="left"/>
      </w:pPr>
      <w:r>
        <w:rPr>
          <w:b/>
          <w:i w:val="0"/>
        </w:rPr>
        <w:t>REFERENCES: </w:t>
      </w:r>
      <w:r>
        <w:rPr>
          <w:i/>
          <w:color w:val="FF0000"/>
        </w:rPr>
        <w:t>[Provide full citations of references that were cited in the study report: methods, SOPs </w:t>
      </w:r>
      <w:r>
        <w:rPr>
          <w:color w:val="FF0000"/>
        </w:rPr>
        <w:t>protocols, references to other relevant study reports in the submission or other studies conducted by the applicant.</w:t>
      </w:r>
    </w:p>
    <w:p>
      <w:pPr>
        <w:pStyle w:val="BodyText"/>
        <w:spacing w:before="9"/>
        <w:rPr>
          <w:i/>
          <w:sz w:val="21"/>
        </w:rPr>
      </w:pPr>
    </w:p>
    <w:p>
      <w:pPr>
        <w:spacing w:before="0"/>
        <w:ind w:left="860" w:right="124" w:firstLine="0"/>
        <w:jc w:val="left"/>
        <w:rPr>
          <w:b/>
          <w:i/>
          <w:sz w:val="22"/>
        </w:rPr>
      </w:pPr>
      <w:r>
        <w:rPr>
          <w:color w:val="FF0000"/>
          <w:sz w:val="22"/>
        </w:rPr>
        <w:t>[</w:t>
      </w:r>
      <w:r>
        <w:rPr>
          <w:b/>
          <w:i/>
          <w:color w:val="FF0000"/>
          <w:sz w:val="22"/>
        </w:rPr>
        <w:t>NOTE: If methods/protocols contain specific methodology that is not reported in detail in study report </w:t>
      </w:r>
      <w:r>
        <w:rPr>
          <w:b/>
          <w:i/>
          <w:color w:val="FF0000"/>
          <w:sz w:val="22"/>
        </w:rPr>
        <w:t>as requested in DER- include specific literature of method/SOP/protocol attached as an appendix and attached to the study report for the reviewer’s reference and verification of rationale. If no extra references were used, state “No references were cited.”].</w:t>
      </w:r>
    </w:p>
    <w:p>
      <w:pPr>
        <w:spacing w:after="0"/>
        <w:jc w:val="left"/>
        <w:rPr>
          <w:sz w:val="22"/>
        </w:rPr>
        <w:sectPr>
          <w:pgSz w:w="12240" w:h="15840"/>
          <w:pgMar w:header="729" w:footer="796" w:top="1880" w:bottom="9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pStyle w:val="Heading1"/>
        <w:ind w:left="860" w:right="158" w:hanging="720"/>
        <w:rPr>
          <w:u w:val="none"/>
        </w:rPr>
      </w:pPr>
      <w:r>
        <w:rPr>
          <w:i/>
          <w:color w:val="FF0000"/>
          <w:u w:val="none"/>
        </w:rPr>
        <w:t>(This section of the DER represent the format for submitting </w:t>
      </w:r>
      <w:r>
        <w:rPr>
          <w:i/>
          <w:color w:val="FF0000"/>
          <w:u w:val="thick" w:color="FF0000"/>
        </w:rPr>
        <w:t>alternative data </w:t>
      </w:r>
      <w:r>
        <w:rPr>
          <w:i/>
          <w:color w:val="FF0000"/>
          <w:u w:val="none"/>
        </w:rPr>
        <w:t>for </w:t>
      </w:r>
      <w:r>
        <w:rPr>
          <w:color w:val="FF0000"/>
          <w:u w:val="none"/>
        </w:rPr>
        <w:t>satisfying data requirement and supporting scientific rationale to justify the use of alternative data Alternative data include: waiver request(s), published study, and/or mini-literature review.</w:t>
      </w:r>
    </w:p>
    <w:p>
      <w:pPr>
        <w:pStyle w:val="BodyText"/>
        <w:spacing w:before="10"/>
        <w:rPr>
          <w:b/>
          <w:i/>
          <w:sz w:val="29"/>
        </w:rPr>
      </w:pPr>
    </w:p>
    <w:p>
      <w:pPr>
        <w:spacing w:before="1"/>
        <w:ind w:left="860" w:right="458" w:hanging="720"/>
        <w:jc w:val="left"/>
        <w:rPr>
          <w:b/>
          <w:i/>
          <w:sz w:val="30"/>
        </w:rPr>
      </w:pPr>
      <w:r>
        <w:rPr>
          <w:b/>
          <w:i/>
          <w:color w:val="002060"/>
          <w:sz w:val="30"/>
        </w:rPr>
        <w:t>(Formatting instructions: Use cover page (first page of template) and include a </w:t>
      </w:r>
      <w:r>
        <w:rPr>
          <w:b/>
          <w:i/>
          <w:color w:val="002060"/>
          <w:sz w:val="30"/>
        </w:rPr>
        <w:t>brief executive summary of the waiver request/published study/OR mini- literature review (see example below) and its classification. Delete study template and proceed to the following sections)</w:t>
      </w:r>
    </w:p>
    <w:p>
      <w:pPr>
        <w:pStyle w:val="BodyText"/>
        <w:spacing w:before="9"/>
        <w:rPr>
          <w:b/>
          <w:i/>
          <w:sz w:val="43"/>
        </w:rPr>
      </w:pPr>
    </w:p>
    <w:p>
      <w:pPr>
        <w:spacing w:before="0"/>
        <w:ind w:left="139" w:right="0" w:firstLine="0"/>
        <w:jc w:val="left"/>
        <w:rPr>
          <w:sz w:val="22"/>
        </w:rPr>
      </w:pPr>
      <w:r>
        <w:rPr>
          <w:b/>
          <w:sz w:val="22"/>
          <w:u w:val="thick"/>
        </w:rPr>
        <w:t>EXECUTIVE SUMMARY </w:t>
      </w:r>
      <w:r>
        <w:rPr>
          <w:b/>
          <w:i/>
          <w:color w:val="FF0000"/>
          <w:sz w:val="22"/>
          <w:u w:val="thick" w:color="000000"/>
        </w:rPr>
        <w:t>[FOR EXAMPLE]: </w:t>
      </w:r>
      <w:r>
        <w:rPr>
          <w:i/>
          <w:color w:val="FF0000"/>
          <w:sz w:val="22"/>
        </w:rPr>
        <w:t>[Applicant] </w:t>
      </w:r>
      <w:r>
        <w:rPr>
          <w:sz w:val="22"/>
        </w:rPr>
        <w:t>is submitting a justification for a data waiver from nontarget insect studies (OCSPP 885.4340). The waiver request is based on the rationale that </w:t>
      </w:r>
      <w:r>
        <w:rPr>
          <w:i/>
          <w:color w:val="FF0000"/>
          <w:sz w:val="22"/>
        </w:rPr>
        <w:t>[name of active </w:t>
      </w:r>
      <w:r>
        <w:rPr>
          <w:i/>
          <w:color w:val="FF0000"/>
          <w:sz w:val="22"/>
        </w:rPr>
        <w:t>ingredient] </w:t>
      </w:r>
      <w:r>
        <w:rPr>
          <w:sz w:val="22"/>
        </w:rPr>
        <w:t>is a naturally-occurring </w:t>
      </w:r>
      <w:r>
        <w:rPr>
          <w:i/>
          <w:color w:val="FF0000"/>
          <w:sz w:val="22"/>
        </w:rPr>
        <w:t>[soil/water/plant-surface. etc.] </w:t>
      </w:r>
      <w:r>
        <w:rPr>
          <w:sz w:val="22"/>
        </w:rPr>
        <w:t>colonizer, whose level in the environment will not significantly increase with the use of </w:t>
      </w:r>
      <w:r>
        <w:rPr>
          <w:i/>
          <w:color w:val="FF0000"/>
          <w:sz w:val="22"/>
        </w:rPr>
        <w:t>[product name] </w:t>
      </w:r>
      <w:r>
        <w:rPr>
          <w:sz w:val="22"/>
        </w:rPr>
        <w:t>and that an extensive literature search yielded no </w:t>
      </w:r>
      <w:r>
        <w:rPr>
          <w:i/>
          <w:color w:val="FF0000"/>
          <w:sz w:val="22"/>
        </w:rPr>
        <w:t>[or no </w:t>
      </w:r>
      <w:r>
        <w:rPr>
          <w:i/>
          <w:color w:val="FF0000"/>
          <w:sz w:val="22"/>
        </w:rPr>
        <w:t>significant] </w:t>
      </w:r>
      <w:r>
        <w:rPr>
          <w:sz w:val="22"/>
        </w:rPr>
        <w:t>reports of adverse effects in terrestrial </w:t>
      </w:r>
      <w:r>
        <w:rPr>
          <w:i/>
          <w:color w:val="FF0000"/>
          <w:sz w:val="22"/>
        </w:rPr>
        <w:t>[and aquatic, if applicable] </w:t>
      </w:r>
      <w:r>
        <w:rPr>
          <w:sz w:val="22"/>
        </w:rPr>
        <w:t>nontarget insects.</w:t>
      </w:r>
    </w:p>
    <w:p>
      <w:pPr>
        <w:pStyle w:val="BodyText"/>
        <w:rPr>
          <w:i w:val="0"/>
          <w:sz w:val="22"/>
        </w:rPr>
      </w:pPr>
    </w:p>
    <w:p>
      <w:pPr>
        <w:spacing w:before="0"/>
        <w:ind w:left="140" w:right="198" w:firstLine="0"/>
        <w:jc w:val="left"/>
        <w:rPr>
          <w:sz w:val="22"/>
        </w:rPr>
      </w:pPr>
      <w:r>
        <w:rPr>
          <w:sz w:val="22"/>
        </w:rPr>
        <w:t>The proposed uses of </w:t>
      </w:r>
      <w:r>
        <w:rPr>
          <w:i/>
          <w:color w:val="FF0000"/>
          <w:sz w:val="22"/>
        </w:rPr>
        <w:t>[product name] </w:t>
      </w:r>
      <w:r>
        <w:rPr>
          <w:sz w:val="22"/>
        </w:rPr>
        <w:t>on </w:t>
      </w:r>
      <w:r>
        <w:rPr>
          <w:i/>
          <w:color w:val="FF0000"/>
          <w:sz w:val="22"/>
        </w:rPr>
        <w:t>[identify use sites/crops] </w:t>
      </w:r>
      <w:r>
        <w:rPr>
          <w:sz w:val="22"/>
        </w:rPr>
        <w:t>is not expected to result in increased exposure or adverse effects to non-target insects. </w:t>
      </w:r>
      <w:r>
        <w:rPr>
          <w:i/>
          <w:color w:val="FF0000"/>
          <w:sz w:val="22"/>
        </w:rPr>
        <w:t>[If environmental concentration will show a substantial increase, give the </w:t>
      </w:r>
      <w:r>
        <w:rPr>
          <w:i/>
          <w:color w:val="FF0000"/>
          <w:sz w:val="22"/>
        </w:rPr>
        <w:t>rate of environmental reduction to background levels in days/weeks/months]. </w:t>
      </w:r>
      <w:r>
        <w:rPr>
          <w:sz w:val="22"/>
        </w:rPr>
        <w:t>Therefore, additional testing is not considered necessary to assess the risks of the </w:t>
      </w:r>
      <w:r>
        <w:rPr>
          <w:i/>
          <w:color w:val="FF0000"/>
          <w:sz w:val="22"/>
        </w:rPr>
        <w:t>[product name] </w:t>
      </w:r>
      <w:r>
        <w:rPr>
          <w:sz w:val="22"/>
        </w:rPr>
        <w:t>to nontarget insect wildlife. The </w:t>
      </w:r>
      <w:r>
        <w:rPr>
          <w:i/>
          <w:color w:val="FF0000"/>
          <w:sz w:val="22"/>
        </w:rPr>
        <w:t>[applicant] </w:t>
      </w:r>
      <w:r>
        <w:rPr>
          <w:sz w:val="22"/>
        </w:rPr>
        <w:t>requests a waiver of terrestrial </w:t>
      </w:r>
      <w:r>
        <w:rPr>
          <w:i/>
          <w:color w:val="FF0000"/>
          <w:sz w:val="22"/>
        </w:rPr>
        <w:t>[and aquatic, if applicable] </w:t>
      </w:r>
      <w:r>
        <w:rPr>
          <w:sz w:val="22"/>
        </w:rPr>
        <w:t>nontarget insect testing.</w:t>
      </w:r>
    </w:p>
    <w:p>
      <w:pPr>
        <w:pStyle w:val="BodyText"/>
        <w:spacing w:before="2"/>
        <w:rPr>
          <w:i w:val="0"/>
          <w:sz w:val="30"/>
        </w:rPr>
      </w:pPr>
    </w:p>
    <w:p>
      <w:pPr>
        <w:pStyle w:val="Heading1"/>
        <w:spacing w:before="1"/>
        <w:rPr>
          <w:i/>
          <w:u w:val="none"/>
        </w:rPr>
      </w:pPr>
      <w:r>
        <w:rPr>
          <w:i/>
          <w:color w:val="FF0000"/>
          <w:u w:val="none"/>
        </w:rPr>
        <w:t>(For a waiver request, otherwise delete)</w:t>
      </w:r>
    </w:p>
    <w:p>
      <w:pPr>
        <w:pStyle w:val="Heading5"/>
        <w:numPr>
          <w:ilvl w:val="0"/>
          <w:numId w:val="6"/>
        </w:numPr>
        <w:tabs>
          <w:tab w:pos="859" w:val="left" w:leader="none"/>
          <w:tab w:pos="860" w:val="left" w:leader="none"/>
          <w:tab w:pos="3739" w:val="left" w:leader="none"/>
        </w:tabs>
        <w:spacing w:line="240" w:lineRule="auto" w:before="252" w:after="0"/>
        <w:ind w:left="859" w:right="909" w:hanging="720"/>
        <w:jc w:val="left"/>
      </w:pPr>
      <w:r>
        <w:rPr>
          <w:b/>
          <w:i w:val="0"/>
        </w:rPr>
        <w:t>WAIVER</w:t>
      </w:r>
      <w:r>
        <w:rPr>
          <w:b/>
          <w:i w:val="0"/>
          <w:spacing w:val="-4"/>
        </w:rPr>
        <w:t> </w:t>
      </w:r>
      <w:r>
        <w:rPr>
          <w:b/>
          <w:i w:val="0"/>
        </w:rPr>
        <w:t>RATIONALE:</w:t>
        <w:tab/>
      </w:r>
      <w:r>
        <w:rPr>
          <w:i/>
          <w:color w:val="FF0000"/>
        </w:rPr>
        <w:t>[Summarize the information and/or data presented by</w:t>
      </w:r>
      <w:r>
        <w:rPr>
          <w:i/>
          <w:color w:val="FF0000"/>
          <w:spacing w:val="-27"/>
        </w:rPr>
        <w:t> </w:t>
      </w:r>
      <w:r>
        <w:rPr>
          <w:i/>
          <w:color w:val="FF0000"/>
        </w:rPr>
        <w:t>the</w:t>
      </w:r>
      <w:r>
        <w:rPr>
          <w:i/>
          <w:color w:val="FF0000"/>
          <w:spacing w:val="-5"/>
        </w:rPr>
        <w:t> </w:t>
      </w:r>
      <w:r>
        <w:rPr>
          <w:i/>
          <w:color w:val="FF0000"/>
        </w:rPr>
        <w:t>author</w:t>
      </w:r>
      <w:r>
        <w:rPr>
          <w:color w:val="FF0000"/>
          <w:w w:val="99"/>
        </w:rPr>
        <w:t> </w:t>
      </w:r>
      <w:r>
        <w:rPr>
          <w:color w:val="FF0000"/>
        </w:rPr>
        <w:t>justifying</w:t>
      </w:r>
      <w:r>
        <w:rPr>
          <w:color w:val="FF0000"/>
          <w:spacing w:val="-3"/>
        </w:rPr>
        <w:t> </w:t>
      </w:r>
      <w:r>
        <w:rPr>
          <w:color w:val="FF0000"/>
        </w:rPr>
        <w:t>why</w:t>
      </w:r>
      <w:r>
        <w:rPr>
          <w:color w:val="FF0000"/>
          <w:spacing w:val="-4"/>
        </w:rPr>
        <w:t> </w:t>
      </w:r>
      <w:r>
        <w:rPr>
          <w:color w:val="FF0000"/>
        </w:rPr>
        <w:t>the</w:t>
      </w:r>
      <w:r>
        <w:rPr>
          <w:color w:val="FF0000"/>
          <w:spacing w:val="-4"/>
        </w:rPr>
        <w:t> </w:t>
      </w:r>
      <w:r>
        <w:rPr>
          <w:color w:val="FF0000"/>
        </w:rPr>
        <w:t>required</w:t>
      </w:r>
      <w:r>
        <w:rPr>
          <w:color w:val="FF0000"/>
          <w:spacing w:val="-3"/>
        </w:rPr>
        <w:t> </w:t>
      </w:r>
      <w:r>
        <w:rPr>
          <w:color w:val="FF0000"/>
        </w:rPr>
        <w:t>data</w:t>
      </w:r>
      <w:r>
        <w:rPr>
          <w:color w:val="FF0000"/>
          <w:spacing w:val="-3"/>
        </w:rPr>
        <w:t> </w:t>
      </w:r>
      <w:r>
        <w:rPr>
          <w:color w:val="FF0000"/>
        </w:rPr>
        <w:t>element</w:t>
      </w:r>
      <w:r>
        <w:rPr>
          <w:color w:val="FF0000"/>
          <w:spacing w:val="-3"/>
        </w:rPr>
        <w:t> </w:t>
      </w:r>
      <w:r>
        <w:rPr>
          <w:color w:val="FF0000"/>
        </w:rPr>
        <w:t>should</w:t>
      </w:r>
      <w:r>
        <w:rPr>
          <w:color w:val="FF0000"/>
          <w:spacing w:val="-3"/>
        </w:rPr>
        <w:t> </w:t>
      </w:r>
      <w:r>
        <w:rPr>
          <w:color w:val="FF0000"/>
        </w:rPr>
        <w:t>be</w:t>
      </w:r>
      <w:r>
        <w:rPr>
          <w:color w:val="FF0000"/>
          <w:spacing w:val="-5"/>
        </w:rPr>
        <w:t> </w:t>
      </w:r>
      <w:r>
        <w:rPr>
          <w:color w:val="FF0000"/>
        </w:rPr>
        <w:t>waived</w:t>
      </w:r>
      <w:r>
        <w:rPr>
          <w:color w:val="FF0000"/>
          <w:spacing w:val="-3"/>
        </w:rPr>
        <w:t> </w:t>
      </w:r>
      <w:r>
        <w:rPr>
          <w:color w:val="FF0000"/>
        </w:rPr>
        <w:t>for</w:t>
      </w:r>
      <w:r>
        <w:rPr>
          <w:color w:val="FF0000"/>
          <w:spacing w:val="-4"/>
        </w:rPr>
        <w:t> </w:t>
      </w:r>
      <w:r>
        <w:rPr>
          <w:color w:val="FF0000"/>
        </w:rPr>
        <w:t>the</w:t>
      </w:r>
      <w:r>
        <w:rPr>
          <w:color w:val="FF0000"/>
          <w:spacing w:val="-4"/>
        </w:rPr>
        <w:t> </w:t>
      </w:r>
      <w:r>
        <w:rPr>
          <w:color w:val="FF0000"/>
        </w:rPr>
        <w:t>MPCA,</w:t>
      </w:r>
      <w:r>
        <w:rPr>
          <w:color w:val="FF0000"/>
          <w:spacing w:val="-3"/>
        </w:rPr>
        <w:t> </w:t>
      </w:r>
      <w:r>
        <w:rPr>
          <w:color w:val="FF0000"/>
        </w:rPr>
        <w:t>TGAI,</w:t>
      </w:r>
      <w:r>
        <w:rPr>
          <w:color w:val="FF0000"/>
          <w:spacing w:val="-3"/>
        </w:rPr>
        <w:t> </w:t>
      </w:r>
      <w:r>
        <w:rPr>
          <w:color w:val="FF0000"/>
        </w:rPr>
        <w:t>MP,</w:t>
      </w:r>
      <w:r>
        <w:rPr>
          <w:color w:val="FF0000"/>
          <w:spacing w:val="-3"/>
        </w:rPr>
        <w:t> </w:t>
      </w:r>
      <w:r>
        <w:rPr>
          <w:color w:val="FF0000"/>
        </w:rPr>
        <w:t>or</w:t>
      </w:r>
      <w:r>
        <w:rPr>
          <w:color w:val="FF0000"/>
          <w:spacing w:val="-4"/>
        </w:rPr>
        <w:t> </w:t>
      </w:r>
      <w:r>
        <w:rPr>
          <w:color w:val="FF0000"/>
        </w:rPr>
        <w:t>EP.]</w:t>
      </w:r>
    </w:p>
    <w:p>
      <w:pPr>
        <w:pStyle w:val="BodyText"/>
        <w:spacing w:before="9"/>
        <w:rPr>
          <w:i/>
          <w:sz w:val="21"/>
        </w:rPr>
      </w:pPr>
    </w:p>
    <w:p>
      <w:pPr>
        <w:spacing w:before="1"/>
        <w:ind w:left="859" w:right="0" w:firstLine="0"/>
        <w:jc w:val="left"/>
        <w:rPr>
          <w:sz w:val="22"/>
        </w:rPr>
      </w:pPr>
      <w:r>
        <w:rPr>
          <w:sz w:val="22"/>
        </w:rPr>
        <w:t>The waiver request is based on the following rationales:</w:t>
      </w:r>
    </w:p>
    <w:p>
      <w:pPr>
        <w:pStyle w:val="BodyText"/>
        <w:spacing w:before="1"/>
        <w:rPr>
          <w:i w:val="0"/>
          <w:sz w:val="22"/>
        </w:rPr>
      </w:pPr>
    </w:p>
    <w:p>
      <w:pPr>
        <w:pStyle w:val="ListParagraph"/>
        <w:numPr>
          <w:ilvl w:val="1"/>
          <w:numId w:val="6"/>
        </w:numPr>
        <w:tabs>
          <w:tab w:pos="1129" w:val="left" w:leader="none"/>
        </w:tabs>
        <w:spacing w:line="240" w:lineRule="auto" w:before="0" w:after="0"/>
        <w:ind w:left="859" w:right="610" w:firstLine="1"/>
        <w:jc w:val="left"/>
        <w:rPr>
          <w:i/>
          <w:sz w:val="22"/>
          <w:u w:val="none"/>
        </w:rPr>
      </w:pPr>
      <w:r>
        <w:rPr>
          <w:b/>
          <w:sz w:val="22"/>
          <w:u w:val="none"/>
        </w:rPr>
        <w:t>Increased environmental exposure to </w:t>
      </w:r>
      <w:r>
        <w:rPr>
          <w:b/>
          <w:i/>
          <w:color w:val="FF0000"/>
          <w:sz w:val="22"/>
          <w:u w:val="none"/>
        </w:rPr>
        <w:t>[name of active ingredient]</w:t>
      </w:r>
      <w:r>
        <w:rPr>
          <w:b/>
          <w:sz w:val="22"/>
          <w:u w:val="none"/>
        </w:rPr>
        <w:t>, due to use of the end-use product </w:t>
      </w:r>
      <w:r>
        <w:rPr>
          <w:b/>
          <w:i/>
          <w:color w:val="FF0000"/>
          <w:sz w:val="22"/>
          <w:u w:val="none"/>
        </w:rPr>
        <w:t>[product name]</w:t>
      </w:r>
      <w:r>
        <w:rPr>
          <w:b/>
          <w:sz w:val="22"/>
          <w:u w:val="none"/>
        </w:rPr>
        <w:t>, will be minimal to nontarget insects. </w:t>
      </w:r>
      <w:r>
        <w:rPr>
          <w:i/>
          <w:color w:val="FF0000"/>
          <w:sz w:val="22"/>
          <w:u w:val="none"/>
        </w:rPr>
        <w:t>[Applicant should provide further </w:t>
      </w:r>
      <w:r>
        <w:rPr>
          <w:i/>
          <w:color w:val="FF0000"/>
          <w:sz w:val="22"/>
          <w:u w:val="none"/>
        </w:rPr>
        <w:t>elaboration: Describe the natural habitat of the MPCA. </w:t>
      </w:r>
      <w:r>
        <w:rPr>
          <w:i/>
          <w:color w:val="FF0000"/>
          <w:sz w:val="24"/>
          <w:u w:val="none"/>
        </w:rPr>
        <w:t>Is it an obligate parasite/epiphyte? </w:t>
      </w:r>
      <w:r>
        <w:rPr>
          <w:i/>
          <w:color w:val="FF0000"/>
          <w:sz w:val="22"/>
          <w:u w:val="none"/>
        </w:rPr>
        <w:t>Is it ubiquitous in nature (give geographical distribution)? Has the MPCA, and/or phylogenetically close species/strains, been isolated from soil/streams/ponds/lakes and a variety of plant surfaces including (identify names) crops/vegetables/fruits? Provide the known natural concentration of the MPCA in CFU/(weight-volume-surface area) in these environmental</w:t>
      </w:r>
      <w:r>
        <w:rPr>
          <w:i/>
          <w:color w:val="FF0000"/>
          <w:spacing w:val="-34"/>
          <w:sz w:val="22"/>
          <w:u w:val="none"/>
        </w:rPr>
        <w:t> </w:t>
      </w:r>
      <w:r>
        <w:rPr>
          <w:i/>
          <w:color w:val="FF0000"/>
          <w:sz w:val="22"/>
          <w:u w:val="none"/>
        </w:rPr>
        <w:t>niches.]</w:t>
      </w:r>
    </w:p>
    <w:p>
      <w:pPr>
        <w:pStyle w:val="BodyText"/>
        <w:spacing w:before="10"/>
        <w:rPr>
          <w:i/>
          <w:sz w:val="21"/>
        </w:rPr>
      </w:pPr>
    </w:p>
    <w:p>
      <w:pPr>
        <w:pStyle w:val="Heading5"/>
        <w:ind w:left="859" w:right="213"/>
      </w:pPr>
      <w:r>
        <w:rPr>
          <w:i w:val="0"/>
        </w:rPr>
        <w:t>Use of </w:t>
      </w:r>
      <w:r>
        <w:rPr>
          <w:i/>
          <w:color w:val="FF0000"/>
        </w:rPr>
        <w:t>[product name] </w:t>
      </w:r>
      <w:r>
        <w:rPr>
          <w:i w:val="0"/>
        </w:rPr>
        <w:t>will be limited to </w:t>
      </w:r>
      <w:r>
        <w:rPr>
          <w:i/>
          <w:color w:val="FF0000"/>
        </w:rPr>
        <w:t>[soil, seed, foliar, greenhouse, etc.] </w:t>
      </w:r>
      <w:r>
        <w:rPr>
          <w:i w:val="0"/>
        </w:rPr>
        <w:t>applications </w:t>
      </w:r>
      <w:r>
        <w:rPr>
          <w:i/>
          <w:color w:val="FF0000"/>
        </w:rPr>
        <w:t>[by spray, dip, </w:t>
      </w:r>
      <w:r>
        <w:rPr>
          <w:color w:val="FF0000"/>
        </w:rPr>
        <w:t>soil incorporation, aerial, etc.] </w:t>
      </w:r>
      <w:r>
        <w:rPr>
          <w:i w:val="0"/>
        </w:rPr>
        <w:t>on </w:t>
      </w:r>
      <w:r>
        <w:rPr>
          <w:i/>
          <w:color w:val="FF0000"/>
        </w:rPr>
        <w:t>[name crops/use sites]</w:t>
      </w:r>
      <w:r>
        <w:rPr>
          <w:i w:val="0"/>
        </w:rPr>
        <w:t>, thus minimizing direct exposure to non-target insects. </w:t>
      </w:r>
      <w:r>
        <w:rPr>
          <w:i/>
          <w:color w:val="FF0000"/>
        </w:rPr>
        <w:t>[Does timing of application preclude direct exposure to insects/arthropods? Discuss crop use </w:t>
      </w:r>
      <w:r>
        <w:rPr>
          <w:color w:val="FF0000"/>
        </w:rPr>
        <w:t>sites and application methods and its effects on limiting runoff, if applicable. Provide the rate in environmental reduction of the MPCA to background levels in days/weeks/months, if available. Include any other factors that would limit exposure to non-target insects and other terrestrial arthropods. Would any of the MPCA that reaches the soil/water behave as it would in the wild?]</w:t>
      </w:r>
    </w:p>
    <w:p>
      <w:pPr>
        <w:spacing w:after="0"/>
        <w:sectPr>
          <w:headerReference w:type="default" r:id="rId9"/>
          <w:pgSz w:w="12240" w:h="15840"/>
          <w:pgMar w:header="729" w:footer="796" w:top="1860" w:bottom="9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pStyle w:val="ListParagraph"/>
        <w:numPr>
          <w:ilvl w:val="1"/>
          <w:numId w:val="6"/>
        </w:numPr>
        <w:tabs>
          <w:tab w:pos="1117" w:val="left" w:leader="none"/>
        </w:tabs>
        <w:spacing w:line="240" w:lineRule="auto" w:before="148" w:after="0"/>
        <w:ind w:left="859" w:right="149" w:firstLine="1"/>
        <w:jc w:val="left"/>
        <w:rPr>
          <w:i/>
          <w:sz w:val="22"/>
          <w:u w:val="none"/>
        </w:rPr>
      </w:pPr>
      <w:r>
        <w:rPr>
          <w:b/>
          <w:sz w:val="22"/>
          <w:u w:val="none"/>
        </w:rPr>
        <w:t>No evidence of adverse effects. </w:t>
      </w:r>
      <w:r>
        <w:rPr>
          <w:sz w:val="22"/>
          <w:u w:val="none"/>
        </w:rPr>
        <w:t>A literature search of the </w:t>
      </w:r>
      <w:r>
        <w:rPr>
          <w:i/>
          <w:color w:val="FF0000"/>
          <w:sz w:val="22"/>
          <w:u w:val="none"/>
        </w:rPr>
        <w:t>[e.g., AGRICOLA, TOXLINE, </w:t>
      </w:r>
      <w:r>
        <w:rPr>
          <w:i/>
          <w:color w:val="FF0000"/>
          <w:sz w:val="22"/>
          <w:u w:val="none"/>
        </w:rPr>
        <w:t>BIOLOGICAL ABSTRACTS, CHEMTOX, PUBMED, HAZARDOUS AND REGULATED CHEMICALS DATABASE or OTHER] </w:t>
      </w:r>
      <w:r>
        <w:rPr>
          <w:sz w:val="22"/>
          <w:u w:val="none"/>
        </w:rPr>
        <w:t>databases for the period </w:t>
      </w:r>
      <w:r>
        <w:rPr>
          <w:i/>
          <w:color w:val="FF0000"/>
          <w:sz w:val="22"/>
          <w:u w:val="none"/>
        </w:rPr>
        <w:t>[year range] </w:t>
      </w:r>
      <w:r>
        <w:rPr>
          <w:sz w:val="22"/>
          <w:u w:val="none"/>
        </w:rPr>
        <w:t>was conducted. In this literature search, </w:t>
      </w:r>
      <w:r>
        <w:rPr>
          <w:i/>
          <w:color w:val="FF0000"/>
          <w:sz w:val="22"/>
          <w:u w:val="none"/>
        </w:rPr>
        <w:t>[name of MPCA] </w:t>
      </w:r>
      <w:r>
        <w:rPr>
          <w:sz w:val="22"/>
          <w:u w:val="none"/>
        </w:rPr>
        <w:t>and other phylogenetically close species/strains in the </w:t>
      </w:r>
      <w:r>
        <w:rPr>
          <w:i/>
          <w:color w:val="FF0000"/>
          <w:sz w:val="22"/>
          <w:u w:val="none"/>
        </w:rPr>
        <w:t>[family/genus/species-group, etc., </w:t>
      </w:r>
      <w:r>
        <w:rPr>
          <w:i/>
          <w:color w:val="FF0000"/>
          <w:sz w:val="22"/>
          <w:u w:val="none"/>
        </w:rPr>
        <w:t>as appropriate]</w:t>
      </w:r>
      <w:r>
        <w:rPr>
          <w:sz w:val="22"/>
          <w:u w:val="none"/>
        </w:rPr>
        <w:t>, as well as synonyms </w:t>
      </w:r>
      <w:r>
        <w:rPr>
          <w:i/>
          <w:color w:val="FF0000"/>
          <w:sz w:val="22"/>
          <w:u w:val="none"/>
        </w:rPr>
        <w:t>[name of synonyms of MPCA, if any] </w:t>
      </w:r>
      <w:r>
        <w:rPr>
          <w:sz w:val="22"/>
          <w:u w:val="none"/>
        </w:rPr>
        <w:t>were used as the search words. The searches were also used to ascertain the known production of </w:t>
      </w:r>
      <w:r>
        <w:rPr>
          <w:i/>
          <w:color w:val="FF0000"/>
          <w:sz w:val="22"/>
          <w:u w:val="none"/>
        </w:rPr>
        <w:t>[genotoxic, carcinogenic, </w:t>
      </w:r>
      <w:r>
        <w:rPr>
          <w:i/>
          <w:color w:val="FF0000"/>
          <w:sz w:val="22"/>
          <w:u w:val="none"/>
        </w:rPr>
        <w:t>allergenic, mutagenic, toxic] </w:t>
      </w:r>
      <w:r>
        <w:rPr>
          <w:sz w:val="22"/>
          <w:u w:val="none"/>
        </w:rPr>
        <w:t>metabolites, antibiotics, mycotoxins, mycocins, pathogenicity, environmental fate and interactions with terrestrial nontarget insects. </w:t>
      </w:r>
      <w:r>
        <w:rPr>
          <w:i/>
          <w:color w:val="FF0000"/>
          <w:sz w:val="22"/>
          <w:u w:val="none"/>
        </w:rPr>
        <w:t>[Include the metabolites found to be </w:t>
      </w:r>
      <w:r>
        <w:rPr>
          <w:i/>
          <w:color w:val="FF0000"/>
          <w:sz w:val="22"/>
          <w:u w:val="none"/>
        </w:rPr>
        <w:t>produced - does the MPCA strain also produce these or other metabolites? Have natural populations of the</w:t>
      </w:r>
      <w:r>
        <w:rPr>
          <w:i/>
          <w:color w:val="FF0000"/>
          <w:spacing w:val="-5"/>
          <w:sz w:val="22"/>
          <w:u w:val="none"/>
        </w:rPr>
        <w:t> </w:t>
      </w:r>
      <w:r>
        <w:rPr>
          <w:i/>
          <w:color w:val="FF0000"/>
          <w:sz w:val="22"/>
          <w:u w:val="none"/>
        </w:rPr>
        <w:t>MPCA</w:t>
      </w:r>
      <w:r>
        <w:rPr>
          <w:i/>
          <w:color w:val="FF0000"/>
          <w:spacing w:val="-4"/>
          <w:sz w:val="22"/>
          <w:u w:val="none"/>
        </w:rPr>
        <w:t> </w:t>
      </w:r>
      <w:r>
        <w:rPr>
          <w:i/>
          <w:color w:val="FF0000"/>
          <w:sz w:val="22"/>
          <w:u w:val="none"/>
        </w:rPr>
        <w:t>or</w:t>
      </w:r>
      <w:r>
        <w:rPr>
          <w:i/>
          <w:color w:val="FF0000"/>
          <w:spacing w:val="-5"/>
          <w:sz w:val="22"/>
          <w:u w:val="none"/>
        </w:rPr>
        <w:t> </w:t>
      </w:r>
      <w:r>
        <w:rPr>
          <w:i/>
          <w:color w:val="FF0000"/>
          <w:sz w:val="22"/>
          <w:u w:val="none"/>
        </w:rPr>
        <w:t>its</w:t>
      </w:r>
      <w:r>
        <w:rPr>
          <w:i/>
          <w:color w:val="FF0000"/>
          <w:spacing w:val="-5"/>
          <w:sz w:val="22"/>
          <w:u w:val="none"/>
        </w:rPr>
        <w:t> </w:t>
      </w:r>
      <w:r>
        <w:rPr>
          <w:i/>
          <w:color w:val="FF0000"/>
          <w:sz w:val="22"/>
          <w:u w:val="none"/>
        </w:rPr>
        <w:t>metabolites</w:t>
      </w:r>
      <w:r>
        <w:rPr>
          <w:i/>
          <w:color w:val="FF0000"/>
          <w:spacing w:val="-5"/>
          <w:sz w:val="22"/>
          <w:u w:val="none"/>
        </w:rPr>
        <w:t> </w:t>
      </w:r>
      <w:r>
        <w:rPr>
          <w:i/>
          <w:color w:val="FF0000"/>
          <w:sz w:val="22"/>
          <w:u w:val="none"/>
        </w:rPr>
        <w:t>been</w:t>
      </w:r>
      <w:r>
        <w:rPr>
          <w:i/>
          <w:color w:val="FF0000"/>
          <w:spacing w:val="-4"/>
          <w:sz w:val="22"/>
          <w:u w:val="none"/>
        </w:rPr>
        <w:t> </w:t>
      </w:r>
      <w:r>
        <w:rPr>
          <w:i/>
          <w:color w:val="FF0000"/>
          <w:sz w:val="22"/>
          <w:u w:val="none"/>
        </w:rPr>
        <w:t>associated</w:t>
      </w:r>
      <w:r>
        <w:rPr>
          <w:i/>
          <w:color w:val="FF0000"/>
          <w:spacing w:val="-4"/>
          <w:sz w:val="22"/>
          <w:u w:val="none"/>
        </w:rPr>
        <w:t> </w:t>
      </w:r>
      <w:r>
        <w:rPr>
          <w:i/>
          <w:color w:val="FF0000"/>
          <w:sz w:val="22"/>
          <w:u w:val="none"/>
        </w:rPr>
        <w:t>with</w:t>
      </w:r>
      <w:r>
        <w:rPr>
          <w:i/>
          <w:color w:val="FF0000"/>
          <w:spacing w:val="-4"/>
          <w:sz w:val="22"/>
          <w:u w:val="none"/>
        </w:rPr>
        <w:t> </w:t>
      </w:r>
      <w:r>
        <w:rPr>
          <w:i/>
          <w:color w:val="FF0000"/>
          <w:sz w:val="22"/>
          <w:u w:val="none"/>
        </w:rPr>
        <w:t>adverse</w:t>
      </w:r>
      <w:r>
        <w:rPr>
          <w:i/>
          <w:color w:val="FF0000"/>
          <w:spacing w:val="-3"/>
          <w:sz w:val="22"/>
          <w:u w:val="none"/>
        </w:rPr>
        <w:t> </w:t>
      </w:r>
      <w:r>
        <w:rPr>
          <w:i/>
          <w:color w:val="FF0000"/>
          <w:sz w:val="22"/>
          <w:u w:val="none"/>
        </w:rPr>
        <w:t>effects</w:t>
      </w:r>
      <w:r>
        <w:rPr>
          <w:i/>
          <w:color w:val="FF0000"/>
          <w:spacing w:val="-5"/>
          <w:sz w:val="22"/>
          <w:u w:val="none"/>
        </w:rPr>
        <w:t> </w:t>
      </w:r>
      <w:r>
        <w:rPr>
          <w:i/>
          <w:color w:val="FF0000"/>
          <w:sz w:val="22"/>
          <w:u w:val="none"/>
        </w:rPr>
        <w:t>in</w:t>
      </w:r>
      <w:r>
        <w:rPr>
          <w:i/>
          <w:color w:val="FF0000"/>
          <w:spacing w:val="-4"/>
          <w:sz w:val="22"/>
          <w:u w:val="none"/>
        </w:rPr>
        <w:t> </w:t>
      </w:r>
      <w:r>
        <w:rPr>
          <w:i/>
          <w:color w:val="FF0000"/>
          <w:sz w:val="22"/>
          <w:u w:val="none"/>
        </w:rPr>
        <w:t>terrestrial</w:t>
      </w:r>
      <w:r>
        <w:rPr>
          <w:i/>
          <w:color w:val="FF0000"/>
          <w:spacing w:val="-4"/>
          <w:sz w:val="22"/>
          <w:u w:val="none"/>
        </w:rPr>
        <w:t> </w:t>
      </w:r>
      <w:r>
        <w:rPr>
          <w:i/>
          <w:color w:val="FF0000"/>
          <w:sz w:val="22"/>
          <w:u w:val="none"/>
        </w:rPr>
        <w:t>nontarget</w:t>
      </w:r>
      <w:r>
        <w:rPr>
          <w:i/>
          <w:color w:val="FF0000"/>
          <w:spacing w:val="-4"/>
          <w:sz w:val="22"/>
          <w:u w:val="none"/>
        </w:rPr>
        <w:t> </w:t>
      </w:r>
      <w:r>
        <w:rPr>
          <w:i/>
          <w:color w:val="FF0000"/>
          <w:sz w:val="22"/>
          <w:u w:val="none"/>
        </w:rPr>
        <w:t>insect</w:t>
      </w:r>
      <w:r>
        <w:rPr>
          <w:i/>
          <w:color w:val="FF0000"/>
          <w:spacing w:val="-4"/>
          <w:sz w:val="22"/>
          <w:u w:val="none"/>
        </w:rPr>
        <w:t> </w:t>
      </w:r>
      <w:r>
        <w:rPr>
          <w:i/>
          <w:color w:val="FF0000"/>
          <w:sz w:val="22"/>
          <w:u w:val="none"/>
        </w:rPr>
        <w:t>species?]</w:t>
      </w:r>
    </w:p>
    <w:p>
      <w:pPr>
        <w:pStyle w:val="BodyText"/>
        <w:spacing w:before="10"/>
        <w:rPr>
          <w:i/>
          <w:sz w:val="21"/>
        </w:rPr>
      </w:pPr>
    </w:p>
    <w:p>
      <w:pPr>
        <w:pStyle w:val="Heading5"/>
        <w:ind w:left="859" w:right="154"/>
      </w:pPr>
      <w:r>
        <w:rPr>
          <w:i/>
          <w:color w:val="FF0000"/>
        </w:rPr>
        <w:t>[Discuss whether runoff or overspray would result in effects not seen from the naturally occurring MPCA </w:t>
      </w:r>
      <w:r>
        <w:rPr>
          <w:color w:val="FF0000"/>
        </w:rPr>
        <w:t>levels.  Does the MPCA appear on any authoritative list of insect/arthropod pathogens, particularly honey bees and other pollinators as well as beneficials such as predators and parasites? Provide the lists examined. Have any adverse effects to wild populations of terrestrial arthropods been reported due to naturally occurring populations of the</w:t>
      </w:r>
      <w:r>
        <w:rPr>
          <w:color w:val="FF0000"/>
          <w:spacing w:val="-25"/>
        </w:rPr>
        <w:t> </w:t>
      </w:r>
      <w:r>
        <w:rPr>
          <w:color w:val="FF0000"/>
        </w:rPr>
        <w:t>MPCA?]</w:t>
      </w:r>
    </w:p>
    <w:p>
      <w:pPr>
        <w:pStyle w:val="BodyText"/>
        <w:rPr>
          <w:i/>
          <w:sz w:val="22"/>
        </w:rPr>
      </w:pPr>
    </w:p>
    <w:p>
      <w:pPr>
        <w:spacing w:before="0"/>
        <w:ind w:left="859" w:right="252" w:firstLine="0"/>
        <w:jc w:val="left"/>
        <w:rPr>
          <w:b/>
          <w:sz w:val="22"/>
        </w:rPr>
      </w:pPr>
      <w:r>
        <w:rPr>
          <w:b/>
          <w:color w:val="FF0000"/>
          <w:sz w:val="22"/>
        </w:rPr>
        <w:t>[</w:t>
      </w:r>
      <w:r>
        <w:rPr>
          <w:b/>
          <w:i/>
          <w:color w:val="FF0000"/>
          <w:sz w:val="22"/>
        </w:rPr>
        <w:t>NOTE: All statements used as justification to support the scientific rationale for the waiver rationale </w:t>
      </w:r>
      <w:r>
        <w:rPr>
          <w:b/>
          <w:i/>
          <w:color w:val="FF0000"/>
          <w:sz w:val="22"/>
        </w:rPr>
        <w:t>should be individually supported by a reference (i.e. studies in the open literature, references to other study reports in the submission and/ or other studies conducted by the registrant/applicant). Include specific details and/or excerpts of relevant data/information from individual references. Supporting data include:  background information of MPCA (e.g. previously reported characterization data related to its identity, mode of action, its nature, prevalence and/or interactions in the environment), supporting evidence/rationale for lack of adverse effects and lack (or minimal) environmental exposure to nontarget species, history of safe use, and/or significant similarities to other microbial strains.</w:t>
      </w:r>
      <w:r>
        <w:rPr>
          <w:b/>
          <w:color w:val="FF0000"/>
          <w:sz w:val="22"/>
        </w:rPr>
        <w:t>]</w:t>
      </w:r>
    </w:p>
    <w:p>
      <w:pPr>
        <w:pStyle w:val="BodyText"/>
        <w:spacing w:before="10"/>
        <w:rPr>
          <w:b/>
          <w:i w:val="0"/>
          <w:sz w:val="21"/>
        </w:rPr>
      </w:pPr>
    </w:p>
    <w:p>
      <w:pPr>
        <w:pStyle w:val="ListParagraph"/>
        <w:numPr>
          <w:ilvl w:val="0"/>
          <w:numId w:val="6"/>
        </w:numPr>
        <w:tabs>
          <w:tab w:pos="859" w:val="left" w:leader="none"/>
          <w:tab w:pos="860" w:val="left" w:leader="none"/>
        </w:tabs>
        <w:spacing w:line="240" w:lineRule="auto" w:before="0" w:after="0"/>
        <w:ind w:left="859" w:right="0" w:hanging="720"/>
        <w:jc w:val="left"/>
        <w:rPr>
          <w:b/>
          <w:sz w:val="22"/>
          <w:u w:val="none"/>
        </w:rPr>
      </w:pPr>
      <w:r>
        <w:rPr>
          <w:b/>
          <w:sz w:val="22"/>
          <w:u w:val="none"/>
        </w:rPr>
        <w:t>CONCLUSION</w:t>
      </w:r>
    </w:p>
    <w:p>
      <w:pPr>
        <w:pStyle w:val="BodyText"/>
        <w:rPr>
          <w:b/>
          <w:i w:val="0"/>
          <w:sz w:val="22"/>
        </w:rPr>
      </w:pPr>
    </w:p>
    <w:p>
      <w:pPr>
        <w:pStyle w:val="ListParagraph"/>
        <w:numPr>
          <w:ilvl w:val="0"/>
          <w:numId w:val="7"/>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6"/>
        <w:rPr>
          <w:i/>
          <w:sz w:val="20"/>
        </w:rPr>
      </w:pPr>
    </w:p>
    <w:p>
      <w:pPr>
        <w:pStyle w:val="ListParagraph"/>
        <w:numPr>
          <w:ilvl w:val="0"/>
          <w:numId w:val="7"/>
        </w:numPr>
        <w:tabs>
          <w:tab w:pos="859" w:val="left" w:leader="none"/>
          <w:tab w:pos="861" w:val="left" w:leader="none"/>
          <w:tab w:pos="4459" w:val="left" w:leader="none"/>
        </w:tabs>
        <w:spacing w:line="240" w:lineRule="auto" w:before="90"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5"/>
        <w:rPr>
          <w:i/>
          <w:sz w:val="20"/>
        </w:rPr>
      </w:pPr>
    </w:p>
    <w:p>
      <w:pPr>
        <w:pStyle w:val="Heading5"/>
        <w:numPr>
          <w:ilvl w:val="0"/>
          <w:numId w:val="7"/>
        </w:numPr>
        <w:tabs>
          <w:tab w:pos="859" w:val="left" w:leader="none"/>
          <w:tab w:pos="861" w:val="left" w:leader="none"/>
          <w:tab w:pos="3019" w:val="left" w:leader="none"/>
        </w:tabs>
        <w:spacing w:line="240" w:lineRule="auto" w:before="91"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5"/>
        <w:rPr>
          <w:i/>
          <w:sz w:val="28"/>
        </w:rPr>
      </w:pPr>
    </w:p>
    <w:p>
      <w:pPr>
        <w:pStyle w:val="ListParagraph"/>
        <w:numPr>
          <w:ilvl w:val="0"/>
          <w:numId w:val="7"/>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5"/>
        <w:rPr>
          <w:b/>
          <w:i w:val="0"/>
          <w:sz w:val="28"/>
        </w:rPr>
      </w:pPr>
    </w:p>
    <w:p>
      <w:pPr>
        <w:pStyle w:val="ListParagraph"/>
        <w:numPr>
          <w:ilvl w:val="0"/>
          <w:numId w:val="6"/>
        </w:numPr>
        <w:tabs>
          <w:tab w:pos="859" w:val="left" w:leader="none"/>
          <w:tab w:pos="861" w:val="left" w:leader="none"/>
        </w:tabs>
        <w:spacing w:line="240" w:lineRule="auto" w:before="0" w:after="0"/>
        <w:ind w:left="860" w:right="0" w:hanging="720"/>
        <w:jc w:val="left"/>
        <w:rPr>
          <w:i/>
          <w:sz w:val="22"/>
          <w:u w:val="none"/>
        </w:rPr>
      </w:pPr>
      <w:r>
        <w:rPr>
          <w:b/>
          <w:sz w:val="22"/>
          <w:u w:val="none"/>
        </w:rPr>
        <w:t>REFERENCES: </w:t>
      </w:r>
      <w:r>
        <w:rPr>
          <w:i/>
          <w:color w:val="FF0000"/>
          <w:sz w:val="22"/>
          <w:u w:val="none"/>
        </w:rPr>
        <w:t>[List references that were cited in the study</w:t>
      </w:r>
      <w:r>
        <w:rPr>
          <w:i/>
          <w:color w:val="FF0000"/>
          <w:spacing w:val="-30"/>
          <w:sz w:val="22"/>
          <w:u w:val="none"/>
        </w:rPr>
        <w:t> </w:t>
      </w:r>
      <w:r>
        <w:rPr>
          <w:i/>
          <w:color w:val="FF0000"/>
          <w:sz w:val="22"/>
          <w:u w:val="none"/>
        </w:rPr>
        <w:t>report]</w:t>
      </w:r>
    </w:p>
    <w:p>
      <w:pPr>
        <w:pStyle w:val="BodyText"/>
        <w:spacing w:before="10"/>
        <w:rPr>
          <w:i/>
          <w:sz w:val="21"/>
        </w:rPr>
      </w:pPr>
    </w:p>
    <w:p>
      <w:pPr>
        <w:spacing w:before="1"/>
        <w:ind w:left="860" w:right="215" w:firstLine="0"/>
        <w:jc w:val="left"/>
        <w:rPr>
          <w:b/>
          <w:i/>
          <w:sz w:val="22"/>
        </w:rPr>
      </w:pPr>
      <w:r>
        <w:rPr>
          <w:b/>
          <w:i/>
          <w:color w:val="FF0000"/>
          <w:sz w:val="22"/>
        </w:rPr>
        <w:t>[NOTE: Depending on the level of relevance- copies of published literature and any other supporting </w:t>
      </w:r>
      <w:r>
        <w:rPr>
          <w:b/>
          <w:i/>
          <w:color w:val="FF0000"/>
          <w:sz w:val="22"/>
        </w:rPr>
        <w:t>literature that support the use of alternative data/waiver rationale (including other studies reporting similar findings) should be provided as an appendix and attached to the study report for the reviewer’s reference and verification of rationale.]</w:t>
      </w:r>
    </w:p>
    <w:p>
      <w:pPr>
        <w:spacing w:after="0"/>
        <w:jc w:val="left"/>
        <w:rPr>
          <w:sz w:val="22"/>
        </w:rPr>
        <w:sectPr>
          <w:pgSz w:w="12240" w:h="15840"/>
          <w:pgMar w:header="729" w:footer="796" w:top="1860" w:bottom="9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spacing w:before="150"/>
        <w:ind w:left="140" w:right="0" w:firstLine="0"/>
        <w:jc w:val="left"/>
        <w:rPr>
          <w:b/>
          <w:i/>
          <w:sz w:val="30"/>
        </w:rPr>
      </w:pPr>
      <w:r>
        <w:rPr>
          <w:b/>
          <w:i/>
          <w:color w:val="FF0000"/>
          <w:sz w:val="30"/>
        </w:rPr>
        <w:t>(For a published study, otherwise delete)</w:t>
      </w:r>
    </w:p>
    <w:p>
      <w:pPr>
        <w:pStyle w:val="ListParagraph"/>
        <w:numPr>
          <w:ilvl w:val="0"/>
          <w:numId w:val="8"/>
        </w:numPr>
        <w:tabs>
          <w:tab w:pos="859" w:val="left" w:leader="none"/>
          <w:tab w:pos="860" w:val="left" w:leader="none"/>
          <w:tab w:pos="2299" w:val="left" w:leader="none"/>
        </w:tabs>
        <w:spacing w:line="240" w:lineRule="auto" w:before="252" w:after="0"/>
        <w:ind w:left="860" w:right="0" w:hanging="721"/>
        <w:jc w:val="left"/>
        <w:rPr>
          <w:i/>
          <w:sz w:val="22"/>
          <w:u w:val="none"/>
        </w:rPr>
      </w:pPr>
      <w:r>
        <w:rPr>
          <w:b/>
          <w:sz w:val="22"/>
          <w:u w:val="none"/>
        </w:rPr>
        <w:t>PURPOSE:</w:t>
        <w:tab/>
      </w:r>
      <w:r>
        <w:rPr>
          <w:i/>
          <w:color w:val="FF0000"/>
          <w:sz w:val="22"/>
          <w:u w:val="none"/>
        </w:rPr>
        <w:t>[Indicate the purpose of the</w:t>
      </w:r>
      <w:r>
        <w:rPr>
          <w:i/>
          <w:color w:val="FF0000"/>
          <w:spacing w:val="-18"/>
          <w:sz w:val="22"/>
          <w:u w:val="none"/>
        </w:rPr>
        <w:t> </w:t>
      </w:r>
      <w:r>
        <w:rPr>
          <w:i/>
          <w:color w:val="FF0000"/>
          <w:sz w:val="22"/>
          <w:u w:val="none"/>
        </w:rPr>
        <w:t>study]</w:t>
      </w:r>
    </w:p>
    <w:p>
      <w:pPr>
        <w:pStyle w:val="BodyText"/>
        <w:spacing w:before="10"/>
        <w:rPr>
          <w:i/>
          <w:sz w:val="21"/>
        </w:rPr>
      </w:pPr>
    </w:p>
    <w:p>
      <w:pPr>
        <w:pStyle w:val="Heading5"/>
        <w:numPr>
          <w:ilvl w:val="0"/>
          <w:numId w:val="8"/>
        </w:numPr>
        <w:tabs>
          <w:tab w:pos="859" w:val="left" w:leader="none"/>
          <w:tab w:pos="860" w:val="left" w:leader="none"/>
          <w:tab w:pos="2299" w:val="left" w:leader="none"/>
        </w:tabs>
        <w:spacing w:line="240" w:lineRule="auto" w:before="0" w:after="0"/>
        <w:ind w:left="859" w:right="0" w:hanging="720"/>
        <w:jc w:val="left"/>
        <w:rPr>
          <w:i/>
        </w:rPr>
      </w:pPr>
      <w:r>
        <w:rPr>
          <w:b/>
          <w:i w:val="0"/>
        </w:rPr>
        <w:t>METHOD:</w:t>
        <w:tab/>
      </w:r>
      <w:r>
        <w:rPr>
          <w:i/>
          <w:color w:val="FF0000"/>
        </w:rPr>
        <w:t>[Describe the experimental</w:t>
      </w:r>
      <w:r>
        <w:rPr>
          <w:i/>
          <w:color w:val="FF0000"/>
          <w:spacing w:val="-22"/>
        </w:rPr>
        <w:t> </w:t>
      </w:r>
      <w:r>
        <w:rPr>
          <w:i/>
          <w:color w:val="FF0000"/>
        </w:rPr>
        <w:t>procedure]</w:t>
      </w:r>
    </w:p>
    <w:p>
      <w:pPr>
        <w:pStyle w:val="ListParagraph"/>
        <w:numPr>
          <w:ilvl w:val="0"/>
          <w:numId w:val="8"/>
        </w:numPr>
        <w:tabs>
          <w:tab w:pos="859" w:val="left" w:leader="none"/>
          <w:tab w:pos="860" w:val="left" w:leader="none"/>
          <w:tab w:pos="1580" w:val="left" w:leader="none"/>
          <w:tab w:pos="2299" w:val="left" w:leader="none"/>
        </w:tabs>
        <w:spacing w:line="500" w:lineRule="atLeast" w:before="6" w:after="0"/>
        <w:ind w:left="860" w:right="3639" w:hanging="721"/>
        <w:jc w:val="left"/>
        <w:rPr>
          <w:b/>
          <w:i/>
          <w:sz w:val="22"/>
          <w:u w:val="none"/>
        </w:rPr>
      </w:pPr>
      <w:r>
        <w:rPr>
          <w:b/>
          <w:sz w:val="22"/>
          <w:u w:val="none"/>
        </w:rPr>
        <w:t>RESULTS:</w:t>
        <w:tab/>
      </w:r>
      <w:r>
        <w:rPr>
          <w:i/>
          <w:color w:val="FF0000"/>
          <w:sz w:val="22"/>
          <w:u w:val="none"/>
        </w:rPr>
        <w:t>[Summarize the results using</w:t>
      </w:r>
      <w:r>
        <w:rPr>
          <w:i/>
          <w:color w:val="FF0000"/>
          <w:spacing w:val="-22"/>
          <w:sz w:val="22"/>
          <w:u w:val="none"/>
        </w:rPr>
        <w:t> </w:t>
      </w:r>
      <w:r>
        <w:rPr>
          <w:i/>
          <w:color w:val="FF0000"/>
          <w:sz w:val="22"/>
          <w:u w:val="none"/>
        </w:rPr>
        <w:t>appropriate</w:t>
      </w:r>
      <w:r>
        <w:rPr>
          <w:i/>
          <w:color w:val="FF0000"/>
          <w:spacing w:val="-6"/>
          <w:sz w:val="22"/>
          <w:u w:val="none"/>
        </w:rPr>
        <w:t> </w:t>
      </w:r>
      <w:r>
        <w:rPr>
          <w:i/>
          <w:color w:val="FF0000"/>
          <w:sz w:val="22"/>
          <w:u w:val="none"/>
        </w:rPr>
        <w:t>headers</w:t>
      </w:r>
      <w:r>
        <w:rPr>
          <w:i/>
          <w:color w:val="FF0000"/>
          <w:spacing w:val="-1"/>
          <w:w w:val="99"/>
          <w:sz w:val="22"/>
          <w:u w:val="none"/>
        </w:rPr>
        <w:t> </w:t>
      </w:r>
      <w:r>
        <w:rPr>
          <w:i/>
          <w:color w:val="FF0000"/>
          <w:sz w:val="22"/>
          <w:u w:val="none"/>
        </w:rPr>
        <w:t>e.g.,</w:t>
        <w:tab/>
      </w:r>
      <w:r>
        <w:rPr>
          <w:b/>
          <w:i/>
          <w:color w:val="FF0000"/>
          <w:sz w:val="22"/>
          <w:u w:val="none"/>
        </w:rPr>
        <w:t>A.</w:t>
        <w:tab/>
      </w:r>
      <w:r>
        <w:rPr>
          <w:b/>
          <w:i/>
          <w:color w:val="FF0000"/>
          <w:sz w:val="22"/>
          <w:u w:val="thick" w:color="FF0000"/>
        </w:rPr>
        <w:t>GENERAL</w:t>
      </w:r>
      <w:r>
        <w:rPr>
          <w:b/>
          <w:i/>
          <w:color w:val="FF0000"/>
          <w:spacing w:val="-9"/>
          <w:sz w:val="22"/>
          <w:u w:val="thick" w:color="FF0000"/>
        </w:rPr>
        <w:t> </w:t>
      </w:r>
      <w:r>
        <w:rPr>
          <w:b/>
          <w:i/>
          <w:color w:val="FF0000"/>
          <w:sz w:val="22"/>
          <w:u w:val="thick" w:color="FF0000"/>
        </w:rPr>
        <w:t>OBSERVATIONS</w:t>
      </w:r>
      <w:r>
        <w:rPr>
          <w:b/>
          <w:i/>
          <w:color w:val="FF0000"/>
          <w:sz w:val="22"/>
          <w:u w:val="none"/>
        </w:rPr>
        <w:t>:</w:t>
      </w:r>
    </w:p>
    <w:p>
      <w:pPr>
        <w:tabs>
          <w:tab w:pos="2300" w:val="left" w:leader="none"/>
        </w:tabs>
        <w:spacing w:before="0"/>
        <w:ind w:left="1580" w:right="0" w:firstLine="0"/>
        <w:jc w:val="left"/>
        <w:rPr>
          <w:b/>
          <w:i/>
          <w:sz w:val="22"/>
        </w:rPr>
      </w:pPr>
      <w:r>
        <w:rPr>
          <w:b/>
          <w:i/>
          <w:color w:val="FF0000"/>
          <w:sz w:val="22"/>
        </w:rPr>
        <w:t>B.</w:t>
        <w:tab/>
      </w:r>
      <w:r>
        <w:rPr>
          <w:b/>
          <w:i/>
          <w:color w:val="FF0000"/>
          <w:sz w:val="22"/>
          <w:u w:val="thick" w:color="FF0000"/>
        </w:rPr>
        <w:t>DETECTABLE LEVELS OF MPCA ON</w:t>
      </w:r>
      <w:r>
        <w:rPr>
          <w:b/>
          <w:i/>
          <w:color w:val="FF0000"/>
          <w:spacing w:val="-10"/>
          <w:sz w:val="22"/>
          <w:u w:val="thick" w:color="FF0000"/>
        </w:rPr>
        <w:t> </w:t>
      </w:r>
      <w:r>
        <w:rPr>
          <w:b/>
          <w:i/>
          <w:color w:val="FF0000"/>
          <w:sz w:val="22"/>
          <w:u w:val="thick" w:color="FF0000"/>
        </w:rPr>
        <w:t>INSECT</w:t>
      </w:r>
      <w:r>
        <w:rPr>
          <w:b/>
          <w:i/>
          <w:color w:val="FF0000"/>
          <w:sz w:val="22"/>
        </w:rPr>
        <w:t>:]</w:t>
      </w:r>
    </w:p>
    <w:p>
      <w:pPr>
        <w:pStyle w:val="BodyText"/>
        <w:spacing w:before="1"/>
        <w:rPr>
          <w:b/>
          <w:i/>
          <w:sz w:val="14"/>
        </w:rPr>
      </w:pPr>
    </w:p>
    <w:p>
      <w:pPr>
        <w:pStyle w:val="ListParagraph"/>
        <w:numPr>
          <w:ilvl w:val="0"/>
          <w:numId w:val="8"/>
        </w:numPr>
        <w:tabs>
          <w:tab w:pos="859" w:val="left" w:leader="none"/>
          <w:tab w:pos="861" w:val="left" w:leader="none"/>
        </w:tabs>
        <w:spacing w:line="240" w:lineRule="auto" w:before="91" w:after="0"/>
        <w:ind w:left="860" w:right="0" w:hanging="720"/>
        <w:jc w:val="left"/>
        <w:rPr>
          <w:b/>
          <w:sz w:val="22"/>
          <w:u w:val="none"/>
        </w:rPr>
      </w:pPr>
      <w:r>
        <w:rPr>
          <w:b/>
          <w:sz w:val="22"/>
          <w:u w:val="none"/>
        </w:rPr>
        <w:t>CONCLUSION</w:t>
      </w:r>
    </w:p>
    <w:p>
      <w:pPr>
        <w:pStyle w:val="BodyText"/>
        <w:rPr>
          <w:b/>
          <w:i w:val="0"/>
          <w:sz w:val="22"/>
        </w:rPr>
      </w:pPr>
    </w:p>
    <w:p>
      <w:pPr>
        <w:pStyle w:val="ListParagraph"/>
        <w:numPr>
          <w:ilvl w:val="0"/>
          <w:numId w:val="9"/>
        </w:numPr>
        <w:tabs>
          <w:tab w:pos="859" w:val="left" w:leader="none"/>
          <w:tab w:pos="861" w:val="left" w:leader="none"/>
          <w:tab w:pos="4459" w:val="left" w:leader="none"/>
        </w:tabs>
        <w:spacing w:line="240" w:lineRule="auto" w:before="0" w:after="0"/>
        <w:ind w:left="860" w:right="0" w:hanging="720"/>
        <w:jc w:val="left"/>
        <w:rPr>
          <w:i/>
          <w:sz w:val="22"/>
          <w:u w:val="none"/>
        </w:rPr>
      </w:pPr>
      <w:r>
        <w:rPr>
          <w:b/>
          <w:sz w:val="22"/>
          <w:u w:val="thick"/>
        </w:rPr>
        <w:t>STUDY</w:t>
      </w:r>
      <w:r>
        <w:rPr>
          <w:b/>
          <w:spacing w:val="-3"/>
          <w:sz w:val="22"/>
          <w:u w:val="thick"/>
        </w:rPr>
        <w:t> </w:t>
      </w:r>
      <w:r>
        <w:rPr>
          <w:b/>
          <w:sz w:val="22"/>
          <w:u w:val="thick"/>
        </w:rPr>
        <w:t>AUTHOR</w:t>
      </w:r>
      <w:r>
        <w:rPr>
          <w:b/>
          <w:spacing w:val="-5"/>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5"/>
        <w:rPr>
          <w:i/>
          <w:sz w:val="20"/>
        </w:rPr>
      </w:pPr>
    </w:p>
    <w:p>
      <w:pPr>
        <w:pStyle w:val="ListParagraph"/>
        <w:numPr>
          <w:ilvl w:val="0"/>
          <w:numId w:val="9"/>
        </w:numPr>
        <w:tabs>
          <w:tab w:pos="859" w:val="left" w:leader="none"/>
          <w:tab w:pos="861" w:val="left" w:leader="none"/>
          <w:tab w:pos="4459" w:val="left" w:leader="none"/>
        </w:tabs>
        <w:spacing w:line="240" w:lineRule="auto" w:before="91"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9"/>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9"/>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spacing w:before="4"/>
        <w:rPr>
          <w:b/>
          <w:i w:val="0"/>
          <w:sz w:val="28"/>
        </w:rPr>
      </w:pPr>
    </w:p>
    <w:p>
      <w:pPr>
        <w:pStyle w:val="ListParagraph"/>
        <w:numPr>
          <w:ilvl w:val="0"/>
          <w:numId w:val="8"/>
        </w:numPr>
        <w:tabs>
          <w:tab w:pos="859" w:val="left" w:leader="none"/>
          <w:tab w:pos="861" w:val="left" w:leader="none"/>
        </w:tabs>
        <w:spacing w:line="240" w:lineRule="auto" w:before="0" w:after="0"/>
        <w:ind w:left="860" w:right="485" w:hanging="720"/>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spacing w:before="11"/>
        <w:rPr>
          <w:i/>
          <w:sz w:val="21"/>
        </w:rPr>
      </w:pPr>
    </w:p>
    <w:p>
      <w:pPr>
        <w:spacing w:before="0"/>
        <w:ind w:left="860" w:right="167" w:firstLine="0"/>
        <w:jc w:val="left"/>
        <w:rPr>
          <w:b/>
          <w:sz w:val="22"/>
        </w:rPr>
      </w:pPr>
      <w:r>
        <w:rPr>
          <w:b/>
          <w:color w:val="FF0000"/>
          <w:sz w:val="22"/>
        </w:rPr>
        <w:t>[</w:t>
      </w:r>
      <w:r>
        <w:rPr>
          <w:b/>
          <w:i/>
          <w:color w:val="FF0000"/>
          <w:sz w:val="22"/>
        </w:rPr>
        <w:t>NOTE: Include a copy of the published study and/or previously conducted unpublished study in the </w:t>
      </w:r>
      <w:r>
        <w:rPr>
          <w:b/>
          <w:i/>
          <w:color w:val="FF0000"/>
          <w:sz w:val="22"/>
        </w:rPr>
        <w:t>study report as an appendix attached to the study report for the reviewer’s reference and verification of study details. Any additional statements used as justification to support the use of alternative data should be individually cited- including the specific background information, details and/or excerpts of relevant data/information from individual references. Depending on the level of relevance- copies of published literature and any other supporting literature that support the use of a published study or previously conducted study as alternative data (including other studies reporting similar findings) should also be provided in the appendix.</w:t>
      </w:r>
      <w:r>
        <w:rPr>
          <w:b/>
          <w:color w:val="FF0000"/>
          <w:sz w:val="22"/>
        </w:rPr>
        <w:t>]</w:t>
      </w:r>
    </w:p>
    <w:p>
      <w:pPr>
        <w:spacing w:after="0"/>
        <w:jc w:val="left"/>
        <w:rPr>
          <w:sz w:val="22"/>
        </w:rPr>
        <w:sectPr>
          <w:pgSz w:w="12240" w:h="15840"/>
          <w:pgMar w:header="729" w:footer="796" w:top="1860" w:bottom="980" w:left="940" w:right="940"/>
        </w:sectPr>
      </w:pPr>
    </w:p>
    <w:p>
      <w:pPr>
        <w:pStyle w:val="BodyText"/>
        <w:spacing w:line="20" w:lineRule="exact"/>
        <w:ind w:left="105"/>
        <w:rPr>
          <w:i w:val="0"/>
          <w:sz w:val="2"/>
        </w:rPr>
      </w:pPr>
      <w:r>
        <w:rPr>
          <w:i w:val="0"/>
          <w:sz w:val="2"/>
        </w:rPr>
        <w:pict>
          <v:group style="width:507.5pt;height:.5pt;mso-position-horizontal-relative:char;mso-position-vertical-relative:line" coordorigin="0,0" coordsize="10150,10">
            <v:line style="position:absolute" from="5,5" to="10145,5" stroked="true" strokeweight=".48pt" strokecolor="#000000">
              <v:stroke dashstyle="solid"/>
            </v:line>
          </v:group>
        </w:pict>
      </w:r>
      <w:r>
        <w:rPr>
          <w:i w:val="0"/>
          <w:sz w:val="2"/>
        </w:rPr>
      </w:r>
    </w:p>
    <w:p>
      <w:pPr>
        <w:spacing w:before="150"/>
        <w:ind w:left="140" w:right="0" w:firstLine="0"/>
        <w:jc w:val="left"/>
        <w:rPr>
          <w:b/>
          <w:i/>
          <w:sz w:val="30"/>
        </w:rPr>
      </w:pPr>
      <w:r>
        <w:rPr>
          <w:b/>
          <w:i/>
          <w:color w:val="FF0000"/>
          <w:sz w:val="30"/>
        </w:rPr>
        <w:t>(For a mini literature review, otherwise delete)</w:t>
      </w:r>
    </w:p>
    <w:p>
      <w:pPr>
        <w:pStyle w:val="ListParagraph"/>
        <w:numPr>
          <w:ilvl w:val="0"/>
          <w:numId w:val="10"/>
        </w:numPr>
        <w:tabs>
          <w:tab w:pos="859" w:val="left" w:leader="none"/>
          <w:tab w:pos="860" w:val="left" w:leader="none"/>
        </w:tabs>
        <w:spacing w:line="240" w:lineRule="auto" w:before="252" w:after="0"/>
        <w:ind w:left="859" w:right="295" w:hanging="720"/>
        <w:jc w:val="left"/>
        <w:rPr>
          <w:i/>
          <w:sz w:val="22"/>
          <w:u w:val="none"/>
        </w:rPr>
      </w:pPr>
      <w:r>
        <w:rPr>
          <w:b/>
          <w:sz w:val="22"/>
          <w:u w:val="none"/>
        </w:rPr>
        <w:t>REVIEW OF PUBLISHED LITERATURE: </w:t>
      </w:r>
      <w:r>
        <w:rPr>
          <w:i/>
          <w:color w:val="FF0000"/>
          <w:sz w:val="22"/>
          <w:u w:val="none"/>
        </w:rPr>
        <w:t>[Summarize the background information and published </w:t>
      </w:r>
      <w:r>
        <w:rPr>
          <w:i/>
          <w:color w:val="FF0000"/>
          <w:sz w:val="22"/>
          <w:u w:val="none"/>
        </w:rPr>
        <w:t>studies covered in this mini literature review. Grouping related papers for discussion under specific subheadings may be</w:t>
      </w:r>
      <w:r>
        <w:rPr>
          <w:i/>
          <w:color w:val="FF0000"/>
          <w:spacing w:val="-15"/>
          <w:sz w:val="22"/>
          <w:u w:val="none"/>
        </w:rPr>
        <w:t> </w:t>
      </w:r>
      <w:r>
        <w:rPr>
          <w:i/>
          <w:color w:val="FF0000"/>
          <w:sz w:val="22"/>
          <w:u w:val="none"/>
        </w:rPr>
        <w:t>useful.</w:t>
      </w:r>
    </w:p>
    <w:p>
      <w:pPr>
        <w:pStyle w:val="BodyText"/>
        <w:rPr>
          <w:i/>
          <w:sz w:val="22"/>
        </w:rPr>
      </w:pPr>
    </w:p>
    <w:p>
      <w:pPr>
        <w:spacing w:before="0"/>
        <w:ind w:left="859" w:right="188" w:firstLine="0"/>
        <w:jc w:val="left"/>
        <w:rPr>
          <w:i/>
          <w:sz w:val="22"/>
        </w:rPr>
      </w:pPr>
      <w:r>
        <w:rPr>
          <w:i/>
          <w:color w:val="FF0000"/>
          <w:sz w:val="22"/>
        </w:rPr>
        <w:t>e.g., MPCA-based products are widely used in forest management to control forest pests in Canada and </w:t>
      </w:r>
      <w:r>
        <w:rPr>
          <w:i/>
          <w:color w:val="FF0000"/>
          <w:sz w:val="22"/>
        </w:rPr>
        <w:t>the United States ... As noted by Lubbock (1870), three approaches have been used in Canada to examine the effects of this MPCA on non-target invertebrates. These include acute toxicity testing, experiments in outside mesocosms, and in the field.</w:t>
      </w:r>
    </w:p>
    <w:p>
      <w:pPr>
        <w:pStyle w:val="BodyText"/>
        <w:rPr>
          <w:i/>
          <w:sz w:val="22"/>
        </w:rPr>
      </w:pPr>
    </w:p>
    <w:p>
      <w:pPr>
        <w:pStyle w:val="ListParagraph"/>
        <w:numPr>
          <w:ilvl w:val="1"/>
          <w:numId w:val="11"/>
        </w:numPr>
        <w:tabs>
          <w:tab w:pos="1124" w:val="left" w:leader="none"/>
          <w:tab w:pos="1580" w:val="left" w:leader="none"/>
          <w:tab w:pos="2300" w:val="left" w:leader="none"/>
        </w:tabs>
        <w:spacing w:line="240" w:lineRule="auto" w:before="0" w:after="0"/>
        <w:ind w:left="1123" w:right="0" w:hanging="263"/>
        <w:jc w:val="left"/>
        <w:rPr>
          <w:b/>
          <w:i/>
          <w:sz w:val="22"/>
          <w:u w:val="none"/>
        </w:rPr>
      </w:pPr>
      <w:r>
        <w:rPr>
          <w:i/>
          <w:color w:val="FF0000"/>
          <w:sz w:val="22"/>
          <w:u w:val="none"/>
        </w:rPr>
        <w:t>.,</w:t>
        <w:tab/>
      </w:r>
      <w:r>
        <w:rPr>
          <w:b/>
          <w:i/>
          <w:color w:val="FF0000"/>
          <w:sz w:val="22"/>
          <w:u w:val="none"/>
        </w:rPr>
        <w:t>A.</w:t>
        <w:tab/>
      </w:r>
      <w:r>
        <w:rPr>
          <w:b/>
          <w:i/>
          <w:color w:val="FF0000"/>
          <w:sz w:val="22"/>
          <w:u w:val="thick" w:color="FF0000"/>
        </w:rPr>
        <w:t>ACUTE TOXICITY</w:t>
      </w:r>
      <w:r>
        <w:rPr>
          <w:b/>
          <w:i/>
          <w:color w:val="FF0000"/>
          <w:spacing w:val="-14"/>
          <w:sz w:val="22"/>
          <w:u w:val="thick" w:color="FF0000"/>
        </w:rPr>
        <w:t> </w:t>
      </w:r>
      <w:r>
        <w:rPr>
          <w:b/>
          <w:i/>
          <w:color w:val="FF0000"/>
          <w:sz w:val="22"/>
          <w:u w:val="thick" w:color="FF0000"/>
        </w:rPr>
        <w:t>TESTING</w:t>
      </w:r>
      <w:r>
        <w:rPr>
          <w:b/>
          <w:i/>
          <w:color w:val="FF0000"/>
          <w:sz w:val="22"/>
          <w:u w:val="none"/>
        </w:rPr>
        <w:t>:</w:t>
      </w:r>
    </w:p>
    <w:p>
      <w:pPr>
        <w:pStyle w:val="ListParagraph"/>
        <w:numPr>
          <w:ilvl w:val="2"/>
          <w:numId w:val="11"/>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11"/>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rPr>
          <w:i/>
          <w:sz w:val="14"/>
        </w:rPr>
      </w:pPr>
    </w:p>
    <w:p>
      <w:pPr>
        <w:pStyle w:val="Heading3"/>
        <w:numPr>
          <w:ilvl w:val="1"/>
          <w:numId w:val="9"/>
        </w:numPr>
        <w:tabs>
          <w:tab w:pos="2300" w:val="left" w:leader="none"/>
          <w:tab w:pos="2301" w:val="left" w:leader="none"/>
        </w:tabs>
        <w:spacing w:line="240" w:lineRule="auto" w:before="91" w:after="0"/>
        <w:ind w:left="2300" w:right="0" w:hanging="720"/>
        <w:jc w:val="left"/>
        <w:rPr>
          <w:i/>
        </w:rPr>
      </w:pPr>
      <w:r>
        <w:rPr>
          <w:i/>
          <w:color w:val="FF0000"/>
          <w:u w:val="thick" w:color="FF0000"/>
        </w:rPr>
        <w:t>MESOCOSM</w:t>
      </w:r>
      <w:r>
        <w:rPr>
          <w:i/>
          <w:color w:val="FF0000"/>
          <w:spacing w:val="-10"/>
          <w:u w:val="thick" w:color="FF0000"/>
        </w:rPr>
        <w:t> </w:t>
      </w:r>
      <w:r>
        <w:rPr>
          <w:i/>
          <w:color w:val="FF0000"/>
          <w:u w:val="thick" w:color="FF0000"/>
        </w:rPr>
        <w:t>TESTING</w:t>
      </w:r>
      <w:r>
        <w:rPr>
          <w:i/>
          <w:color w:val="FF0000"/>
        </w:rPr>
        <w:t>:</w:t>
      </w:r>
    </w:p>
    <w:p>
      <w:pPr>
        <w:pStyle w:val="ListParagraph"/>
        <w:numPr>
          <w:ilvl w:val="2"/>
          <w:numId w:val="9"/>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ListParagraph"/>
        <w:numPr>
          <w:ilvl w:val="2"/>
          <w:numId w:val="9"/>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2</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pStyle w:val="BodyText"/>
        <w:rPr>
          <w:i/>
          <w:sz w:val="14"/>
        </w:rPr>
      </w:pPr>
    </w:p>
    <w:p>
      <w:pPr>
        <w:pStyle w:val="Heading3"/>
        <w:numPr>
          <w:ilvl w:val="1"/>
          <w:numId w:val="9"/>
        </w:numPr>
        <w:tabs>
          <w:tab w:pos="2300" w:val="left" w:leader="none"/>
          <w:tab w:pos="2301" w:val="left" w:leader="none"/>
        </w:tabs>
        <w:spacing w:line="240" w:lineRule="auto" w:before="91" w:after="0"/>
        <w:ind w:left="2300" w:right="0" w:hanging="720"/>
        <w:jc w:val="left"/>
        <w:rPr>
          <w:i/>
        </w:rPr>
      </w:pPr>
      <w:r>
        <w:rPr>
          <w:i/>
          <w:color w:val="FF0000"/>
          <w:u w:val="thick" w:color="FF0000"/>
        </w:rPr>
        <w:t>FIELD</w:t>
      </w:r>
      <w:r>
        <w:rPr>
          <w:i/>
          <w:color w:val="FF0000"/>
          <w:spacing w:val="-11"/>
          <w:u w:val="thick" w:color="FF0000"/>
        </w:rPr>
        <w:t> </w:t>
      </w:r>
      <w:r>
        <w:rPr>
          <w:i/>
          <w:color w:val="FF0000"/>
          <w:u w:val="thick" w:color="FF0000"/>
        </w:rPr>
        <w:t>TESTING</w:t>
      </w:r>
      <w:r>
        <w:rPr>
          <w:i/>
          <w:color w:val="FF0000"/>
        </w:rPr>
        <w:t>:</w:t>
      </w:r>
    </w:p>
    <w:p>
      <w:pPr>
        <w:pStyle w:val="ListParagraph"/>
        <w:numPr>
          <w:ilvl w:val="2"/>
          <w:numId w:val="9"/>
        </w:numPr>
        <w:tabs>
          <w:tab w:pos="2300" w:val="left" w:leader="none"/>
          <w:tab w:pos="2301" w:val="left" w:leader="none"/>
          <w:tab w:pos="3740" w:val="left" w:leader="none"/>
        </w:tabs>
        <w:spacing w:line="240" w:lineRule="auto" w:before="0" w:after="0"/>
        <w:ind w:left="2300" w:right="0" w:hanging="720"/>
        <w:jc w:val="left"/>
        <w:rPr>
          <w:i/>
          <w:sz w:val="22"/>
          <w:u w:val="none"/>
        </w:rPr>
      </w:pPr>
      <w:r>
        <w:rPr>
          <w:b/>
          <w:i/>
          <w:color w:val="FF0000"/>
          <w:sz w:val="22"/>
          <w:u w:val="thick" w:color="FF0000"/>
        </w:rPr>
        <w:t>Article</w:t>
      </w:r>
      <w:r>
        <w:rPr>
          <w:b/>
          <w:i/>
          <w:color w:val="FF0000"/>
          <w:spacing w:val="-3"/>
          <w:sz w:val="22"/>
          <w:u w:val="thick" w:color="FF0000"/>
        </w:rPr>
        <w:t> </w:t>
      </w:r>
      <w:r>
        <w:rPr>
          <w:b/>
          <w:i/>
          <w:color w:val="FF0000"/>
          <w:sz w:val="22"/>
          <w:u w:val="thick" w:color="FF0000"/>
        </w:rPr>
        <w:t>1</w:t>
      </w:r>
      <w:r>
        <w:rPr>
          <w:b/>
          <w:i/>
          <w:color w:val="FF0000"/>
          <w:sz w:val="22"/>
          <w:u w:val="none"/>
        </w:rPr>
        <w:t>:</w:t>
        <w:tab/>
      </w:r>
      <w:r>
        <w:rPr>
          <w:i/>
          <w:color w:val="FF0000"/>
          <w:sz w:val="22"/>
          <w:u w:val="none"/>
        </w:rPr>
        <w:t>(summarize and report</w:t>
      </w:r>
      <w:r>
        <w:rPr>
          <w:i/>
          <w:color w:val="FF0000"/>
          <w:spacing w:val="-18"/>
          <w:sz w:val="22"/>
          <w:u w:val="none"/>
        </w:rPr>
        <w:t> </w:t>
      </w:r>
      <w:r>
        <w:rPr>
          <w:i/>
          <w:color w:val="FF0000"/>
          <w:sz w:val="22"/>
          <w:u w:val="none"/>
        </w:rPr>
        <w:t>findings)</w:t>
      </w:r>
    </w:p>
    <w:p>
      <w:pPr>
        <w:tabs>
          <w:tab w:pos="2300" w:val="left" w:leader="none"/>
          <w:tab w:pos="3740" w:val="left" w:leader="none"/>
        </w:tabs>
        <w:spacing w:before="0"/>
        <w:ind w:left="1580" w:right="0" w:firstLine="0"/>
        <w:jc w:val="left"/>
        <w:rPr>
          <w:i/>
          <w:sz w:val="22"/>
        </w:rPr>
      </w:pPr>
      <w:r>
        <w:rPr>
          <w:b/>
          <w:i/>
          <w:color w:val="FF0000"/>
          <w:sz w:val="22"/>
        </w:rPr>
        <w:t>2</w:t>
        <w:tab/>
      </w:r>
      <w:r>
        <w:rPr>
          <w:b/>
          <w:i/>
          <w:color w:val="FF0000"/>
          <w:sz w:val="22"/>
          <w:u w:val="thick" w:color="FF0000"/>
        </w:rPr>
        <w:t>Article</w:t>
      </w:r>
      <w:r>
        <w:rPr>
          <w:b/>
          <w:i/>
          <w:color w:val="FF0000"/>
          <w:spacing w:val="-3"/>
          <w:sz w:val="22"/>
          <w:u w:val="thick" w:color="FF0000"/>
        </w:rPr>
        <w:t> </w:t>
      </w:r>
      <w:r>
        <w:rPr>
          <w:b/>
          <w:i/>
          <w:color w:val="FF0000"/>
          <w:sz w:val="22"/>
        </w:rPr>
        <w:t>2:</w:t>
        <w:tab/>
      </w:r>
      <w:r>
        <w:rPr>
          <w:i/>
          <w:color w:val="FF0000"/>
          <w:sz w:val="22"/>
        </w:rPr>
        <w:t>(summarize and report</w:t>
      </w:r>
      <w:r>
        <w:rPr>
          <w:i/>
          <w:color w:val="FF0000"/>
          <w:spacing w:val="-20"/>
          <w:sz w:val="22"/>
        </w:rPr>
        <w:t> </w:t>
      </w:r>
      <w:r>
        <w:rPr>
          <w:i/>
          <w:color w:val="FF0000"/>
          <w:sz w:val="22"/>
        </w:rPr>
        <w:t>findings)]</w:t>
      </w:r>
    </w:p>
    <w:p>
      <w:pPr>
        <w:pStyle w:val="BodyText"/>
        <w:spacing w:before="1"/>
        <w:rPr>
          <w:i/>
          <w:sz w:val="14"/>
        </w:rPr>
      </w:pPr>
    </w:p>
    <w:p>
      <w:pPr>
        <w:pStyle w:val="ListParagraph"/>
        <w:numPr>
          <w:ilvl w:val="0"/>
          <w:numId w:val="10"/>
        </w:numPr>
        <w:tabs>
          <w:tab w:pos="859" w:val="left" w:leader="none"/>
          <w:tab w:pos="861" w:val="left" w:leader="none"/>
        </w:tabs>
        <w:spacing w:line="240" w:lineRule="auto" w:before="91" w:after="0"/>
        <w:ind w:left="860" w:right="0" w:hanging="720"/>
        <w:jc w:val="left"/>
        <w:rPr>
          <w:b/>
          <w:sz w:val="22"/>
          <w:u w:val="none"/>
        </w:rPr>
      </w:pPr>
      <w:r>
        <w:rPr>
          <w:b/>
          <w:sz w:val="22"/>
          <w:u w:val="none"/>
        </w:rPr>
        <w:t>CONCLUSION</w:t>
      </w:r>
    </w:p>
    <w:p>
      <w:pPr>
        <w:pStyle w:val="BodyText"/>
        <w:spacing w:before="10"/>
        <w:rPr>
          <w:b/>
          <w:i w:val="0"/>
          <w:sz w:val="21"/>
        </w:rPr>
      </w:pPr>
    </w:p>
    <w:p>
      <w:pPr>
        <w:pStyle w:val="ListParagraph"/>
        <w:numPr>
          <w:ilvl w:val="0"/>
          <w:numId w:val="12"/>
        </w:numPr>
        <w:tabs>
          <w:tab w:pos="859" w:val="left" w:leader="none"/>
          <w:tab w:pos="861" w:val="left" w:leader="none"/>
          <w:tab w:pos="5179" w:val="left" w:leader="none"/>
        </w:tabs>
        <w:spacing w:line="240" w:lineRule="auto" w:before="0" w:after="0"/>
        <w:ind w:left="860" w:right="0" w:hanging="720"/>
        <w:jc w:val="left"/>
        <w:rPr>
          <w:i/>
          <w:sz w:val="22"/>
          <w:u w:val="none"/>
        </w:rPr>
      </w:pPr>
      <w:r>
        <w:rPr>
          <w:b/>
          <w:sz w:val="22"/>
          <w:u w:val="thick"/>
        </w:rPr>
        <w:t>LITERATURE</w:t>
      </w:r>
      <w:r>
        <w:rPr>
          <w:b/>
          <w:spacing w:val="-4"/>
          <w:sz w:val="22"/>
          <w:u w:val="thick"/>
        </w:rPr>
        <w:t> </w:t>
      </w:r>
      <w:r>
        <w:rPr>
          <w:b/>
          <w:sz w:val="22"/>
          <w:u w:val="thick"/>
        </w:rPr>
        <w:t>REVIEW</w:t>
      </w:r>
      <w:r>
        <w:rPr>
          <w:b/>
          <w:spacing w:val="-4"/>
          <w:sz w:val="22"/>
          <w:u w:val="thick"/>
        </w:rPr>
        <w:t> </w:t>
      </w:r>
      <w:r>
        <w:rPr>
          <w:b/>
          <w:sz w:val="22"/>
          <w:u w:val="thick"/>
        </w:rPr>
        <w:t>CONCLUSION:</w:t>
      </w:r>
      <w:r>
        <w:rPr>
          <w:b/>
          <w:sz w:val="22"/>
          <w:u w:val="none"/>
        </w:rPr>
        <w:tab/>
      </w:r>
      <w:r>
        <w:rPr>
          <w:i/>
          <w:color w:val="FF0000"/>
          <w:sz w:val="22"/>
          <w:u w:val="none"/>
        </w:rPr>
        <w:t>[Summarize the study author’s</w:t>
      </w:r>
      <w:r>
        <w:rPr>
          <w:i/>
          <w:color w:val="FF0000"/>
          <w:spacing w:val="-25"/>
          <w:sz w:val="22"/>
          <w:u w:val="none"/>
        </w:rPr>
        <w:t> </w:t>
      </w:r>
      <w:r>
        <w:rPr>
          <w:i/>
          <w:color w:val="FF0000"/>
          <w:sz w:val="22"/>
          <w:u w:val="none"/>
        </w:rPr>
        <w:t>conclusions]</w:t>
      </w:r>
    </w:p>
    <w:p>
      <w:pPr>
        <w:pStyle w:val="BodyText"/>
        <w:spacing w:before="6"/>
        <w:rPr>
          <w:i/>
          <w:sz w:val="20"/>
        </w:rPr>
      </w:pPr>
    </w:p>
    <w:p>
      <w:pPr>
        <w:pStyle w:val="ListParagraph"/>
        <w:numPr>
          <w:ilvl w:val="0"/>
          <w:numId w:val="12"/>
        </w:numPr>
        <w:tabs>
          <w:tab w:pos="859" w:val="left" w:leader="none"/>
          <w:tab w:pos="861" w:val="left" w:leader="none"/>
          <w:tab w:pos="4459" w:val="left" w:leader="none"/>
        </w:tabs>
        <w:spacing w:line="240" w:lineRule="auto" w:before="91" w:after="0"/>
        <w:ind w:left="860" w:right="0" w:hanging="720"/>
        <w:jc w:val="left"/>
        <w:rPr>
          <w:i/>
          <w:sz w:val="22"/>
          <w:u w:val="none"/>
        </w:rPr>
      </w:pPr>
      <w:r>
        <w:rPr>
          <w:b/>
          <w:sz w:val="22"/>
          <w:u w:val="thick"/>
        </w:rPr>
        <w:t>REVIEWER’S</w:t>
      </w:r>
      <w:r>
        <w:rPr>
          <w:b/>
          <w:spacing w:val="-3"/>
          <w:sz w:val="22"/>
          <w:u w:val="thick"/>
        </w:rPr>
        <w:t> </w:t>
      </w:r>
      <w:r>
        <w:rPr>
          <w:b/>
          <w:sz w:val="22"/>
          <w:u w:val="thick"/>
        </w:rPr>
        <w:t>COMMENTS:</w:t>
      </w:r>
      <w:r>
        <w:rPr>
          <w:b/>
          <w:sz w:val="22"/>
          <w:u w:val="none"/>
        </w:rPr>
        <w:tab/>
      </w:r>
      <w:r>
        <w:rPr>
          <w:i/>
          <w:color w:val="FF0000"/>
          <w:sz w:val="22"/>
          <w:u w:val="none"/>
        </w:rPr>
        <w:t>[Note if in agreement with study</w:t>
      </w:r>
      <w:r>
        <w:rPr>
          <w:i/>
          <w:color w:val="FF0000"/>
          <w:spacing w:val="-23"/>
          <w:sz w:val="22"/>
          <w:u w:val="none"/>
        </w:rPr>
        <w:t> </w:t>
      </w:r>
      <w:r>
        <w:rPr>
          <w:i/>
          <w:color w:val="FF0000"/>
          <w:sz w:val="22"/>
          <w:u w:val="none"/>
        </w:rPr>
        <w:t>authors.]</w:t>
      </w:r>
    </w:p>
    <w:p>
      <w:pPr>
        <w:pStyle w:val="BodyText"/>
        <w:spacing w:before="6"/>
        <w:rPr>
          <w:i/>
          <w:sz w:val="20"/>
        </w:rPr>
      </w:pPr>
    </w:p>
    <w:p>
      <w:pPr>
        <w:pStyle w:val="Heading5"/>
        <w:numPr>
          <w:ilvl w:val="0"/>
          <w:numId w:val="12"/>
        </w:numPr>
        <w:tabs>
          <w:tab w:pos="859" w:val="left" w:leader="none"/>
          <w:tab w:pos="861" w:val="left" w:leader="none"/>
          <w:tab w:pos="3019" w:val="left" w:leader="none"/>
        </w:tabs>
        <w:spacing w:line="240" w:lineRule="auto" w:before="90" w:after="0"/>
        <w:ind w:left="860" w:right="153" w:hanging="720"/>
        <w:jc w:val="left"/>
      </w:pPr>
      <w:r>
        <w:rPr>
          <w:b/>
          <w:i w:val="0"/>
          <w:u w:val="thick"/>
        </w:rPr>
        <w:t>DEFICIENCIES:</w:t>
      </w:r>
      <w:r>
        <w:rPr>
          <w:b/>
          <w:i w:val="0"/>
        </w:rPr>
        <w:tab/>
      </w:r>
      <w:r>
        <w:rPr>
          <w:i/>
          <w:color w:val="FF0000"/>
        </w:rPr>
        <w:t>[List</w:t>
      </w:r>
      <w:r>
        <w:rPr>
          <w:i/>
          <w:color w:val="FF0000"/>
          <w:spacing w:val="-3"/>
        </w:rPr>
        <w:t> </w:t>
      </w:r>
      <w:r>
        <w:rPr>
          <w:i/>
          <w:color w:val="FF0000"/>
        </w:rPr>
        <w:t>each</w:t>
      </w:r>
      <w:r>
        <w:rPr>
          <w:i/>
          <w:color w:val="FF0000"/>
          <w:spacing w:val="-3"/>
        </w:rPr>
        <w:t> </w:t>
      </w:r>
      <w:r>
        <w:rPr>
          <w:i/>
          <w:color w:val="FF0000"/>
        </w:rPr>
        <w:t>deficiency</w:t>
      </w:r>
      <w:r>
        <w:rPr>
          <w:i/>
          <w:color w:val="FF0000"/>
          <w:spacing w:val="-4"/>
        </w:rPr>
        <w:t> </w:t>
      </w:r>
      <w:r>
        <w:rPr>
          <w:i/>
          <w:color w:val="FF0000"/>
        </w:rPr>
        <w:t>with</w:t>
      </w:r>
      <w:r>
        <w:rPr>
          <w:i/>
          <w:color w:val="FF0000"/>
          <w:spacing w:val="-3"/>
        </w:rPr>
        <w:t> </w:t>
      </w:r>
      <w:r>
        <w:rPr>
          <w:i/>
          <w:color w:val="FF0000"/>
        </w:rPr>
        <w:t>the</w:t>
      </w:r>
      <w:r>
        <w:rPr>
          <w:i/>
          <w:color w:val="FF0000"/>
          <w:spacing w:val="-4"/>
        </w:rPr>
        <w:t> </w:t>
      </w:r>
      <w:r>
        <w:rPr>
          <w:i/>
          <w:color w:val="FF0000"/>
        </w:rPr>
        <w:t>required</w:t>
      </w:r>
      <w:r>
        <w:rPr>
          <w:i/>
          <w:color w:val="FF0000"/>
          <w:spacing w:val="-3"/>
        </w:rPr>
        <w:t> </w:t>
      </w:r>
      <w:r>
        <w:rPr>
          <w:i/>
          <w:color w:val="FF0000"/>
        </w:rPr>
        <w:t>data</w:t>
      </w:r>
      <w:r>
        <w:rPr>
          <w:i/>
          <w:color w:val="FF0000"/>
          <w:spacing w:val="-3"/>
        </w:rPr>
        <w:t> </w:t>
      </w:r>
      <w:r>
        <w:rPr>
          <w:i/>
          <w:color w:val="FF0000"/>
        </w:rPr>
        <w:t>to</w:t>
      </w:r>
      <w:r>
        <w:rPr>
          <w:i/>
          <w:color w:val="FF0000"/>
          <w:spacing w:val="-3"/>
        </w:rPr>
        <w:t> </w:t>
      </w:r>
      <w:r>
        <w:rPr>
          <w:i/>
          <w:color w:val="FF0000"/>
        </w:rPr>
        <w:t>resolve</w:t>
      </w:r>
      <w:r>
        <w:rPr>
          <w:i/>
          <w:color w:val="FF0000"/>
          <w:spacing w:val="-4"/>
        </w:rPr>
        <w:t> </w:t>
      </w:r>
      <w:r>
        <w:rPr>
          <w:i/>
          <w:color w:val="FF0000"/>
        </w:rPr>
        <w:t>the</w:t>
      </w:r>
      <w:r>
        <w:rPr>
          <w:i/>
          <w:color w:val="FF0000"/>
          <w:spacing w:val="-4"/>
        </w:rPr>
        <w:t> </w:t>
      </w:r>
      <w:r>
        <w:rPr>
          <w:i/>
          <w:color w:val="FF0000"/>
        </w:rPr>
        <w:t>deficiency</w:t>
      </w:r>
      <w:r>
        <w:rPr>
          <w:i/>
          <w:color w:val="FF0000"/>
          <w:spacing w:val="-4"/>
        </w:rPr>
        <w:t> </w:t>
      </w:r>
      <w:r>
        <w:rPr>
          <w:i/>
          <w:color w:val="FF0000"/>
        </w:rPr>
        <w:t>or</w:t>
      </w:r>
      <w:r>
        <w:rPr>
          <w:i/>
          <w:color w:val="FF0000"/>
          <w:spacing w:val="-4"/>
        </w:rPr>
        <w:t> </w:t>
      </w:r>
      <w:r>
        <w:rPr>
          <w:i/>
          <w:color w:val="FF0000"/>
        </w:rPr>
        <w:t>if</w:t>
      </w:r>
      <w:r>
        <w:rPr>
          <w:i/>
          <w:color w:val="FF0000"/>
          <w:spacing w:val="-3"/>
        </w:rPr>
        <w:t> </w:t>
      </w:r>
      <w:r>
        <w:rPr>
          <w:i/>
          <w:color w:val="FF0000"/>
        </w:rPr>
        <w:t>no</w:t>
      </w:r>
      <w:r>
        <w:rPr>
          <w:i/>
          <w:color w:val="FF0000"/>
          <w:spacing w:val="-3"/>
        </w:rPr>
        <w:t> </w:t>
      </w:r>
      <w:r>
        <w:rPr>
          <w:i/>
          <w:color w:val="FF0000"/>
        </w:rPr>
        <w:t>data</w:t>
      </w:r>
      <w:r>
        <w:rPr>
          <w:color w:val="FF0000"/>
          <w:w w:val="99"/>
        </w:rPr>
        <w:t> </w:t>
      </w:r>
      <w:r>
        <w:rPr>
          <w:color w:val="FF0000"/>
        </w:rPr>
        <w:t>can be provided to satisfy the</w:t>
      </w:r>
      <w:r>
        <w:rPr>
          <w:color w:val="FF0000"/>
          <w:spacing w:val="-21"/>
        </w:rPr>
        <w:t> </w:t>
      </w:r>
      <w:r>
        <w:rPr>
          <w:color w:val="FF0000"/>
        </w:rPr>
        <w:t>deficiency.]</w:t>
      </w:r>
    </w:p>
    <w:p>
      <w:pPr>
        <w:pStyle w:val="BodyText"/>
        <w:spacing w:before="4"/>
        <w:rPr>
          <w:i/>
          <w:sz w:val="28"/>
        </w:rPr>
      </w:pPr>
    </w:p>
    <w:p>
      <w:pPr>
        <w:pStyle w:val="ListParagraph"/>
        <w:numPr>
          <w:ilvl w:val="0"/>
          <w:numId w:val="12"/>
        </w:numPr>
        <w:tabs>
          <w:tab w:pos="859" w:val="left" w:leader="none"/>
          <w:tab w:pos="861" w:val="left" w:leader="none"/>
        </w:tabs>
        <w:spacing w:line="240" w:lineRule="auto" w:before="0" w:after="0"/>
        <w:ind w:left="860" w:right="1360" w:hanging="720"/>
        <w:jc w:val="left"/>
        <w:rPr>
          <w:b/>
          <w:sz w:val="22"/>
          <w:u w:val="none"/>
        </w:rPr>
      </w:pPr>
      <w:r>
        <w:rPr>
          <w:b/>
          <w:sz w:val="22"/>
          <w:u w:val="thick"/>
        </w:rPr>
        <w:t>CLASSIFICATION: </w:t>
      </w:r>
      <w:r>
        <w:rPr>
          <w:b/>
          <w:color w:val="FF0000"/>
          <w:sz w:val="22"/>
          <w:u w:val="none"/>
        </w:rPr>
        <w:t>[ACCEPTABLE / UNACCEPTABLE / SUPPLEMENTAL, but UPGRADEABLE]</w:t>
      </w:r>
    </w:p>
    <w:p>
      <w:pPr>
        <w:pStyle w:val="BodyText"/>
        <w:rPr>
          <w:b/>
          <w:i w:val="0"/>
          <w:sz w:val="24"/>
        </w:rPr>
      </w:pPr>
    </w:p>
    <w:p>
      <w:pPr>
        <w:pStyle w:val="BodyText"/>
        <w:spacing w:before="4"/>
        <w:rPr>
          <w:b/>
          <w:i w:val="0"/>
          <w:sz w:val="26"/>
        </w:rPr>
      </w:pPr>
    </w:p>
    <w:p>
      <w:pPr>
        <w:pStyle w:val="ListParagraph"/>
        <w:numPr>
          <w:ilvl w:val="0"/>
          <w:numId w:val="10"/>
        </w:numPr>
        <w:tabs>
          <w:tab w:pos="859" w:val="left" w:leader="none"/>
          <w:tab w:pos="861" w:val="left" w:leader="none"/>
        </w:tabs>
        <w:spacing w:line="240" w:lineRule="auto" w:before="0" w:after="0"/>
        <w:ind w:left="860" w:right="485" w:hanging="720"/>
        <w:jc w:val="left"/>
        <w:rPr>
          <w:i/>
          <w:sz w:val="22"/>
          <w:u w:val="none"/>
        </w:rPr>
      </w:pPr>
      <w:r>
        <w:rPr>
          <w:b/>
          <w:sz w:val="22"/>
          <w:u w:val="none"/>
        </w:rPr>
        <w:t>REFERENCES: </w:t>
      </w:r>
      <w:r>
        <w:rPr>
          <w:i/>
          <w:color w:val="FF0000"/>
          <w:sz w:val="22"/>
          <w:u w:val="none"/>
        </w:rPr>
        <w:t>[Provide references that were cited in the study report: methods, studies in the open </w:t>
      </w:r>
      <w:r>
        <w:rPr>
          <w:i/>
          <w:color w:val="FF0000"/>
          <w:sz w:val="22"/>
          <w:u w:val="none"/>
        </w:rPr>
        <w:t>literature, references to other study reports in the submission or other studies conducted by the applicant.].</w:t>
      </w:r>
    </w:p>
    <w:p>
      <w:pPr>
        <w:pStyle w:val="BodyText"/>
        <w:spacing w:before="10"/>
        <w:rPr>
          <w:i/>
          <w:sz w:val="21"/>
        </w:rPr>
      </w:pPr>
    </w:p>
    <w:p>
      <w:pPr>
        <w:spacing w:before="0"/>
        <w:ind w:left="860" w:right="208" w:firstLine="0"/>
        <w:jc w:val="left"/>
        <w:rPr>
          <w:b/>
          <w:sz w:val="22"/>
        </w:rPr>
      </w:pPr>
      <w:r>
        <w:rPr>
          <w:b/>
          <w:color w:val="FF0000"/>
          <w:sz w:val="22"/>
        </w:rPr>
        <w:t>[</w:t>
      </w:r>
      <w:r>
        <w:rPr>
          <w:b/>
          <w:i/>
          <w:color w:val="FF0000"/>
          <w:sz w:val="22"/>
        </w:rPr>
        <w:t>NOTE: Depending on the level of relevance- copies of published literature, previously conducted </w:t>
      </w:r>
      <w:r>
        <w:rPr>
          <w:b/>
          <w:i/>
          <w:color w:val="FF0000"/>
          <w:sz w:val="22"/>
        </w:rPr>
        <w:t>unpublished study and any other background literature that support the use of a literature review as alternative data (including other studies reporting similar findings) should be provided as an appendix attached to the study report for the reviewer’s reference and verification of study details.</w:t>
      </w:r>
      <w:r>
        <w:rPr>
          <w:b/>
          <w:color w:val="FF0000"/>
          <w:sz w:val="22"/>
        </w:rPr>
        <w:t>]</w:t>
      </w:r>
    </w:p>
    <w:sectPr>
      <w:pgSz w:w="12240" w:h="15840"/>
      <w:pgMar w:header="729" w:footer="796" w:top="1860" w:bottom="980" w:left="94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41.399963pt;width:165.55pt;height:12pt;mso-position-horizontal-relative:page;mso-position-vertical-relative:page;z-index:-34072" type="#_x0000_t202" filled="false" stroked="false">
          <v:textbox inset="0,0,0,0">
            <w:txbxContent>
              <w:p>
                <w:pPr>
                  <w:spacing w:before="12"/>
                  <w:ind w:left="20" w:right="0" w:firstLine="0"/>
                  <w:jc w:val="left"/>
                  <w:rPr>
                    <w:b/>
                    <w:sz w:val="18"/>
                  </w:rPr>
                </w:pPr>
                <w:r>
                  <w:rPr>
                    <w:b/>
                    <w:sz w:val="18"/>
                  </w:rPr>
                  <w:t>DER Template Version 2.1 (October 2011)</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741.219971pt;width:85.25pt;height:12pt;mso-position-horizontal-relative:page;mso-position-vertical-relative:page;z-index:-34048" type="#_x0000_t202" filled="false" stroked="false">
          <v:textbox inset="0,0,0,0">
            <w:txbxContent>
              <w:p>
                <w:pPr>
                  <w:spacing w:before="12"/>
                  <w:ind w:left="20" w:right="0" w:firstLine="0"/>
                  <w:jc w:val="left"/>
                  <w:rPr>
                    <w:b/>
                    <w:sz w:val="18"/>
                  </w:rPr>
                </w:pPr>
                <w:r>
                  <w:rPr>
                    <w:b/>
                    <w:sz w:val="18"/>
                  </w:rPr>
                  <w:t>MRID No. </w:t>
                </w:r>
                <w:r>
                  <w:rPr>
                    <w:b/>
                    <w:color w:val="FF0000"/>
                    <w:sz w:val="18"/>
                  </w:rPr>
                  <w:t>#########</w:t>
                </w:r>
              </w:p>
            </w:txbxContent>
          </v:textbox>
          <w10:wrap type="none"/>
        </v:shape>
      </w:pict>
    </w:r>
    <w:r>
      <w:rPr/>
      <w:pict>
        <v:shape style="position:absolute;margin-left:507.256989pt;margin-top:741.219971pt;width:51.8pt;height:12pt;mso-position-horizontal-relative:page;mso-position-vertical-relative:page;z-index:-34024" type="#_x0000_t202" filled="false" stroked="false">
          <v:textbox inset="0,0,0,0">
            <w:txbxContent>
              <w:p>
                <w:pPr>
                  <w:spacing w:before="12"/>
                  <w:ind w:left="20" w:right="0" w:firstLine="0"/>
                  <w:jc w:val="left"/>
                  <w:rPr>
                    <w:b/>
                    <w:sz w:val="18"/>
                  </w:rPr>
                </w:pPr>
                <w:r>
                  <w:rPr>
                    <w:sz w:val="18"/>
                  </w:rPr>
                  <w:t>Page </w:t>
                </w:r>
                <w:r>
                  <w:rPr/>
                  <w:fldChar w:fldCharType="begin"/>
                </w:r>
                <w:r>
                  <w:rPr>
                    <w:b/>
                    <w:sz w:val="18"/>
                  </w:rPr>
                  <w:instrText> PAGE </w:instrText>
                </w:r>
                <w:r>
                  <w:rPr/>
                  <w:fldChar w:fldCharType="separate"/>
                </w:r>
                <w:r>
                  <w:rPr/>
                  <w:t>10</w:t>
                </w:r>
                <w:r>
                  <w:rPr/>
                  <w:fldChar w:fldCharType="end"/>
                </w:r>
                <w:r>
                  <w:rPr>
                    <w:b/>
                    <w:sz w:val="18"/>
                  </w:rPr>
                  <w:t> </w:t>
                </w:r>
                <w:r>
                  <w:rPr>
                    <w:sz w:val="18"/>
                  </w:rPr>
                  <w:t>of </w:t>
                </w:r>
                <w:r>
                  <w:rPr>
                    <w:b/>
                    <w:sz w:val="18"/>
                  </w:rPr>
                  <w:t>20</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type id="_x0000_t202" o:spt="202" coordsize="21600,21600" path="m,l,21600r21600,l21600,xe">
          <v:stroke joinstyle="miter"/>
          <v:path gradientshapeok="t" o:connecttype="rect"/>
        </v:shapetype>
        <v:shape style="position:absolute;margin-left:53pt;margin-top:35.46664pt;width:496pt;height:58.9pt;mso-position-horizontal-relative:page;mso-position-vertical-relative:page;z-index:-34096" type="#_x0000_t202" filled="false" stroked="false">
          <v:textbox inset="0,0,0,0">
            <w:txbxContent>
              <w:p>
                <w:pPr>
                  <w:spacing w:before="10"/>
                  <w:ind w:left="20" w:right="0" w:firstLine="0"/>
                  <w:jc w:val="left"/>
                  <w:rPr>
                    <w:b/>
                    <w:i/>
                    <w:sz w:val="24"/>
                  </w:rPr>
                </w:pPr>
                <w:r>
                  <w:rPr>
                    <w:b/>
                    <w:sz w:val="24"/>
                  </w:rPr>
                  <w:t>Nontarget Insect Testing- </w:t>
                </w:r>
                <w:r>
                  <w:rPr>
                    <w:b/>
                    <w:i/>
                    <w:color w:val="FF0000"/>
                    <w:sz w:val="24"/>
                  </w:rPr>
                  <w:t>[species] [OR if not review of study report, then insert “Waiver Request”, </w:t>
                </w:r>
                <w:r>
                  <w:rPr>
                    <w:b/>
                    <w:i/>
                    <w:color w:val="FF0000"/>
                    <w:sz w:val="24"/>
                  </w:rPr>
                  <w:t>“Review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line style="position:absolute;mso-position-horizontal-relative:page;mso-position-vertical-relative:page;z-index:-34000" from="52.5pt,94.739998pt" to="559.501pt,94.739998pt" stroked="true" strokeweight=".48pt" strokecolor="#000000">
          <v:stroke dashstyle="solid"/>
          <w10:wrap type="none"/>
        </v:line>
      </w:pict>
    </w:r>
    <w:r>
      <w:rPr/>
      <w:pict>
        <v:shape style="position:absolute;margin-left:53pt;margin-top:35.46664pt;width:496pt;height:58.9pt;mso-position-horizontal-relative:page;mso-position-vertical-relative:page;z-index:-33976" type="#_x0000_t202" filled="false" stroked="false">
          <v:textbox inset="0,0,0,0">
            <w:txbxContent>
              <w:p>
                <w:pPr>
                  <w:spacing w:before="10"/>
                  <w:ind w:left="20" w:right="0" w:firstLine="0"/>
                  <w:jc w:val="left"/>
                  <w:rPr>
                    <w:b/>
                    <w:i/>
                    <w:sz w:val="24"/>
                  </w:rPr>
                </w:pPr>
                <w:r>
                  <w:rPr>
                    <w:b/>
                    <w:sz w:val="24"/>
                  </w:rPr>
                  <w:t>Nontarget Insect Testing- </w:t>
                </w:r>
                <w:r>
                  <w:rPr>
                    <w:b/>
                    <w:i/>
                    <w:color w:val="FF0000"/>
                    <w:sz w:val="24"/>
                  </w:rPr>
                  <w:t>[species] [OR if not review of study report, then insert “Waiver Request”, </w:t>
                </w:r>
                <w:r>
                  <w:rPr>
                    <w:b/>
                    <w:i/>
                    <w:color w:val="FF0000"/>
                    <w:sz w:val="24"/>
                  </w:rPr>
                  <w:t>“Review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i w:val="0"/>
        <w:sz w:val="20"/>
      </w:rPr>
    </w:pPr>
    <w:r>
      <w:rPr/>
      <w:pict>
        <v:shape style="position:absolute;margin-left:53pt;margin-top:35.46664pt;width:496pt;height:58.9pt;mso-position-horizontal-relative:page;mso-position-vertical-relative:page;z-index:-33952" type="#_x0000_t202" filled="false" stroked="false">
          <v:textbox inset="0,0,0,0">
            <w:txbxContent>
              <w:p>
                <w:pPr>
                  <w:spacing w:before="10"/>
                  <w:ind w:left="20" w:right="0" w:firstLine="0"/>
                  <w:jc w:val="left"/>
                  <w:rPr>
                    <w:b/>
                    <w:i/>
                    <w:sz w:val="24"/>
                  </w:rPr>
                </w:pPr>
                <w:r>
                  <w:rPr>
                    <w:b/>
                    <w:sz w:val="24"/>
                  </w:rPr>
                  <w:t>Nontarget Insect Testing- </w:t>
                </w:r>
                <w:r>
                  <w:rPr>
                    <w:b/>
                    <w:i/>
                    <w:color w:val="FF0000"/>
                    <w:sz w:val="24"/>
                  </w:rPr>
                  <w:t>[species] [OR if not review of study report, then insert “Waiver Request”, </w:t>
                </w:r>
                <w:r>
                  <w:rPr>
                    <w:b/>
                    <w:i/>
                    <w:color w:val="FF0000"/>
                    <w:sz w:val="24"/>
                  </w:rPr>
                  <w:t>“Review of Published Study” or “Review of Published Literature”]</w:t>
                </w:r>
              </w:p>
              <w:p>
                <w:pPr>
                  <w:spacing w:line="206" w:lineRule="exact" w:before="183"/>
                  <w:ind w:left="20" w:right="0" w:firstLine="0"/>
                  <w:jc w:val="left"/>
                  <w:rPr>
                    <w:b/>
                    <w:sz w:val="18"/>
                  </w:rPr>
                </w:pPr>
                <w:r>
                  <w:rPr>
                    <w:b/>
                    <w:color w:val="FF0000"/>
                    <w:sz w:val="18"/>
                  </w:rPr>
                  <w:t>NAME OF TGAI, MP or EP / NAME OF A.I. (Chemical code)/ </w:t>
                </w:r>
                <w:r>
                  <w:rPr>
                    <w:b/>
                    <w:sz w:val="18"/>
                  </w:rPr>
                  <w:t>EPA Reg. No. </w:t>
                </w:r>
                <w:r>
                  <w:rPr>
                    <w:b/>
                    <w:color w:val="FF0000"/>
                    <w:sz w:val="18"/>
                  </w:rPr>
                  <w:t>####</w:t>
                </w:r>
              </w:p>
              <w:p>
                <w:pPr>
                  <w:spacing w:line="206" w:lineRule="exact" w:before="0"/>
                  <w:ind w:left="20" w:right="0" w:firstLine="0"/>
                  <w:jc w:val="left"/>
                  <w:rPr>
                    <w:i/>
                    <w:sz w:val="18"/>
                  </w:rPr>
                </w:pPr>
                <w:r>
                  <w:rPr>
                    <w:b/>
                    <w:sz w:val="18"/>
                  </w:rPr>
                  <w:t>Submission No. </w:t>
                </w:r>
                <w:r>
                  <w:rPr>
                    <w:b/>
                    <w:color w:val="FF0000"/>
                    <w:sz w:val="18"/>
                  </w:rPr>
                  <w:t>######### </w:t>
                </w:r>
                <w:r>
                  <w:rPr>
                    <w:b/>
                    <w:sz w:val="18"/>
                  </w:rPr>
                  <w:t>/ Decision No. </w:t>
                </w:r>
                <w:r>
                  <w:rPr>
                    <w:b/>
                    <w:color w:val="FF0000"/>
                    <w:sz w:val="18"/>
                  </w:rPr>
                  <w:t>####### </w:t>
                </w:r>
                <w:r>
                  <w:rPr>
                    <w:b/>
                    <w:sz w:val="18"/>
                  </w:rPr>
                  <w:t>/ DP Barcode: DP</w:t>
                </w:r>
                <w:r>
                  <w:rPr>
                    <w:b/>
                    <w:color w:val="FF0000"/>
                    <w:sz w:val="18"/>
                  </w:rPr>
                  <w:t>###### [</w:t>
                </w:r>
                <w:r>
                  <w:rPr>
                    <w:b/>
                    <w:sz w:val="18"/>
                  </w:rPr>
                  <w:t>/ </w:t>
                </w:r>
                <w:r>
                  <w:rPr>
                    <w:sz w:val="18"/>
                  </w:rPr>
                  <w:t>PMRA </w:t>
                </w:r>
                <w:r>
                  <w:rPr>
                    <w:b/>
                    <w:color w:val="FF0000"/>
                    <w:sz w:val="18"/>
                  </w:rPr>
                  <w:t>#### </w:t>
                </w:r>
                <w:r>
                  <w:rPr>
                    <w:i/>
                    <w:color w:val="FF0000"/>
                    <w:sz w:val="18"/>
                  </w:rPr>
                  <w:t>(if applicable-otherwise delete)]</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0">
    <w:multiLevelType w:val="hybridMultilevel"/>
    <w:lvl w:ilvl="0">
      <w:start w:val="5"/>
      <w:numFmt w:val="lowerLetter"/>
      <w:lvlText w:val="%1"/>
      <w:lvlJc w:val="left"/>
      <w:pPr>
        <w:ind w:left="1123" w:hanging="264"/>
        <w:jc w:val="left"/>
      </w:pPr>
      <w:rPr>
        <w:rFonts w:hint="default"/>
      </w:rPr>
    </w:lvl>
    <w:lvl w:ilvl="1">
      <w:start w:val="7"/>
      <w:numFmt w:val="lowerLetter"/>
      <w:lvlText w:val="%1.%2"/>
      <w:lvlJc w:val="left"/>
      <w:pPr>
        <w:ind w:left="1123" w:hanging="264"/>
        <w:jc w:val="left"/>
      </w:pPr>
      <w:rPr>
        <w:rFonts w:hint="default" w:ascii="Times New Roman" w:hAnsi="Times New Roman" w:eastAsia="Times New Roman" w:cs="Times New Roman"/>
        <w:i/>
        <w:color w:val="FF0000"/>
        <w:spacing w:val="-1"/>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9">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8">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2"/>
      <w:numFmt w:val="upperLetter"/>
      <w:lvlText w:val="%2."/>
      <w:lvlJc w:val="left"/>
      <w:pPr>
        <w:ind w:left="2300" w:hanging="721"/>
        <w:jc w:val="left"/>
      </w:pPr>
      <w:rPr>
        <w:rFonts w:hint="default" w:ascii="Times New Roman" w:hAnsi="Times New Roman" w:eastAsia="Times New Roman" w:cs="Times New Roman"/>
        <w:b/>
        <w:bCs/>
        <w:i/>
        <w:color w:val="FF0000"/>
        <w:w w:val="99"/>
        <w:sz w:val="22"/>
        <w:szCs w:val="22"/>
      </w:rPr>
    </w:lvl>
    <w:lvl w:ilvl="2">
      <w:start w:val="1"/>
      <w:numFmt w:val="decimal"/>
      <w:lvlText w:val="%3."/>
      <w:lvlJc w:val="left"/>
      <w:pPr>
        <w:ind w:left="2300" w:hanging="721"/>
        <w:jc w:val="left"/>
      </w:pPr>
      <w:rPr>
        <w:rFonts w:hint="default" w:ascii="Times New Roman" w:hAnsi="Times New Roman" w:eastAsia="Times New Roman" w:cs="Times New Roman"/>
        <w:b/>
        <w:bCs/>
        <w:i/>
        <w:color w:val="FF0000"/>
        <w:w w:val="99"/>
        <w:sz w:val="22"/>
        <w:szCs w:val="22"/>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7">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abstractNum w:abstractNumId="6">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2300" w:hanging="721"/>
      </w:pPr>
      <w:rPr>
        <w:rFonts w:hint="default"/>
      </w:rPr>
    </w:lvl>
    <w:lvl w:ilvl="2">
      <w:start w:val="0"/>
      <w:numFmt w:val="bullet"/>
      <w:lvlText w:val="•"/>
      <w:lvlJc w:val="left"/>
      <w:pPr>
        <w:ind w:left="3195" w:hanging="721"/>
      </w:pPr>
      <w:rPr>
        <w:rFonts w:hint="default"/>
      </w:rPr>
    </w:lvl>
    <w:lvl w:ilvl="3">
      <w:start w:val="0"/>
      <w:numFmt w:val="bullet"/>
      <w:lvlText w:val="•"/>
      <w:lvlJc w:val="left"/>
      <w:pPr>
        <w:ind w:left="4091" w:hanging="721"/>
      </w:pPr>
      <w:rPr>
        <w:rFonts w:hint="default"/>
      </w:rPr>
    </w:lvl>
    <w:lvl w:ilvl="4">
      <w:start w:val="0"/>
      <w:numFmt w:val="bullet"/>
      <w:lvlText w:val="•"/>
      <w:lvlJc w:val="left"/>
      <w:pPr>
        <w:ind w:left="4986" w:hanging="721"/>
      </w:pPr>
      <w:rPr>
        <w:rFonts w:hint="default"/>
      </w:rPr>
    </w:lvl>
    <w:lvl w:ilvl="5">
      <w:start w:val="0"/>
      <w:numFmt w:val="bullet"/>
      <w:lvlText w:val="•"/>
      <w:lvlJc w:val="left"/>
      <w:pPr>
        <w:ind w:left="5882" w:hanging="721"/>
      </w:pPr>
      <w:rPr>
        <w:rFonts w:hint="default"/>
      </w:rPr>
    </w:lvl>
    <w:lvl w:ilvl="6">
      <w:start w:val="0"/>
      <w:numFmt w:val="bullet"/>
      <w:lvlText w:val="•"/>
      <w:lvlJc w:val="left"/>
      <w:pPr>
        <w:ind w:left="6777" w:hanging="721"/>
      </w:pPr>
      <w:rPr>
        <w:rFonts w:hint="default"/>
      </w:rPr>
    </w:lvl>
    <w:lvl w:ilvl="7">
      <w:start w:val="0"/>
      <w:numFmt w:val="bullet"/>
      <w:lvlText w:val="•"/>
      <w:lvlJc w:val="left"/>
      <w:pPr>
        <w:ind w:left="7673" w:hanging="721"/>
      </w:pPr>
      <w:rPr>
        <w:rFonts w:hint="default"/>
      </w:rPr>
    </w:lvl>
    <w:lvl w:ilvl="8">
      <w:start w:val="0"/>
      <w:numFmt w:val="bullet"/>
      <w:lvlText w:val="•"/>
      <w:lvlJc w:val="left"/>
      <w:pPr>
        <w:ind w:left="8568" w:hanging="721"/>
      </w:pPr>
      <w:rPr>
        <w:rFonts w:hint="default"/>
      </w:rPr>
    </w:lvl>
  </w:abstractNum>
  <w:abstractNum w:abstractNumId="5">
    <w:multiLevelType w:val="hybridMultilevel"/>
    <w:lvl w:ilvl="0">
      <w:start w:val="1"/>
      <w:numFmt w:val="upperRoman"/>
      <w:lvlText w:val="%1."/>
      <w:lvlJc w:val="left"/>
      <w:pPr>
        <w:ind w:left="859" w:hanging="720"/>
        <w:jc w:val="left"/>
      </w:pPr>
      <w:rPr>
        <w:rFonts w:hint="default" w:ascii="Times New Roman" w:hAnsi="Times New Roman" w:eastAsia="Times New Roman" w:cs="Times New Roman"/>
        <w:b/>
        <w:bCs/>
        <w:spacing w:val="-1"/>
        <w:w w:val="99"/>
        <w:sz w:val="22"/>
        <w:szCs w:val="22"/>
      </w:rPr>
    </w:lvl>
    <w:lvl w:ilvl="1">
      <w:start w:val="1"/>
      <w:numFmt w:val="upperLetter"/>
      <w:lvlText w:val="%2."/>
      <w:lvlJc w:val="left"/>
      <w:pPr>
        <w:ind w:left="859" w:hanging="269"/>
        <w:jc w:val="left"/>
      </w:pPr>
      <w:rPr>
        <w:rFonts w:hint="default" w:ascii="Times New Roman" w:hAnsi="Times New Roman" w:eastAsia="Times New Roman" w:cs="Times New Roman"/>
        <w:b/>
        <w:bCs/>
        <w:spacing w:val="-1"/>
        <w:w w:val="99"/>
        <w:sz w:val="22"/>
        <w:szCs w:val="22"/>
      </w:rPr>
    </w:lvl>
    <w:lvl w:ilvl="2">
      <w:start w:val="0"/>
      <w:numFmt w:val="bullet"/>
      <w:lvlText w:val="•"/>
      <w:lvlJc w:val="left"/>
      <w:pPr>
        <w:ind w:left="2760" w:hanging="269"/>
      </w:pPr>
      <w:rPr>
        <w:rFonts w:hint="default"/>
      </w:rPr>
    </w:lvl>
    <w:lvl w:ilvl="3">
      <w:start w:val="0"/>
      <w:numFmt w:val="bullet"/>
      <w:lvlText w:val="•"/>
      <w:lvlJc w:val="left"/>
      <w:pPr>
        <w:ind w:left="3710" w:hanging="269"/>
      </w:pPr>
      <w:rPr>
        <w:rFonts w:hint="default"/>
      </w:rPr>
    </w:lvl>
    <w:lvl w:ilvl="4">
      <w:start w:val="0"/>
      <w:numFmt w:val="bullet"/>
      <w:lvlText w:val="•"/>
      <w:lvlJc w:val="left"/>
      <w:pPr>
        <w:ind w:left="4660" w:hanging="269"/>
      </w:pPr>
      <w:rPr>
        <w:rFonts w:hint="default"/>
      </w:rPr>
    </w:lvl>
    <w:lvl w:ilvl="5">
      <w:start w:val="0"/>
      <w:numFmt w:val="bullet"/>
      <w:lvlText w:val="•"/>
      <w:lvlJc w:val="left"/>
      <w:pPr>
        <w:ind w:left="5610" w:hanging="269"/>
      </w:pPr>
      <w:rPr>
        <w:rFonts w:hint="default"/>
      </w:rPr>
    </w:lvl>
    <w:lvl w:ilvl="6">
      <w:start w:val="0"/>
      <w:numFmt w:val="bullet"/>
      <w:lvlText w:val="•"/>
      <w:lvlJc w:val="left"/>
      <w:pPr>
        <w:ind w:left="6560" w:hanging="269"/>
      </w:pPr>
      <w:rPr>
        <w:rFonts w:hint="default"/>
      </w:rPr>
    </w:lvl>
    <w:lvl w:ilvl="7">
      <w:start w:val="0"/>
      <w:numFmt w:val="bullet"/>
      <w:lvlText w:val="•"/>
      <w:lvlJc w:val="left"/>
      <w:pPr>
        <w:ind w:left="7510" w:hanging="269"/>
      </w:pPr>
      <w:rPr>
        <w:rFonts w:hint="default"/>
      </w:rPr>
    </w:lvl>
    <w:lvl w:ilvl="8">
      <w:start w:val="0"/>
      <w:numFmt w:val="bullet"/>
      <w:lvlText w:val="•"/>
      <w:lvlJc w:val="left"/>
      <w:pPr>
        <w:ind w:left="8460" w:hanging="269"/>
      </w:pPr>
      <w:rPr>
        <w:rFonts w:hint="default"/>
      </w:rPr>
    </w:lvl>
  </w:abstractNum>
  <w:abstractNum w:abstractNumId="4">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3">
    <w:multiLevelType w:val="hybridMultilevel"/>
    <w:lvl w:ilvl="0">
      <w:start w:val="2"/>
      <w:numFmt w:val="upperLetter"/>
      <w:lvlText w:val="%1."/>
      <w:lvlJc w:val="left"/>
      <w:pPr>
        <w:ind w:left="860" w:hanging="721"/>
        <w:jc w:val="left"/>
      </w:pPr>
      <w:rPr>
        <w:rFonts w:hint="default" w:ascii="Times New Roman" w:hAnsi="Times New Roman" w:eastAsia="Times New Roman" w:cs="Times New Roman"/>
        <w:b/>
        <w:bCs/>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2">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1"/>
      </w:pPr>
      <w:rPr>
        <w:rFonts w:hint="default"/>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1">
    <w:multiLevelType w:val="hybridMultilevel"/>
    <w:lvl w:ilvl="0">
      <w:start w:val="1"/>
      <w:numFmt w:val="upperLetter"/>
      <w:lvlText w:val="%1."/>
      <w:lvlJc w:val="left"/>
      <w:pPr>
        <w:ind w:left="860" w:hanging="721"/>
        <w:jc w:val="left"/>
      </w:pPr>
      <w:rPr>
        <w:rFonts w:hint="default" w:ascii="Times New Roman" w:hAnsi="Times New Roman" w:eastAsia="Times New Roman" w:cs="Times New Roman"/>
        <w:b/>
        <w:bCs/>
        <w:spacing w:val="-1"/>
        <w:w w:val="99"/>
        <w:sz w:val="22"/>
        <w:szCs w:val="22"/>
      </w:rPr>
    </w:lvl>
    <w:lvl w:ilvl="1">
      <w:start w:val="1"/>
      <w:numFmt w:val="decimal"/>
      <w:lvlText w:val="%2."/>
      <w:lvlJc w:val="left"/>
      <w:pPr>
        <w:ind w:left="860" w:hanging="721"/>
        <w:jc w:val="left"/>
      </w:pPr>
      <w:rPr>
        <w:rFonts w:hint="default" w:ascii="Times New Roman" w:hAnsi="Times New Roman" w:eastAsia="Times New Roman" w:cs="Times New Roman"/>
        <w:b/>
        <w:bCs/>
        <w:w w:val="99"/>
        <w:sz w:val="22"/>
        <w:szCs w:val="22"/>
      </w:rPr>
    </w:lvl>
    <w:lvl w:ilvl="2">
      <w:start w:val="0"/>
      <w:numFmt w:val="bullet"/>
      <w:lvlText w:val="•"/>
      <w:lvlJc w:val="left"/>
      <w:pPr>
        <w:ind w:left="2760" w:hanging="721"/>
      </w:pPr>
      <w:rPr>
        <w:rFonts w:hint="default"/>
      </w:rPr>
    </w:lvl>
    <w:lvl w:ilvl="3">
      <w:start w:val="0"/>
      <w:numFmt w:val="bullet"/>
      <w:lvlText w:val="•"/>
      <w:lvlJc w:val="left"/>
      <w:pPr>
        <w:ind w:left="3710" w:hanging="721"/>
      </w:pPr>
      <w:rPr>
        <w:rFonts w:hint="default"/>
      </w:rPr>
    </w:lvl>
    <w:lvl w:ilvl="4">
      <w:start w:val="0"/>
      <w:numFmt w:val="bullet"/>
      <w:lvlText w:val="•"/>
      <w:lvlJc w:val="left"/>
      <w:pPr>
        <w:ind w:left="4660" w:hanging="721"/>
      </w:pPr>
      <w:rPr>
        <w:rFonts w:hint="default"/>
      </w:rPr>
    </w:lvl>
    <w:lvl w:ilvl="5">
      <w:start w:val="0"/>
      <w:numFmt w:val="bullet"/>
      <w:lvlText w:val="•"/>
      <w:lvlJc w:val="left"/>
      <w:pPr>
        <w:ind w:left="5610" w:hanging="721"/>
      </w:pPr>
      <w:rPr>
        <w:rFonts w:hint="default"/>
      </w:rPr>
    </w:lvl>
    <w:lvl w:ilvl="6">
      <w:start w:val="0"/>
      <w:numFmt w:val="bullet"/>
      <w:lvlText w:val="•"/>
      <w:lvlJc w:val="left"/>
      <w:pPr>
        <w:ind w:left="6560" w:hanging="721"/>
      </w:pPr>
      <w:rPr>
        <w:rFonts w:hint="default"/>
      </w:rPr>
    </w:lvl>
    <w:lvl w:ilvl="7">
      <w:start w:val="0"/>
      <w:numFmt w:val="bullet"/>
      <w:lvlText w:val="•"/>
      <w:lvlJc w:val="left"/>
      <w:pPr>
        <w:ind w:left="7510" w:hanging="721"/>
      </w:pPr>
      <w:rPr>
        <w:rFonts w:hint="default"/>
      </w:rPr>
    </w:lvl>
    <w:lvl w:ilvl="8">
      <w:start w:val="0"/>
      <w:numFmt w:val="bullet"/>
      <w:lvlText w:val="•"/>
      <w:lvlJc w:val="left"/>
      <w:pPr>
        <w:ind w:left="8460" w:hanging="721"/>
      </w:pPr>
      <w:rPr>
        <w:rFonts w:hint="default"/>
      </w:rPr>
    </w:lvl>
  </w:abstractNum>
  <w:abstractNum w:abstractNumId="0">
    <w:multiLevelType w:val="hybridMultilevel"/>
    <w:lvl w:ilvl="0">
      <w:start w:val="1"/>
      <w:numFmt w:val="upperRoman"/>
      <w:lvlText w:val="%1."/>
      <w:lvlJc w:val="left"/>
      <w:pPr>
        <w:ind w:left="860" w:hanging="720"/>
        <w:jc w:val="left"/>
      </w:pPr>
      <w:rPr>
        <w:rFonts w:hint="default" w:ascii="Times New Roman" w:hAnsi="Times New Roman" w:eastAsia="Times New Roman" w:cs="Times New Roman"/>
        <w:b/>
        <w:bCs/>
        <w:spacing w:val="-1"/>
        <w:w w:val="99"/>
        <w:sz w:val="22"/>
        <w:szCs w:val="22"/>
      </w:rPr>
    </w:lvl>
    <w:lvl w:ilvl="1">
      <w:start w:val="0"/>
      <w:numFmt w:val="bullet"/>
      <w:lvlText w:val="•"/>
      <w:lvlJc w:val="left"/>
      <w:pPr>
        <w:ind w:left="1810" w:hanging="720"/>
      </w:pPr>
      <w:rPr>
        <w:rFonts w:hint="default"/>
      </w:rPr>
    </w:lvl>
    <w:lvl w:ilvl="2">
      <w:start w:val="0"/>
      <w:numFmt w:val="bullet"/>
      <w:lvlText w:val="•"/>
      <w:lvlJc w:val="left"/>
      <w:pPr>
        <w:ind w:left="2760" w:hanging="720"/>
      </w:pPr>
      <w:rPr>
        <w:rFonts w:hint="default"/>
      </w:rPr>
    </w:lvl>
    <w:lvl w:ilvl="3">
      <w:start w:val="0"/>
      <w:numFmt w:val="bullet"/>
      <w:lvlText w:val="•"/>
      <w:lvlJc w:val="left"/>
      <w:pPr>
        <w:ind w:left="3710" w:hanging="720"/>
      </w:pPr>
      <w:rPr>
        <w:rFonts w:hint="default"/>
      </w:rPr>
    </w:lvl>
    <w:lvl w:ilvl="4">
      <w:start w:val="0"/>
      <w:numFmt w:val="bullet"/>
      <w:lvlText w:val="•"/>
      <w:lvlJc w:val="left"/>
      <w:pPr>
        <w:ind w:left="4660" w:hanging="720"/>
      </w:pPr>
      <w:rPr>
        <w:rFonts w:hint="default"/>
      </w:rPr>
    </w:lvl>
    <w:lvl w:ilvl="5">
      <w:start w:val="0"/>
      <w:numFmt w:val="bullet"/>
      <w:lvlText w:val="•"/>
      <w:lvlJc w:val="left"/>
      <w:pPr>
        <w:ind w:left="5610" w:hanging="720"/>
      </w:pPr>
      <w:rPr>
        <w:rFonts w:hint="default"/>
      </w:rPr>
    </w:lvl>
    <w:lvl w:ilvl="6">
      <w:start w:val="0"/>
      <w:numFmt w:val="bullet"/>
      <w:lvlText w:val="•"/>
      <w:lvlJc w:val="left"/>
      <w:pPr>
        <w:ind w:left="6560" w:hanging="720"/>
      </w:pPr>
      <w:rPr>
        <w:rFonts w:hint="default"/>
      </w:rPr>
    </w:lvl>
    <w:lvl w:ilvl="7">
      <w:start w:val="0"/>
      <w:numFmt w:val="bullet"/>
      <w:lvlText w:val="•"/>
      <w:lvlJc w:val="left"/>
      <w:pPr>
        <w:ind w:left="7510" w:hanging="720"/>
      </w:pPr>
      <w:rPr>
        <w:rFonts w:hint="default"/>
      </w:rPr>
    </w:lvl>
    <w:lvl w:ilvl="8">
      <w:start w:val="0"/>
      <w:numFmt w:val="bullet"/>
      <w:lvlText w:val="•"/>
      <w:lvlJc w:val="left"/>
      <w:pPr>
        <w:ind w:left="8460" w:hanging="720"/>
      </w:pPr>
      <w:rPr>
        <w:rFonts w:hint="default"/>
      </w:rPr>
    </w:lvl>
  </w:abstract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rPr>
  </w:style>
  <w:style w:styleId="BodyText" w:type="paragraph">
    <w:name w:val="Body Text"/>
    <w:basedOn w:val="Normal"/>
    <w:uiPriority w:val="1"/>
    <w:qFormat/>
    <w:pPr/>
    <w:rPr>
      <w:rFonts w:ascii="Times New Roman" w:hAnsi="Times New Roman" w:eastAsia="Times New Roman" w:cs="Times New Roman"/>
      <w:i/>
      <w:sz w:val="16"/>
      <w:szCs w:val="16"/>
    </w:rPr>
  </w:style>
  <w:style w:styleId="Heading1" w:type="paragraph">
    <w:name w:val="Heading 1"/>
    <w:basedOn w:val="Normal"/>
    <w:uiPriority w:val="1"/>
    <w:qFormat/>
    <w:pPr>
      <w:spacing w:before="150"/>
      <w:ind w:left="140"/>
      <w:outlineLvl w:val="1"/>
    </w:pPr>
    <w:rPr>
      <w:rFonts w:ascii="Times New Roman" w:hAnsi="Times New Roman" w:eastAsia="Times New Roman" w:cs="Times New Roman"/>
      <w:b/>
      <w:bCs/>
      <w:i/>
      <w:sz w:val="30"/>
      <w:szCs w:val="30"/>
      <w:u w:val="single" w:color="000000"/>
    </w:rPr>
  </w:style>
  <w:style w:styleId="Heading2" w:type="paragraph">
    <w:name w:val="Heading 2"/>
    <w:basedOn w:val="Normal"/>
    <w:uiPriority w:val="1"/>
    <w:qFormat/>
    <w:pPr>
      <w:ind w:left="860"/>
      <w:outlineLvl w:val="2"/>
    </w:pPr>
    <w:rPr>
      <w:rFonts w:ascii="Times New Roman" w:hAnsi="Times New Roman" w:eastAsia="Times New Roman" w:cs="Times New Roman"/>
      <w:b/>
      <w:bCs/>
      <w:sz w:val="22"/>
      <w:szCs w:val="22"/>
    </w:rPr>
  </w:style>
  <w:style w:styleId="Heading3" w:type="paragraph">
    <w:name w:val="Heading 3"/>
    <w:basedOn w:val="Normal"/>
    <w:uiPriority w:val="1"/>
    <w:qFormat/>
    <w:pPr>
      <w:ind w:left="860"/>
      <w:outlineLvl w:val="3"/>
    </w:pPr>
    <w:rPr>
      <w:rFonts w:ascii="Times New Roman" w:hAnsi="Times New Roman" w:eastAsia="Times New Roman" w:cs="Times New Roman"/>
      <w:b/>
      <w:bCs/>
      <w:i/>
      <w:sz w:val="22"/>
      <w:szCs w:val="22"/>
    </w:rPr>
  </w:style>
  <w:style w:styleId="Heading4" w:type="paragraph">
    <w:name w:val="Heading 4"/>
    <w:basedOn w:val="Normal"/>
    <w:uiPriority w:val="1"/>
    <w:qFormat/>
    <w:pPr>
      <w:ind w:left="860"/>
      <w:outlineLvl w:val="4"/>
    </w:pPr>
    <w:rPr>
      <w:rFonts w:ascii="Times New Roman" w:hAnsi="Times New Roman" w:eastAsia="Times New Roman" w:cs="Times New Roman"/>
      <w:sz w:val="22"/>
      <w:szCs w:val="22"/>
    </w:rPr>
  </w:style>
  <w:style w:styleId="Heading5" w:type="paragraph">
    <w:name w:val="Heading 5"/>
    <w:basedOn w:val="Normal"/>
    <w:uiPriority w:val="1"/>
    <w:qFormat/>
    <w:pPr>
      <w:ind w:left="860"/>
      <w:outlineLvl w:val="5"/>
    </w:pPr>
    <w:rPr>
      <w:rFonts w:ascii="Times New Roman" w:hAnsi="Times New Roman" w:eastAsia="Times New Roman" w:cs="Times New Roman"/>
      <w:i/>
      <w:sz w:val="22"/>
      <w:szCs w:val="22"/>
    </w:rPr>
  </w:style>
  <w:style w:styleId="Heading6" w:type="paragraph">
    <w:name w:val="Heading 6"/>
    <w:basedOn w:val="Normal"/>
    <w:uiPriority w:val="1"/>
    <w:qFormat/>
    <w:pPr>
      <w:ind w:left="140"/>
      <w:outlineLvl w:val="6"/>
    </w:pPr>
    <w:rPr>
      <w:rFonts w:ascii="Times New Roman" w:hAnsi="Times New Roman" w:eastAsia="Times New Roman" w:cs="Times New Roman"/>
      <w:i/>
      <w:sz w:val="20"/>
      <w:szCs w:val="20"/>
    </w:rPr>
  </w:style>
  <w:style w:styleId="Heading7" w:type="paragraph">
    <w:name w:val="Heading 7"/>
    <w:basedOn w:val="Normal"/>
    <w:uiPriority w:val="1"/>
    <w:qFormat/>
    <w:pPr>
      <w:spacing w:before="4" w:line="182" w:lineRule="exact"/>
      <w:ind w:left="1560"/>
      <w:outlineLvl w:val="7"/>
    </w:pPr>
    <w:rPr>
      <w:rFonts w:ascii="Times New Roman" w:hAnsi="Times New Roman" w:eastAsia="Times New Roman" w:cs="Times New Roman"/>
      <w:b/>
      <w:bCs/>
      <w:i/>
      <w:sz w:val="16"/>
      <w:szCs w:val="16"/>
    </w:rPr>
  </w:style>
  <w:style w:styleId="ListParagraph" w:type="paragraph">
    <w:name w:val="List Paragraph"/>
    <w:basedOn w:val="Normal"/>
    <w:uiPriority w:val="1"/>
    <w:qFormat/>
    <w:pPr>
      <w:ind w:left="860" w:hanging="720"/>
    </w:pPr>
    <w:rPr>
      <w:rFonts w:ascii="Times New Roman" w:hAnsi="Times New Roman" w:eastAsia="Times New Roman" w:cs="Times New Roman"/>
      <w:u w:val="single" w:color="000000"/>
    </w:rPr>
  </w:style>
  <w:style w:styleId="TableParagraph" w:type="paragraph">
    <w:name w:val="Table Paragraph"/>
    <w:basedOn w:val="Normal"/>
    <w:uiPriority w:val="1"/>
    <w:qFormat/>
    <w:pPr>
      <w:spacing w:before="118"/>
    </w:pPr>
    <w:rPr>
      <w:rFonts w:ascii="Times New Roman" w:hAnsi="Times New Roman" w:eastAsia="Times New Roman" w:cs="Times New Roma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Annabel Waggoner</dc:creator>
  <dc:title>EPA  Reviewer:</dc:title>
  <dcterms:created xsi:type="dcterms:W3CDTF">2017-10-18T09:21:15Z</dcterms:created>
  <dcterms:modified xsi:type="dcterms:W3CDTF">2017-10-18T09:21:15Z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