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032C6" w14:textId="1935330F" w:rsidR="00ED2116" w:rsidRPr="0058728B" w:rsidRDefault="003467DA" w:rsidP="0065730C">
      <w:pPr>
        <w:jc w:val="right"/>
        <w:rPr>
          <w:lang w:val="en-CA"/>
        </w:rPr>
      </w:pPr>
      <w:r>
        <w:rPr>
          <w:lang w:val="en-CA"/>
        </w:rPr>
        <w:t>May 1</w:t>
      </w:r>
      <w:r w:rsidR="00844059">
        <w:rPr>
          <w:lang w:val="en-CA"/>
        </w:rPr>
        <w:t>9</w:t>
      </w:r>
      <w:r w:rsidR="00455B15">
        <w:rPr>
          <w:lang w:val="en-CA"/>
        </w:rPr>
        <w:t>, 2023</w:t>
      </w:r>
    </w:p>
    <w:p w14:paraId="19B8A7FB" w14:textId="77777777" w:rsidR="00286734" w:rsidRDefault="00286734" w:rsidP="00286734">
      <w:r>
        <w:t>MR JEFFREY ROBINSON</w:t>
      </w:r>
    </w:p>
    <w:p w14:paraId="5C10F7B0" w14:textId="77777777" w:rsidR="00286734" w:rsidRDefault="00286734" w:rsidP="00286734">
      <w:r>
        <w:t>BRANCH CHIEF AIR PERMITS AND MONITORING</w:t>
      </w:r>
    </w:p>
    <w:p w14:paraId="11FAFAEC" w14:textId="77777777" w:rsidR="00286734" w:rsidRDefault="00286734" w:rsidP="00286734">
      <w:r>
        <w:t>US ENVIRONMENTAL PROTECTION AGENCY REGION 6</w:t>
      </w:r>
    </w:p>
    <w:p w14:paraId="6478FD5C" w14:textId="77777777" w:rsidR="00286734" w:rsidRDefault="00286734" w:rsidP="00286734">
      <w:r>
        <w:t>1201 ELM ST STE 500</w:t>
      </w:r>
    </w:p>
    <w:p w14:paraId="109C9328" w14:textId="77777777" w:rsidR="002A602F" w:rsidRDefault="00286734" w:rsidP="00286734">
      <w:r>
        <w:t>DALLAS TX  75270</w:t>
      </w:r>
    </w:p>
    <w:p w14:paraId="61C62C1D" w14:textId="77777777" w:rsidR="00286734" w:rsidRDefault="00286734" w:rsidP="00286734"/>
    <w:p w14:paraId="0A97326D" w14:textId="77777777" w:rsidR="00BD7424" w:rsidRPr="00C04EA2" w:rsidRDefault="00BD7424" w:rsidP="0065730C"/>
    <w:p w14:paraId="65762390"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003F2C59" w14:textId="77777777" w:rsidR="00C4738D" w:rsidRPr="00C04EA2" w:rsidRDefault="00611DFB" w:rsidP="0065730C">
      <w:pPr>
        <w:ind w:left="446"/>
      </w:pPr>
      <w:r>
        <w:t>Renewal</w:t>
      </w:r>
    </w:p>
    <w:p w14:paraId="12950E6D" w14:textId="77777777" w:rsidR="00C4738D" w:rsidRPr="00C04EA2" w:rsidRDefault="00D35BB8" w:rsidP="0065730C">
      <w:pPr>
        <w:ind w:left="446"/>
      </w:pPr>
      <w:r w:rsidRPr="00C04EA2">
        <w:t xml:space="preserve">Permit Number:  </w:t>
      </w:r>
      <w:r w:rsidR="00611DFB">
        <w:t>O1602</w:t>
      </w:r>
    </w:p>
    <w:p w14:paraId="7B5738FF" w14:textId="77777777" w:rsidR="00C4738D" w:rsidRPr="00C04EA2" w:rsidRDefault="00611DFB" w:rsidP="0065730C">
      <w:pPr>
        <w:ind w:left="446"/>
      </w:pPr>
      <w:r>
        <w:t>Phelps Dodge Refining Corporation</w:t>
      </w:r>
    </w:p>
    <w:p w14:paraId="5C328F32" w14:textId="67E33A31" w:rsidR="00C4738D" w:rsidRPr="00C04EA2" w:rsidRDefault="00611DFB" w:rsidP="0065730C">
      <w:pPr>
        <w:ind w:left="446"/>
      </w:pPr>
      <w:r>
        <w:t>El Paso Refinery and Rod Mill</w:t>
      </w:r>
    </w:p>
    <w:p w14:paraId="1AAC4742" w14:textId="77777777" w:rsidR="00C4738D" w:rsidRPr="00C04EA2" w:rsidRDefault="00611DFB" w:rsidP="0065730C">
      <w:pPr>
        <w:ind w:left="446"/>
      </w:pPr>
      <w:r>
        <w:t>El Paso, El Paso County</w:t>
      </w:r>
    </w:p>
    <w:p w14:paraId="5E367D80" w14:textId="77777777" w:rsidR="00C4738D" w:rsidRPr="00C04EA2" w:rsidRDefault="00C4738D" w:rsidP="0065730C">
      <w:pPr>
        <w:ind w:left="446"/>
      </w:pPr>
      <w:r w:rsidRPr="00C04EA2">
        <w:t xml:space="preserve">Regulated Entity Number:  </w:t>
      </w:r>
      <w:r w:rsidR="00611DFB">
        <w:t>RN100226000</w:t>
      </w:r>
    </w:p>
    <w:p w14:paraId="6B797F20" w14:textId="77777777" w:rsidR="00C4738D" w:rsidRPr="00C04EA2" w:rsidRDefault="00C4738D" w:rsidP="0065730C">
      <w:pPr>
        <w:ind w:left="446"/>
      </w:pPr>
      <w:r w:rsidRPr="00C04EA2">
        <w:t xml:space="preserve">Customer Reference Number:  </w:t>
      </w:r>
      <w:r w:rsidR="00611DFB">
        <w:t>CN600132179</w:t>
      </w:r>
    </w:p>
    <w:p w14:paraId="2F0ED07C" w14:textId="77777777" w:rsidR="00F263F1" w:rsidRPr="00C04EA2" w:rsidRDefault="00F263F1" w:rsidP="0065730C">
      <w:pPr>
        <w:ind w:left="450"/>
      </w:pPr>
    </w:p>
    <w:p w14:paraId="6660E136"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2DACCF5A" w14:textId="77777777" w:rsidR="00AE0188" w:rsidRPr="00C04EA2" w:rsidRDefault="00AE0188" w:rsidP="0065730C"/>
    <w:p w14:paraId="599B7767"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3C407DBD" w14:textId="77777777" w:rsidR="00EC6896" w:rsidRPr="00C04EA2" w:rsidRDefault="00EC6896" w:rsidP="0065730C">
      <w:r w:rsidRPr="00C04EA2">
        <w:t xml:space="preserve">On </w:t>
      </w:r>
      <w:r w:rsidR="00611DFB">
        <w:t>March 15, 2023</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In addition, the letter identifies certain additional concerns.  The TCEQ understands that the additional concerns are provided for information only, and do not need to be resolved </w:t>
      </w:r>
      <w:proofErr w:type="gramStart"/>
      <w:r w:rsidRPr="00C04EA2">
        <w:t>in order to</w:t>
      </w:r>
      <w:proofErr w:type="gramEnd"/>
      <w:r w:rsidRPr="00C04EA2">
        <w:t xml:space="preserve"> issue the permit.</w:t>
      </w:r>
    </w:p>
    <w:p w14:paraId="112494E7" w14:textId="77777777" w:rsidR="00EC6896" w:rsidRPr="00C04EA2" w:rsidRDefault="00EC6896" w:rsidP="0065730C"/>
    <w:p w14:paraId="43712235" w14:textId="77777777" w:rsidR="00EC6896" w:rsidRPr="00C04EA2" w:rsidRDefault="00EC6896" w:rsidP="0065730C">
      <w:r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t xml:space="preserve"> (SOB)</w:t>
      </w:r>
      <w:r w:rsidRPr="00C04EA2">
        <w:t xml:space="preserve">.  The revised proposed permit and </w:t>
      </w:r>
      <w:r w:rsidR="00B81F0F">
        <w:t>SOB</w:t>
      </w:r>
      <w:r w:rsidRPr="00C04EA2">
        <w:t xml:space="preserve"> are attached for your review. </w:t>
      </w:r>
    </w:p>
    <w:p w14:paraId="663A1F3F" w14:textId="77777777" w:rsidR="00EC6896" w:rsidRPr="00C04EA2" w:rsidRDefault="00EC6896" w:rsidP="0065730C"/>
    <w:p w14:paraId="5ECDA57A" w14:textId="77777777"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611DFB">
        <w:t>Ms. Emily Knodell</w:t>
      </w:r>
      <w:r w:rsidR="00B53884" w:rsidRPr="00C04EA2">
        <w:t xml:space="preserve"> at </w:t>
      </w:r>
      <w:r w:rsidR="00611DFB">
        <w:t>(512) 239-3107</w:t>
      </w:r>
      <w:r w:rsidRPr="00C04EA2">
        <w:rPr>
          <w:bCs/>
        </w:rPr>
        <w:t xml:space="preserve"> if you have any questions concerning this matter.</w:t>
      </w:r>
    </w:p>
    <w:p w14:paraId="12522140" w14:textId="77777777" w:rsidR="00B53884" w:rsidRPr="00C04EA2" w:rsidRDefault="00B53884" w:rsidP="00E23946">
      <w:pPr>
        <w:keepNext/>
        <w:keepLines/>
      </w:pPr>
    </w:p>
    <w:p w14:paraId="73D24540" w14:textId="77777777" w:rsidR="00C4738D" w:rsidRPr="00C04EA2" w:rsidRDefault="00C4738D" w:rsidP="00E23946">
      <w:pPr>
        <w:keepNext/>
        <w:keepLines/>
      </w:pPr>
      <w:r w:rsidRPr="00C04EA2">
        <w:t>Sincerely,</w:t>
      </w:r>
    </w:p>
    <w:p w14:paraId="64B7A082" w14:textId="77777777" w:rsidR="00C4738D" w:rsidRDefault="00C4738D" w:rsidP="00E23946">
      <w:pPr>
        <w:keepNext/>
        <w:keepLines/>
      </w:pPr>
    </w:p>
    <w:p w14:paraId="73958998" w14:textId="77777777" w:rsidR="00F7414D" w:rsidRDefault="00611DFB" w:rsidP="00E23946">
      <w:pPr>
        <w:keepNext/>
        <w:keepLines/>
      </w:pPr>
      <w:r>
        <w:rPr>
          <w:noProof/>
        </w:rPr>
        <w:drawing>
          <wp:inline distT="0" distB="0" distL="0" distR="0" wp14:anchorId="0FFAC35B" wp14:editId="2225436A">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4ACC7B69" w14:textId="77777777" w:rsidR="00F7414D" w:rsidRPr="00C04EA2" w:rsidRDefault="00F7414D" w:rsidP="00E23946">
      <w:pPr>
        <w:keepNext/>
        <w:keepLines/>
      </w:pPr>
    </w:p>
    <w:p w14:paraId="21A75A44" w14:textId="77777777" w:rsidR="00611DFB" w:rsidRDefault="00611DFB" w:rsidP="00E23946">
      <w:pPr>
        <w:keepNext/>
        <w:keepLines/>
      </w:pPr>
      <w:r>
        <w:t>Samuel Short, Deputy Director</w:t>
      </w:r>
    </w:p>
    <w:p w14:paraId="2C3EA47E" w14:textId="77777777" w:rsidR="00611DFB" w:rsidRDefault="00611DFB" w:rsidP="00E23946">
      <w:pPr>
        <w:keepNext/>
        <w:keepLines/>
      </w:pPr>
      <w:r>
        <w:t>Air Permits Division</w:t>
      </w:r>
    </w:p>
    <w:p w14:paraId="7A393BAE" w14:textId="77777777" w:rsidR="00C4738D" w:rsidRPr="00C04EA2" w:rsidRDefault="00611DFB" w:rsidP="00E23946">
      <w:pPr>
        <w:keepNext/>
        <w:keepLines/>
      </w:pPr>
      <w:r>
        <w:t>Office of Air</w:t>
      </w:r>
    </w:p>
    <w:p w14:paraId="00B36E1D" w14:textId="77777777" w:rsidR="00611DFB" w:rsidRDefault="00611DFB" w:rsidP="00E23946">
      <w:pPr>
        <w:keepNext/>
        <w:keepLines/>
      </w:pPr>
      <w:r>
        <w:t>Texas Commission on Environmental Quality</w:t>
      </w:r>
    </w:p>
    <w:p w14:paraId="7E93F139" w14:textId="77777777" w:rsidR="00C4738D" w:rsidRPr="00C04EA2" w:rsidRDefault="00C4738D" w:rsidP="00E23946">
      <w:pPr>
        <w:keepNext/>
        <w:keepLines/>
      </w:pPr>
    </w:p>
    <w:p w14:paraId="0C9A1BBC" w14:textId="77777777" w:rsidR="00611DFB"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611DFB">
        <w:tab/>
        <w:t>Ms. Aana Gamble, Environmental Scientist, Phelps Dodge Refining Corporation, El Paso</w:t>
      </w:r>
    </w:p>
    <w:p w14:paraId="0F26BC43" w14:textId="77777777" w:rsidR="00611DFB" w:rsidRDefault="00611DFB"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Code Compliance Manager, Code Compliance Division, City of El Paso, El Paso</w:t>
      </w:r>
    </w:p>
    <w:p w14:paraId="5C111C52" w14:textId="77777777" w:rsidR="00C4738D" w:rsidRDefault="00611DFB"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6 - El Paso</w:t>
      </w:r>
    </w:p>
    <w:p w14:paraId="177868A8" w14:textId="77777777" w:rsidR="00E23946" w:rsidRDefault="00E23946" w:rsidP="00E23946">
      <w:pPr>
        <w:keepNext/>
        <w:keepLines/>
        <w:ind w:left="734" w:hanging="288"/>
      </w:pPr>
      <w:r>
        <w:t>Air Permit Section Chief, U.S. Environmental Protection Agency, Region 6-Dallas (Electronic copy)</w:t>
      </w:r>
    </w:p>
    <w:p w14:paraId="0153B9F8" w14:textId="77777777" w:rsidR="00B26D25" w:rsidRPr="00C04EA2" w:rsidRDefault="00B26D25" w:rsidP="00E23946">
      <w:pPr>
        <w:keepNext/>
        <w:keepLines/>
      </w:pPr>
    </w:p>
    <w:p w14:paraId="041216C5"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45003578" w14:textId="77777777" w:rsidR="00C4738D" w:rsidRPr="00C04EA2" w:rsidRDefault="00C4738D" w:rsidP="00E23946">
      <w:pPr>
        <w:keepNext/>
        <w:keepLines/>
        <w:ind w:left="1368"/>
      </w:pPr>
      <w:r w:rsidRPr="00C04EA2">
        <w:t>Proposed Permit</w:t>
      </w:r>
    </w:p>
    <w:p w14:paraId="341020E2" w14:textId="77777777" w:rsidR="0024486E" w:rsidRPr="00C04EA2" w:rsidRDefault="00D646BA" w:rsidP="00E23946">
      <w:pPr>
        <w:keepNext/>
        <w:keepLines/>
        <w:ind w:left="1368"/>
      </w:pPr>
      <w:r w:rsidRPr="00C04EA2">
        <w:t>Statement of Basis</w:t>
      </w:r>
    </w:p>
    <w:p w14:paraId="69CA41FC" w14:textId="77777777" w:rsidR="00D646BA" w:rsidRPr="00C04EA2" w:rsidRDefault="00D646BA" w:rsidP="00E23946">
      <w:pPr>
        <w:keepNext/>
        <w:keepLines/>
      </w:pPr>
    </w:p>
    <w:p w14:paraId="0F52501E" w14:textId="77777777" w:rsidR="00C4738D" w:rsidRPr="00C04EA2" w:rsidRDefault="00C4738D" w:rsidP="00E23946">
      <w:pPr>
        <w:keepNext/>
        <w:keepLines/>
        <w:rPr>
          <w:sz w:val="16"/>
          <w:szCs w:val="16"/>
        </w:rPr>
      </w:pPr>
      <w:r w:rsidRPr="00C04EA2">
        <w:rPr>
          <w:sz w:val="16"/>
          <w:szCs w:val="16"/>
        </w:rPr>
        <w:t>Project Number:  </w:t>
      </w:r>
      <w:r w:rsidR="00611DFB">
        <w:rPr>
          <w:sz w:val="16"/>
          <w:szCs w:val="16"/>
        </w:rPr>
        <w:t>33751</w:t>
      </w:r>
    </w:p>
    <w:p w14:paraId="63D85421"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7D206FE5"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60719256" w14:textId="77777777" w:rsidR="00BD7424" w:rsidRPr="0014747F" w:rsidRDefault="00BD7424" w:rsidP="009458A8">
      <w:pPr>
        <w:numPr>
          <w:ilvl w:val="12"/>
          <w:numId w:val="0"/>
        </w:numPr>
        <w:jc w:val="center"/>
        <w:rPr>
          <w:bCs/>
        </w:rPr>
      </w:pPr>
    </w:p>
    <w:p w14:paraId="0007C7AF"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611DFB">
        <w:rPr>
          <w:rStyle w:val="Strong"/>
        </w:rPr>
        <w:t>O1602</w:t>
      </w:r>
    </w:p>
    <w:p w14:paraId="45844144" w14:textId="77777777" w:rsidR="0084399C" w:rsidRPr="00C04EA2" w:rsidRDefault="0084399C" w:rsidP="009458A8">
      <w:pPr>
        <w:numPr>
          <w:ilvl w:val="12"/>
          <w:numId w:val="0"/>
        </w:numPr>
      </w:pPr>
    </w:p>
    <w:p w14:paraId="7DC8AC7C" w14:textId="0DF82E58"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611DFB">
        <w:t>renewal</w:t>
      </w:r>
      <w:r w:rsidR="00001360" w:rsidRPr="00C04EA2">
        <w:t xml:space="preserve"> </w:t>
      </w:r>
      <w:r w:rsidRPr="00C04EA2">
        <w:t>of the Federal Operating Permit (FOP) for</w:t>
      </w:r>
      <w:r w:rsidR="00D35365" w:rsidRPr="00C04EA2">
        <w:t xml:space="preserve"> </w:t>
      </w:r>
      <w:r w:rsidR="00611DFB">
        <w:t>Phelps Dodge Refining Corporation</w:t>
      </w:r>
      <w:r w:rsidRPr="00C04EA2">
        <w:t xml:space="preserve">, </w:t>
      </w:r>
      <w:r w:rsidR="00611DFB">
        <w:t>El Paso Refinery and Rod Mill</w:t>
      </w:r>
      <w:r w:rsidRPr="00C04EA2">
        <w:t>, Permit No.</w:t>
      </w:r>
      <w:r w:rsidR="00001360" w:rsidRPr="00C04EA2">
        <w:t xml:space="preserve"> </w:t>
      </w:r>
      <w:r w:rsidR="00611DFB">
        <w:t>O1602</w:t>
      </w:r>
      <w:r w:rsidRPr="00C04EA2">
        <w:t xml:space="preserve">, </w:t>
      </w:r>
      <w:r w:rsidR="00611DFB">
        <w:t>El Paso</w:t>
      </w:r>
      <w:r w:rsidR="00D35365" w:rsidRPr="00C04EA2">
        <w:t xml:space="preserve"> County, Texas.</w:t>
      </w:r>
    </w:p>
    <w:p w14:paraId="168E1646" w14:textId="77777777" w:rsidR="0084399C" w:rsidRPr="00C04EA2" w:rsidRDefault="0084399C" w:rsidP="009458A8">
      <w:pPr>
        <w:numPr>
          <w:ilvl w:val="12"/>
          <w:numId w:val="0"/>
        </w:numPr>
      </w:pPr>
    </w:p>
    <w:p w14:paraId="63F92D68"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94FCE8A"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35B36338" w14:textId="77777777" w:rsidR="0084399C" w:rsidRPr="0089546D" w:rsidRDefault="0084399C" w:rsidP="009458A8">
      <w:pPr>
        <w:jc w:val="center"/>
      </w:pPr>
      <w:r w:rsidRPr="0089546D">
        <w:t>Procedural Background</w:t>
      </w:r>
    </w:p>
    <w:p w14:paraId="3DF22214" w14:textId="77777777" w:rsidR="0084399C" w:rsidRPr="00C04EA2" w:rsidRDefault="0084399C" w:rsidP="006F716D"/>
    <w:p w14:paraId="0D121EBA" w14:textId="006D804C"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611DFB">
        <w:t>Phelps Dodge Refining Corporation</w:t>
      </w:r>
      <w:r w:rsidRPr="00C04EA2">
        <w:rPr>
          <w:szCs w:val="22"/>
        </w:rPr>
        <w:t xml:space="preserve"> applied to the TCEQ for a </w:t>
      </w:r>
      <w:r w:rsidR="00611DFB">
        <w:rPr>
          <w:szCs w:val="22"/>
        </w:rPr>
        <w:t>renewal</w:t>
      </w:r>
      <w:r w:rsidR="00974EF0" w:rsidRPr="00C04EA2">
        <w:rPr>
          <w:szCs w:val="22"/>
        </w:rPr>
        <w:t xml:space="preserve"> </w:t>
      </w:r>
      <w:r w:rsidRPr="00C04EA2">
        <w:rPr>
          <w:szCs w:val="22"/>
        </w:rPr>
        <w:t xml:space="preserve">of the FOP for the </w:t>
      </w:r>
      <w:r w:rsidR="00611DFB">
        <w:rPr>
          <w:szCs w:val="22"/>
        </w:rPr>
        <w:t>El Paso Refinery and Rod Mill</w:t>
      </w:r>
      <w:r w:rsidR="00974EF0" w:rsidRPr="00C04EA2">
        <w:t xml:space="preserve"> </w:t>
      </w:r>
      <w:r w:rsidRPr="00C04EA2">
        <w:rPr>
          <w:szCs w:val="22"/>
        </w:rPr>
        <w:t xml:space="preserve">located in </w:t>
      </w:r>
      <w:r w:rsidR="00611DFB">
        <w:rPr>
          <w:szCs w:val="22"/>
        </w:rPr>
        <w:t>El Paso, El Paso</w:t>
      </w:r>
      <w:r w:rsidR="00974EF0" w:rsidRPr="00C04EA2">
        <w:rPr>
          <w:szCs w:val="22"/>
        </w:rPr>
        <w:t xml:space="preserve"> </w:t>
      </w:r>
      <w:r w:rsidRPr="00C04EA2">
        <w:rPr>
          <w:szCs w:val="22"/>
        </w:rPr>
        <w:t>County on</w:t>
      </w:r>
      <w:r w:rsidR="00EF58B3" w:rsidRPr="00C04EA2">
        <w:t xml:space="preserve"> </w:t>
      </w:r>
      <w:r w:rsidR="00611DFB">
        <w:t>May 18, 2022</w:t>
      </w:r>
      <w:r w:rsidRPr="00C04EA2">
        <w:t xml:space="preserve">, and notice was published on </w:t>
      </w:r>
      <w:r w:rsidR="00611DFB">
        <w:t xml:space="preserve">January 25, </w:t>
      </w:r>
      <w:proofErr w:type="gramStart"/>
      <w:r w:rsidR="00611DFB">
        <w:t>2023</w:t>
      </w:r>
      <w:proofErr w:type="gramEnd"/>
      <w:r w:rsidR="00B7451E" w:rsidRPr="00C04EA2">
        <w:t xml:space="preserve"> </w:t>
      </w:r>
      <w:r w:rsidRPr="00C04EA2">
        <w:t>date in</w:t>
      </w:r>
      <w:r w:rsidRPr="00B044C2">
        <w:rPr>
          <w:rStyle w:val="Emphasis"/>
        </w:rPr>
        <w:t xml:space="preserve"> </w:t>
      </w:r>
      <w:r w:rsidR="00611DFB">
        <w:rPr>
          <w:rStyle w:val="Emphasis"/>
        </w:rPr>
        <w:t>El Paso Times</w:t>
      </w:r>
      <w:r w:rsidR="00A67ED7">
        <w:rPr>
          <w:rStyle w:val="Emphasis"/>
        </w:rPr>
        <w:t xml:space="preserve"> </w:t>
      </w:r>
      <w:r w:rsidR="00A67ED7" w:rsidRPr="00A67ED7">
        <w:rPr>
          <w:rStyle w:val="Emphasis"/>
          <w:i w:val="0"/>
          <w:iCs w:val="0"/>
        </w:rPr>
        <w:t>and</w:t>
      </w:r>
      <w:r w:rsidR="00611DFB">
        <w:rPr>
          <w:rStyle w:val="Emphasis"/>
        </w:rPr>
        <w:t xml:space="preserve"> El </w:t>
      </w:r>
      <w:proofErr w:type="spellStart"/>
      <w:r w:rsidR="00611DFB">
        <w:rPr>
          <w:rStyle w:val="Emphasis"/>
        </w:rPr>
        <w:t>Diario</w:t>
      </w:r>
      <w:proofErr w:type="spellEnd"/>
      <w:r w:rsidR="00611DFB">
        <w:rPr>
          <w:rStyle w:val="Emphasis"/>
        </w:rPr>
        <w:t xml:space="preserve"> de El Paso</w:t>
      </w:r>
      <w:r w:rsidRPr="00B044C2">
        <w:rPr>
          <w:rStyle w:val="Emphasis"/>
        </w:rPr>
        <w:t>.</w:t>
      </w:r>
      <w:r w:rsidRPr="00C04EA2">
        <w:t xml:space="preserve">  The public comment period ended on </w:t>
      </w:r>
      <w:r w:rsidR="00611DFB">
        <w:t>February 24, 2023</w:t>
      </w:r>
      <w:r w:rsidRPr="00C04EA2">
        <w:t xml:space="preserve">.  </w:t>
      </w:r>
      <w:r w:rsidR="00D209C0">
        <w:t xml:space="preserve">During the concurrent EPA review period, </w:t>
      </w:r>
      <w:r w:rsidRPr="00C04EA2">
        <w:rPr>
          <w:szCs w:val="22"/>
        </w:rPr>
        <w:t xml:space="preserve">TCEQ received an objection to the permit from EPA on </w:t>
      </w:r>
      <w:r w:rsidR="00611DFB">
        <w:rPr>
          <w:szCs w:val="22"/>
        </w:rPr>
        <w:t>March 15, 2023</w:t>
      </w:r>
      <w:r w:rsidRPr="00C04EA2">
        <w:rPr>
          <w:szCs w:val="22"/>
        </w:rPr>
        <w:t>.</w:t>
      </w:r>
    </w:p>
    <w:p w14:paraId="0B3187A9" w14:textId="77777777" w:rsidR="0084399C" w:rsidRPr="00C04EA2" w:rsidRDefault="0084399C" w:rsidP="009458A8">
      <w:pPr>
        <w:numPr>
          <w:ilvl w:val="12"/>
          <w:numId w:val="0"/>
        </w:numPr>
      </w:pPr>
    </w:p>
    <w:p w14:paraId="062E19D1" w14:textId="77777777" w:rsidR="0084399C" w:rsidRPr="00C04EA2" w:rsidRDefault="0084399C" w:rsidP="009458A8">
      <w:pPr>
        <w:numPr>
          <w:ilvl w:val="12"/>
          <w:numId w:val="0"/>
        </w:numPr>
      </w:pPr>
      <w:r w:rsidRPr="00C04EA2">
        <w:rPr>
          <w:szCs w:val="22"/>
        </w:rPr>
        <w:t xml:space="preserve">In accordance with state and federal rules, the permit </w:t>
      </w:r>
      <w:r w:rsidR="00611DFB">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31A11BFA" w14:textId="77777777" w:rsidR="0084399C" w:rsidRPr="00C04EA2" w:rsidRDefault="0084399C" w:rsidP="009458A8">
      <w:pPr>
        <w:numPr>
          <w:ilvl w:val="12"/>
          <w:numId w:val="0"/>
        </w:numPr>
      </w:pPr>
    </w:p>
    <w:p w14:paraId="0CBB1061" w14:textId="77777777" w:rsidR="0084399C" w:rsidRPr="0089546D" w:rsidRDefault="0084399C" w:rsidP="009458A8">
      <w:pPr>
        <w:jc w:val="center"/>
      </w:pPr>
      <w:r w:rsidRPr="0089546D">
        <w:t>Description of Site</w:t>
      </w:r>
    </w:p>
    <w:p w14:paraId="7F700272"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071ACBE0" w14:textId="401149EE" w:rsidR="0084399C" w:rsidRDefault="00611DFB" w:rsidP="009458A8">
      <w:pPr>
        <w:numPr>
          <w:ilvl w:val="12"/>
          <w:numId w:val="0"/>
        </w:numPr>
      </w:pPr>
      <w:r>
        <w:t>Phelps Dodge Refining Corporation</w:t>
      </w:r>
      <w:r w:rsidR="000303A6">
        <w:t xml:space="preserve"> o</w:t>
      </w:r>
      <w:r w:rsidR="00521E39">
        <w:t xml:space="preserve">wns and operates the </w:t>
      </w:r>
      <w:r>
        <w:t>El Paso Refinery and Rod Mill</w:t>
      </w:r>
      <w:r w:rsidR="00521E39">
        <w:t xml:space="preserve">, located at </w:t>
      </w:r>
      <w:r>
        <w:t>897 Hawkins Blvd</w:t>
      </w:r>
      <w:r w:rsidR="00DA76A1">
        <w:t xml:space="preserve"> in</w:t>
      </w:r>
      <w:r w:rsidR="00521E39">
        <w:t xml:space="preserve"> </w:t>
      </w:r>
      <w:r>
        <w:t>El Paso, El Paso</w:t>
      </w:r>
      <w:r w:rsidR="00521E39">
        <w:t xml:space="preserve"> Texas</w:t>
      </w:r>
      <w:r>
        <w:t xml:space="preserve"> 79915-1217</w:t>
      </w:r>
      <w:r w:rsidR="00DA76A1">
        <w:t>.</w:t>
      </w:r>
      <w:r>
        <w:t xml:space="preserve"> </w:t>
      </w:r>
    </w:p>
    <w:p w14:paraId="2A0BF89D" w14:textId="77777777" w:rsidR="00521E39" w:rsidRPr="00C04EA2" w:rsidRDefault="00521E39" w:rsidP="009458A8">
      <w:pPr>
        <w:numPr>
          <w:ilvl w:val="12"/>
          <w:numId w:val="0"/>
        </w:numPr>
      </w:pPr>
    </w:p>
    <w:p w14:paraId="3C7F7970" w14:textId="222BEA11" w:rsidR="00037C5C" w:rsidRPr="009458A8" w:rsidRDefault="00611DFB" w:rsidP="009458A8">
      <w:pPr>
        <w:numPr>
          <w:ilvl w:val="12"/>
          <w:numId w:val="0"/>
        </w:numPr>
      </w:pPr>
      <w:r w:rsidRPr="00611DFB">
        <w:t>Phelps Dodge Refining Corporation’s El Paso Operations (Phelps Dodge) is comprised of the El Paso Refinery and Rod Mill.  El Paso Refinery is an electrolytic copper refinery.  Impure copper anodes are dissolved electrolytically in a sulfuric acid solution (approximately 17% H2SO4).  Copper migrates through the solution and deposits at the cathodes.  El Paso Rod Mill is mainly a continuous cast rolling mill that casts copper rod from cathode.</w:t>
      </w:r>
    </w:p>
    <w:p w14:paraId="28C9EFE2" w14:textId="77777777" w:rsidR="00632F4A" w:rsidRDefault="00632F4A" w:rsidP="005B5105"/>
    <w:p w14:paraId="0162A072" w14:textId="582BF103" w:rsidR="0084399C" w:rsidRPr="009458A8" w:rsidRDefault="0084399C" w:rsidP="005B5105">
      <w:r w:rsidRPr="009458A8">
        <w:t>The following responses follow the references used in EPA’s objection letter.</w:t>
      </w:r>
    </w:p>
    <w:p w14:paraId="3FB1F853" w14:textId="77777777" w:rsidR="0084399C" w:rsidRPr="009458A8" w:rsidRDefault="0084399C" w:rsidP="005B5105"/>
    <w:p w14:paraId="299069DD" w14:textId="6D0FBC46" w:rsidR="0084399C" w:rsidRDefault="0084399C" w:rsidP="009458A8">
      <w:pPr>
        <w:rPr>
          <w:rStyle w:val="Strong"/>
        </w:rPr>
      </w:pPr>
      <w:r w:rsidRPr="009458A8">
        <w:rPr>
          <w:rStyle w:val="Strong"/>
        </w:rPr>
        <w:t xml:space="preserve">EPA </w:t>
      </w:r>
      <w:r w:rsidR="0089546D">
        <w:rPr>
          <w:rStyle w:val="Strong"/>
        </w:rPr>
        <w:t>Objection</w:t>
      </w:r>
    </w:p>
    <w:p w14:paraId="6889E492" w14:textId="77777777" w:rsidR="00A67ED7" w:rsidRDefault="00A67ED7" w:rsidP="00A67ED7">
      <w:pPr>
        <w:rPr>
          <w:rStyle w:val="Strong"/>
        </w:rPr>
      </w:pPr>
    </w:p>
    <w:p w14:paraId="10682A2B" w14:textId="40E41718" w:rsidR="00632F4A" w:rsidRDefault="00A67ED7" w:rsidP="00A67ED7">
      <w:pPr>
        <w:rPr>
          <w:rStyle w:val="Strong"/>
          <w:b w:val="0"/>
          <w:bCs w:val="0"/>
        </w:rPr>
      </w:pPr>
      <w:r>
        <w:rPr>
          <w:rStyle w:val="Strong"/>
        </w:rPr>
        <w:t>EPA Objection 1:</w:t>
      </w:r>
      <w:r w:rsidR="00632F4A" w:rsidRPr="00A67ED7">
        <w:rPr>
          <w:rStyle w:val="Strong"/>
          <w:b w:val="0"/>
          <w:bCs w:val="0"/>
        </w:rPr>
        <w:t xml:space="preserve"> Failure to Include Adequate Monitoring for PBRs. EPA finds that the permit lacks sufficient monitoring to assure compliance with emission limitations </w:t>
      </w:r>
      <w:r w:rsidR="001767E4" w:rsidRPr="00A67ED7">
        <w:rPr>
          <w:rStyle w:val="Strong"/>
          <w:b w:val="0"/>
          <w:bCs w:val="0"/>
        </w:rPr>
        <w:t xml:space="preserve">and operational limits. More detailed monitoring information is needed in the PBR Supplemental Table for this permit. </w:t>
      </w:r>
    </w:p>
    <w:p w14:paraId="52EBED81" w14:textId="77777777" w:rsidR="003F0843" w:rsidRPr="003F0843" w:rsidRDefault="003F0843" w:rsidP="003F0843">
      <w:pPr>
        <w:widowControl w:val="0"/>
        <w:tabs>
          <w:tab w:val="left" w:pos="740"/>
        </w:tabs>
        <w:adjustRightInd/>
        <w:spacing w:before="208" w:line="252" w:lineRule="auto"/>
        <w:ind w:right="131"/>
        <w:rPr>
          <w:rFonts w:cs="Arial"/>
          <w:szCs w:val="20"/>
        </w:rPr>
      </w:pPr>
      <w:r w:rsidRPr="003F0843">
        <w:rPr>
          <w:rFonts w:cs="Arial"/>
          <w:szCs w:val="20"/>
        </w:rPr>
        <w:t>The standard exemptions that are missing include:</w:t>
      </w:r>
    </w:p>
    <w:p w14:paraId="400352B8" w14:textId="77777777" w:rsidR="003F0843" w:rsidRPr="00B72252" w:rsidRDefault="003F0843" w:rsidP="003F0843">
      <w:pPr>
        <w:pStyle w:val="ListParagraph"/>
        <w:widowControl w:val="0"/>
        <w:numPr>
          <w:ilvl w:val="1"/>
          <w:numId w:val="18"/>
        </w:numPr>
        <w:tabs>
          <w:tab w:val="left" w:pos="1459"/>
          <w:tab w:val="left" w:pos="1460"/>
        </w:tabs>
        <w:adjustRightInd/>
        <w:spacing w:before="1"/>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5 – </w:t>
      </w:r>
      <w:r w:rsidRPr="00B72252">
        <w:rPr>
          <w:rFonts w:cs="Arial"/>
          <w:spacing w:val="-2"/>
          <w:szCs w:val="20"/>
        </w:rPr>
        <w:t>01/08/1980</w:t>
      </w:r>
    </w:p>
    <w:p w14:paraId="5A89230D"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6 – </w:t>
      </w:r>
      <w:r w:rsidRPr="00B72252">
        <w:rPr>
          <w:rFonts w:cs="Arial"/>
          <w:spacing w:val="-2"/>
          <w:szCs w:val="20"/>
        </w:rPr>
        <w:t>09/23/1982</w:t>
      </w:r>
    </w:p>
    <w:p w14:paraId="5A128B21"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7 – </w:t>
      </w:r>
      <w:r w:rsidRPr="00B72252">
        <w:rPr>
          <w:rFonts w:cs="Arial"/>
          <w:spacing w:val="-2"/>
          <w:szCs w:val="20"/>
        </w:rPr>
        <w:t>01/08/1980</w:t>
      </w:r>
    </w:p>
    <w:p w14:paraId="14704FED"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7 – </w:t>
      </w:r>
      <w:r w:rsidRPr="00B72252">
        <w:rPr>
          <w:rFonts w:cs="Arial"/>
          <w:spacing w:val="-2"/>
          <w:szCs w:val="20"/>
        </w:rPr>
        <w:t>09/23/1982</w:t>
      </w:r>
    </w:p>
    <w:p w14:paraId="33B6EFE5" w14:textId="77777777" w:rsidR="003F0843" w:rsidRPr="00B72252" w:rsidRDefault="003F0843" w:rsidP="003F0843">
      <w:pPr>
        <w:pStyle w:val="ListParagraph"/>
        <w:widowControl w:val="0"/>
        <w:numPr>
          <w:ilvl w:val="1"/>
          <w:numId w:val="18"/>
        </w:numPr>
        <w:tabs>
          <w:tab w:val="left" w:pos="1459"/>
          <w:tab w:val="left" w:pos="1460"/>
        </w:tabs>
        <w:adjustRightInd/>
        <w:spacing w:before="14"/>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7 – </w:t>
      </w:r>
      <w:r w:rsidRPr="00B72252">
        <w:rPr>
          <w:rFonts w:cs="Arial"/>
          <w:spacing w:val="-2"/>
          <w:szCs w:val="20"/>
        </w:rPr>
        <w:t>07/20/1992</w:t>
      </w:r>
    </w:p>
    <w:p w14:paraId="0C1DF1E5"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8 – </w:t>
      </w:r>
      <w:r w:rsidRPr="00B72252">
        <w:rPr>
          <w:rFonts w:cs="Arial"/>
          <w:spacing w:val="-2"/>
          <w:szCs w:val="20"/>
        </w:rPr>
        <w:t>01/08/1980</w:t>
      </w:r>
    </w:p>
    <w:p w14:paraId="73D59F87"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8 – </w:t>
      </w:r>
      <w:r w:rsidRPr="00B72252">
        <w:rPr>
          <w:rFonts w:cs="Arial"/>
          <w:spacing w:val="-2"/>
          <w:szCs w:val="20"/>
        </w:rPr>
        <w:t>08/30/1988</w:t>
      </w:r>
    </w:p>
    <w:p w14:paraId="6555E6DE"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8 – </w:t>
      </w:r>
      <w:r w:rsidRPr="00B72252">
        <w:rPr>
          <w:rFonts w:cs="Arial"/>
          <w:spacing w:val="-2"/>
          <w:szCs w:val="20"/>
        </w:rPr>
        <w:t>06/07/1996</w:t>
      </w:r>
    </w:p>
    <w:p w14:paraId="2B86B0FC"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lastRenderedPageBreak/>
        <w:t>SE</w:t>
      </w:r>
      <w:r w:rsidRPr="00B72252">
        <w:rPr>
          <w:rFonts w:cs="Arial"/>
          <w:spacing w:val="-1"/>
          <w:szCs w:val="20"/>
        </w:rPr>
        <w:t xml:space="preserve"> </w:t>
      </w:r>
      <w:r w:rsidRPr="00B72252">
        <w:rPr>
          <w:rFonts w:cs="Arial"/>
          <w:szCs w:val="20"/>
        </w:rPr>
        <w:t xml:space="preserve">14 – </w:t>
      </w:r>
      <w:r w:rsidRPr="00B72252">
        <w:rPr>
          <w:rFonts w:cs="Arial"/>
          <w:spacing w:val="-2"/>
          <w:szCs w:val="20"/>
        </w:rPr>
        <w:t>10/04/1995</w:t>
      </w:r>
    </w:p>
    <w:p w14:paraId="69408152" w14:textId="77777777" w:rsidR="003F0843" w:rsidRPr="00B72252" w:rsidRDefault="003F0843" w:rsidP="003F0843">
      <w:pPr>
        <w:pStyle w:val="ListParagraph"/>
        <w:widowControl w:val="0"/>
        <w:numPr>
          <w:ilvl w:val="1"/>
          <w:numId w:val="18"/>
        </w:numPr>
        <w:tabs>
          <w:tab w:val="left" w:pos="1459"/>
          <w:tab w:val="left" w:pos="1460"/>
        </w:tabs>
        <w:adjustRightInd/>
        <w:spacing w:before="14"/>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41 – </w:t>
      </w:r>
      <w:r w:rsidRPr="00B72252">
        <w:rPr>
          <w:rFonts w:cs="Arial"/>
          <w:spacing w:val="-2"/>
          <w:szCs w:val="20"/>
        </w:rPr>
        <w:t>05/12/1981</w:t>
      </w:r>
    </w:p>
    <w:p w14:paraId="6AAE1575"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41 – </w:t>
      </w:r>
      <w:r w:rsidRPr="00B72252">
        <w:rPr>
          <w:rFonts w:cs="Arial"/>
          <w:spacing w:val="-2"/>
          <w:szCs w:val="20"/>
        </w:rPr>
        <w:t>05/04/1994</w:t>
      </w:r>
    </w:p>
    <w:p w14:paraId="337A0E35" w14:textId="77777777" w:rsidR="003F0843" w:rsidRPr="00B72252" w:rsidRDefault="003F0843" w:rsidP="003F0843">
      <w:pPr>
        <w:pStyle w:val="ListParagraph"/>
        <w:widowControl w:val="0"/>
        <w:numPr>
          <w:ilvl w:val="1"/>
          <w:numId w:val="18"/>
        </w:numPr>
        <w:tabs>
          <w:tab w:val="left" w:pos="1459"/>
          <w:tab w:val="left" w:pos="1460"/>
        </w:tabs>
        <w:adjustRightInd/>
        <w:spacing w:before="10"/>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46 – </w:t>
      </w:r>
      <w:r w:rsidRPr="00B72252">
        <w:rPr>
          <w:rFonts w:cs="Arial"/>
          <w:spacing w:val="-2"/>
          <w:szCs w:val="20"/>
        </w:rPr>
        <w:t>01/08/1981</w:t>
      </w:r>
    </w:p>
    <w:p w14:paraId="6C7FE5E3" w14:textId="77777777" w:rsidR="003F0843" w:rsidRPr="00B72252" w:rsidRDefault="003F0843" w:rsidP="003F0843">
      <w:pPr>
        <w:pStyle w:val="ListParagraph"/>
        <w:widowControl w:val="0"/>
        <w:numPr>
          <w:ilvl w:val="1"/>
          <w:numId w:val="18"/>
        </w:numPr>
        <w:tabs>
          <w:tab w:val="left" w:pos="1459"/>
          <w:tab w:val="left" w:pos="1460"/>
        </w:tabs>
        <w:adjustRightInd/>
        <w:spacing w:before="14"/>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51 – </w:t>
      </w:r>
      <w:r w:rsidRPr="00B72252">
        <w:rPr>
          <w:rFonts w:cs="Arial"/>
          <w:spacing w:val="-2"/>
          <w:szCs w:val="20"/>
        </w:rPr>
        <w:t>11/05/1986</w:t>
      </w:r>
    </w:p>
    <w:p w14:paraId="01A31F1E" w14:textId="77777777" w:rsidR="003F0843" w:rsidRPr="00B72252" w:rsidRDefault="003F0843" w:rsidP="003F0843">
      <w:pPr>
        <w:pStyle w:val="ListParagraph"/>
        <w:widowControl w:val="0"/>
        <w:numPr>
          <w:ilvl w:val="1"/>
          <w:numId w:val="18"/>
        </w:numPr>
        <w:tabs>
          <w:tab w:val="left" w:pos="1459"/>
          <w:tab w:val="left" w:pos="1460"/>
        </w:tabs>
        <w:adjustRightInd/>
        <w:spacing w:before="13"/>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56 – </w:t>
      </w:r>
      <w:r w:rsidRPr="00B72252">
        <w:rPr>
          <w:rFonts w:cs="Arial"/>
          <w:spacing w:val="-2"/>
          <w:szCs w:val="20"/>
        </w:rPr>
        <w:t>01/08/1980</w:t>
      </w:r>
    </w:p>
    <w:p w14:paraId="56692DCA" w14:textId="77777777" w:rsidR="003F0843" w:rsidRPr="00B72252" w:rsidRDefault="003F0843" w:rsidP="003F0843">
      <w:pPr>
        <w:pStyle w:val="ListParagraph"/>
        <w:widowControl w:val="0"/>
        <w:numPr>
          <w:ilvl w:val="1"/>
          <w:numId w:val="18"/>
        </w:numPr>
        <w:tabs>
          <w:tab w:val="left" w:pos="1459"/>
          <w:tab w:val="left" w:pos="1460"/>
        </w:tabs>
        <w:adjustRightInd/>
        <w:spacing w:before="81"/>
        <w:contextualSpacing w:val="0"/>
        <w:rPr>
          <w:rFonts w:cs="Arial"/>
          <w:szCs w:val="20"/>
        </w:rPr>
      </w:pPr>
      <w:r w:rsidRPr="00B72252">
        <w:rPr>
          <w:rFonts w:cs="Arial"/>
          <w:szCs w:val="20"/>
        </w:rPr>
        <w:t>SE</w:t>
      </w:r>
      <w:r w:rsidRPr="00B72252">
        <w:rPr>
          <w:rFonts w:cs="Arial"/>
          <w:spacing w:val="-1"/>
          <w:szCs w:val="20"/>
        </w:rPr>
        <w:t xml:space="preserve"> </w:t>
      </w:r>
      <w:r w:rsidRPr="00B72252">
        <w:rPr>
          <w:rFonts w:cs="Arial"/>
          <w:szCs w:val="20"/>
        </w:rPr>
        <w:t xml:space="preserve">106 – </w:t>
      </w:r>
      <w:r w:rsidRPr="00B72252">
        <w:rPr>
          <w:rFonts w:cs="Arial"/>
          <w:spacing w:val="-2"/>
          <w:szCs w:val="20"/>
        </w:rPr>
        <w:t>08/30/1988</w:t>
      </w:r>
    </w:p>
    <w:p w14:paraId="1C0E7228" w14:textId="77777777" w:rsidR="003F0843" w:rsidRPr="00B72252" w:rsidRDefault="003F0843" w:rsidP="003F0843">
      <w:pPr>
        <w:pStyle w:val="BodyText"/>
        <w:spacing w:before="2"/>
        <w:rPr>
          <w:rFonts w:ascii="Arial" w:hAnsi="Arial" w:cs="Arial"/>
          <w:sz w:val="20"/>
          <w:szCs w:val="20"/>
        </w:rPr>
      </w:pPr>
    </w:p>
    <w:p w14:paraId="713E1EDA" w14:textId="10323E41" w:rsidR="003F0843" w:rsidRPr="00B72252" w:rsidRDefault="003F0843" w:rsidP="003F0843">
      <w:pPr>
        <w:pStyle w:val="BodyText"/>
        <w:spacing w:line="252" w:lineRule="auto"/>
        <w:ind w:right="100"/>
        <w:rPr>
          <w:rFonts w:ascii="Arial" w:hAnsi="Arial" w:cs="Arial"/>
          <w:sz w:val="20"/>
          <w:szCs w:val="20"/>
        </w:rPr>
      </w:pPr>
      <w:r w:rsidRPr="00B72252">
        <w:rPr>
          <w:rFonts w:ascii="Arial" w:hAnsi="Arial" w:cs="Arial"/>
          <w:sz w:val="20"/>
          <w:szCs w:val="20"/>
        </w:rPr>
        <w:t>Table D for Phelps Dodge contains references to “good combustion practices” without specifying what exactly is being monitored, at what frequency, and how that information is used to determine the emissions. Some entries specify “perform</w:t>
      </w:r>
      <w:r w:rsidRPr="00B72252">
        <w:rPr>
          <w:rFonts w:ascii="Arial" w:hAnsi="Arial" w:cs="Arial"/>
          <w:spacing w:val="-1"/>
          <w:sz w:val="20"/>
          <w:szCs w:val="20"/>
        </w:rPr>
        <w:t xml:space="preserve"> </w:t>
      </w:r>
      <w:r w:rsidRPr="00B72252">
        <w:rPr>
          <w:rFonts w:ascii="Arial" w:hAnsi="Arial" w:cs="Arial"/>
          <w:sz w:val="20"/>
          <w:szCs w:val="20"/>
        </w:rPr>
        <w:t>periodic</w:t>
      </w:r>
      <w:r w:rsidRPr="00B72252">
        <w:rPr>
          <w:rFonts w:ascii="Arial" w:hAnsi="Arial" w:cs="Arial"/>
          <w:spacing w:val="-2"/>
          <w:sz w:val="20"/>
          <w:szCs w:val="20"/>
        </w:rPr>
        <w:t xml:space="preserve"> </w:t>
      </w:r>
      <w:r w:rsidRPr="00B72252">
        <w:rPr>
          <w:rFonts w:ascii="Arial" w:hAnsi="Arial" w:cs="Arial"/>
          <w:sz w:val="20"/>
          <w:szCs w:val="20"/>
        </w:rPr>
        <w:t>maintenance”</w:t>
      </w:r>
      <w:r w:rsidRPr="00B72252">
        <w:rPr>
          <w:rFonts w:ascii="Arial" w:hAnsi="Arial" w:cs="Arial"/>
          <w:spacing w:val="-2"/>
          <w:sz w:val="20"/>
          <w:szCs w:val="20"/>
        </w:rPr>
        <w:t xml:space="preserve"> </w:t>
      </w:r>
      <w:r w:rsidRPr="00B72252">
        <w:rPr>
          <w:rFonts w:ascii="Arial" w:hAnsi="Arial" w:cs="Arial"/>
          <w:sz w:val="20"/>
          <w:szCs w:val="20"/>
        </w:rPr>
        <w:t>without</w:t>
      </w:r>
      <w:r w:rsidRPr="00B72252">
        <w:rPr>
          <w:rFonts w:ascii="Arial" w:hAnsi="Arial" w:cs="Arial"/>
          <w:spacing w:val="-1"/>
          <w:sz w:val="20"/>
          <w:szCs w:val="20"/>
        </w:rPr>
        <w:t xml:space="preserve"> </w:t>
      </w:r>
      <w:r w:rsidRPr="00B72252">
        <w:rPr>
          <w:rFonts w:ascii="Arial" w:hAnsi="Arial" w:cs="Arial"/>
          <w:sz w:val="20"/>
          <w:szCs w:val="20"/>
        </w:rPr>
        <w:t>specifying</w:t>
      </w:r>
      <w:r w:rsidRPr="00B72252">
        <w:rPr>
          <w:rFonts w:ascii="Arial" w:hAnsi="Arial" w:cs="Arial"/>
          <w:spacing w:val="-1"/>
          <w:sz w:val="20"/>
          <w:szCs w:val="20"/>
        </w:rPr>
        <w:t xml:space="preserve"> </w:t>
      </w:r>
      <w:r w:rsidRPr="00B72252">
        <w:rPr>
          <w:rFonts w:ascii="Arial" w:hAnsi="Arial" w:cs="Arial"/>
          <w:sz w:val="20"/>
          <w:szCs w:val="20"/>
        </w:rPr>
        <w:t>in</w:t>
      </w:r>
      <w:r w:rsidRPr="00B72252">
        <w:rPr>
          <w:rFonts w:ascii="Arial" w:hAnsi="Arial" w:cs="Arial"/>
          <w:spacing w:val="-1"/>
          <w:sz w:val="20"/>
          <w:szCs w:val="20"/>
        </w:rPr>
        <w:t xml:space="preserve"> </w:t>
      </w:r>
      <w:r w:rsidRPr="00B72252">
        <w:rPr>
          <w:rFonts w:ascii="Arial" w:hAnsi="Arial" w:cs="Arial"/>
          <w:sz w:val="20"/>
          <w:szCs w:val="20"/>
        </w:rPr>
        <w:t>sufficient</w:t>
      </w:r>
      <w:r w:rsidRPr="00B72252">
        <w:rPr>
          <w:rFonts w:ascii="Arial" w:hAnsi="Arial" w:cs="Arial"/>
          <w:spacing w:val="-1"/>
          <w:sz w:val="20"/>
          <w:szCs w:val="20"/>
        </w:rPr>
        <w:t xml:space="preserve"> </w:t>
      </w:r>
      <w:r w:rsidRPr="00B72252">
        <w:rPr>
          <w:rFonts w:ascii="Arial" w:hAnsi="Arial" w:cs="Arial"/>
          <w:sz w:val="20"/>
          <w:szCs w:val="20"/>
        </w:rPr>
        <w:t>detail</w:t>
      </w:r>
      <w:r w:rsidRPr="00B72252">
        <w:rPr>
          <w:rFonts w:ascii="Arial" w:hAnsi="Arial" w:cs="Arial"/>
          <w:spacing w:val="-1"/>
          <w:sz w:val="20"/>
          <w:szCs w:val="20"/>
        </w:rPr>
        <w:t xml:space="preserve"> </w:t>
      </w:r>
      <w:r w:rsidRPr="00B72252">
        <w:rPr>
          <w:rFonts w:ascii="Arial" w:hAnsi="Arial" w:cs="Arial"/>
          <w:sz w:val="20"/>
          <w:szCs w:val="20"/>
        </w:rPr>
        <w:t>how this</w:t>
      </w:r>
      <w:r w:rsidRPr="00B72252">
        <w:rPr>
          <w:rFonts w:ascii="Arial" w:hAnsi="Arial" w:cs="Arial"/>
          <w:spacing w:val="-1"/>
          <w:sz w:val="20"/>
          <w:szCs w:val="20"/>
        </w:rPr>
        <w:t xml:space="preserve"> </w:t>
      </w:r>
      <w:r w:rsidRPr="00B72252">
        <w:rPr>
          <w:rFonts w:ascii="Arial" w:hAnsi="Arial" w:cs="Arial"/>
          <w:sz w:val="20"/>
          <w:szCs w:val="20"/>
        </w:rPr>
        <w:t>would</w:t>
      </w:r>
      <w:r w:rsidRPr="00B72252">
        <w:rPr>
          <w:rFonts w:ascii="Arial" w:hAnsi="Arial" w:cs="Arial"/>
          <w:spacing w:val="-1"/>
          <w:sz w:val="20"/>
          <w:szCs w:val="20"/>
        </w:rPr>
        <w:t xml:space="preserve"> </w:t>
      </w:r>
      <w:r w:rsidRPr="00B72252">
        <w:rPr>
          <w:rFonts w:ascii="Arial" w:hAnsi="Arial" w:cs="Arial"/>
          <w:sz w:val="20"/>
          <w:szCs w:val="20"/>
        </w:rPr>
        <w:t>be</w:t>
      </w:r>
      <w:r w:rsidRPr="00B72252">
        <w:rPr>
          <w:rFonts w:ascii="Arial" w:hAnsi="Arial" w:cs="Arial"/>
          <w:spacing w:val="-2"/>
          <w:sz w:val="20"/>
          <w:szCs w:val="20"/>
        </w:rPr>
        <w:t xml:space="preserve"> </w:t>
      </w:r>
      <w:r w:rsidRPr="00B72252">
        <w:rPr>
          <w:rFonts w:ascii="Arial" w:hAnsi="Arial" w:cs="Arial"/>
          <w:sz w:val="20"/>
          <w:szCs w:val="20"/>
        </w:rPr>
        <w:t>considered sufficient</w:t>
      </w:r>
      <w:r w:rsidRPr="00B72252">
        <w:rPr>
          <w:rFonts w:ascii="Arial" w:hAnsi="Arial" w:cs="Arial"/>
          <w:spacing w:val="-3"/>
          <w:sz w:val="20"/>
          <w:szCs w:val="20"/>
        </w:rPr>
        <w:t xml:space="preserve"> </w:t>
      </w:r>
      <w:r w:rsidRPr="00B72252">
        <w:rPr>
          <w:rFonts w:ascii="Arial" w:hAnsi="Arial" w:cs="Arial"/>
          <w:sz w:val="20"/>
          <w:szCs w:val="20"/>
        </w:rPr>
        <w:t>monitoring</w:t>
      </w:r>
      <w:r w:rsidRPr="00B72252">
        <w:rPr>
          <w:rFonts w:ascii="Arial" w:hAnsi="Arial" w:cs="Arial"/>
          <w:spacing w:val="-3"/>
          <w:sz w:val="20"/>
          <w:szCs w:val="20"/>
        </w:rPr>
        <w:t xml:space="preserve"> </w:t>
      </w:r>
      <w:r w:rsidRPr="00B72252">
        <w:rPr>
          <w:rFonts w:ascii="Arial" w:hAnsi="Arial" w:cs="Arial"/>
          <w:sz w:val="20"/>
          <w:szCs w:val="20"/>
        </w:rPr>
        <w:t>to</w:t>
      </w:r>
      <w:r w:rsidRPr="00B72252">
        <w:rPr>
          <w:rFonts w:ascii="Arial" w:hAnsi="Arial" w:cs="Arial"/>
          <w:spacing w:val="40"/>
          <w:sz w:val="20"/>
          <w:szCs w:val="20"/>
        </w:rPr>
        <w:t xml:space="preserve"> </w:t>
      </w:r>
      <w:r w:rsidRPr="00B72252">
        <w:rPr>
          <w:rFonts w:ascii="Arial" w:hAnsi="Arial" w:cs="Arial"/>
          <w:sz w:val="20"/>
          <w:szCs w:val="20"/>
        </w:rPr>
        <w:t>enable</w:t>
      </w:r>
      <w:r w:rsidRPr="00B72252">
        <w:rPr>
          <w:rFonts w:ascii="Arial" w:hAnsi="Arial" w:cs="Arial"/>
          <w:spacing w:val="40"/>
          <w:sz w:val="20"/>
          <w:szCs w:val="20"/>
        </w:rPr>
        <w:t xml:space="preserve"> </w:t>
      </w:r>
      <w:r w:rsidRPr="00B72252">
        <w:rPr>
          <w:rFonts w:ascii="Arial" w:hAnsi="Arial" w:cs="Arial"/>
          <w:sz w:val="20"/>
          <w:szCs w:val="20"/>
        </w:rPr>
        <w:t>and</w:t>
      </w:r>
      <w:r w:rsidRPr="00B72252">
        <w:rPr>
          <w:rFonts w:ascii="Arial" w:hAnsi="Arial" w:cs="Arial"/>
          <w:spacing w:val="-1"/>
          <w:sz w:val="20"/>
          <w:szCs w:val="20"/>
        </w:rPr>
        <w:t xml:space="preserve"> </w:t>
      </w:r>
      <w:r w:rsidRPr="00B72252">
        <w:rPr>
          <w:rFonts w:ascii="Arial" w:hAnsi="Arial" w:cs="Arial"/>
          <w:sz w:val="20"/>
          <w:szCs w:val="20"/>
        </w:rPr>
        <w:t>assure</w:t>
      </w:r>
      <w:r w:rsidRPr="00B72252">
        <w:rPr>
          <w:rFonts w:ascii="Arial" w:hAnsi="Arial" w:cs="Arial"/>
          <w:spacing w:val="-2"/>
          <w:sz w:val="20"/>
          <w:szCs w:val="20"/>
        </w:rPr>
        <w:t xml:space="preserve"> </w:t>
      </w:r>
      <w:r w:rsidRPr="00B72252">
        <w:rPr>
          <w:rFonts w:ascii="Arial" w:hAnsi="Arial" w:cs="Arial"/>
          <w:sz w:val="20"/>
          <w:szCs w:val="20"/>
        </w:rPr>
        <w:t>compliance</w:t>
      </w:r>
      <w:r w:rsidRPr="00B72252">
        <w:rPr>
          <w:rFonts w:ascii="Arial" w:hAnsi="Arial" w:cs="Arial"/>
          <w:spacing w:val="-4"/>
          <w:sz w:val="20"/>
          <w:szCs w:val="20"/>
        </w:rPr>
        <w:t xml:space="preserve"> </w:t>
      </w:r>
      <w:r w:rsidRPr="00B72252">
        <w:rPr>
          <w:rFonts w:ascii="Arial" w:hAnsi="Arial" w:cs="Arial"/>
          <w:sz w:val="20"/>
          <w:szCs w:val="20"/>
        </w:rPr>
        <w:t>with</w:t>
      </w:r>
      <w:r w:rsidRPr="00B72252">
        <w:rPr>
          <w:rFonts w:ascii="Arial" w:hAnsi="Arial" w:cs="Arial"/>
          <w:spacing w:val="-3"/>
          <w:sz w:val="20"/>
          <w:szCs w:val="20"/>
        </w:rPr>
        <w:t xml:space="preserve"> </w:t>
      </w:r>
      <w:r w:rsidRPr="00B72252">
        <w:rPr>
          <w:rFonts w:ascii="Arial" w:hAnsi="Arial" w:cs="Arial"/>
          <w:sz w:val="20"/>
          <w:szCs w:val="20"/>
        </w:rPr>
        <w:t>an</w:t>
      </w:r>
      <w:r w:rsidRPr="00B72252">
        <w:rPr>
          <w:rFonts w:ascii="Arial" w:hAnsi="Arial" w:cs="Arial"/>
          <w:spacing w:val="-1"/>
          <w:sz w:val="20"/>
          <w:szCs w:val="20"/>
        </w:rPr>
        <w:t xml:space="preserve"> </w:t>
      </w:r>
      <w:r w:rsidRPr="00B72252">
        <w:rPr>
          <w:rFonts w:ascii="Arial" w:hAnsi="Arial" w:cs="Arial"/>
          <w:sz w:val="20"/>
          <w:szCs w:val="20"/>
        </w:rPr>
        <w:t>emission</w:t>
      </w:r>
      <w:r w:rsidRPr="00B72252">
        <w:rPr>
          <w:rFonts w:ascii="Arial" w:hAnsi="Arial" w:cs="Arial"/>
          <w:spacing w:val="-3"/>
          <w:sz w:val="20"/>
          <w:szCs w:val="20"/>
        </w:rPr>
        <w:t xml:space="preserve"> </w:t>
      </w:r>
      <w:r w:rsidRPr="00B72252">
        <w:rPr>
          <w:rFonts w:ascii="Arial" w:hAnsi="Arial" w:cs="Arial"/>
          <w:sz w:val="20"/>
          <w:szCs w:val="20"/>
        </w:rPr>
        <w:t>limitation.</w:t>
      </w:r>
      <w:r w:rsidRPr="00B72252">
        <w:rPr>
          <w:rFonts w:ascii="Arial" w:hAnsi="Arial" w:cs="Arial"/>
          <w:spacing w:val="-3"/>
          <w:sz w:val="20"/>
          <w:szCs w:val="20"/>
        </w:rPr>
        <w:t xml:space="preserve"> </w:t>
      </w:r>
      <w:r w:rsidRPr="00B72252">
        <w:rPr>
          <w:rFonts w:ascii="Arial" w:hAnsi="Arial" w:cs="Arial"/>
          <w:sz w:val="20"/>
          <w:szCs w:val="20"/>
        </w:rPr>
        <w:t>The</w:t>
      </w:r>
      <w:r w:rsidRPr="00B72252">
        <w:rPr>
          <w:rFonts w:ascii="Arial" w:hAnsi="Arial" w:cs="Arial"/>
          <w:spacing w:val="-4"/>
          <w:sz w:val="20"/>
          <w:szCs w:val="20"/>
        </w:rPr>
        <w:t xml:space="preserve"> </w:t>
      </w:r>
      <w:r w:rsidRPr="00B72252">
        <w:rPr>
          <w:rFonts w:ascii="Arial" w:hAnsi="Arial" w:cs="Arial"/>
          <w:sz w:val="20"/>
          <w:szCs w:val="20"/>
        </w:rPr>
        <w:t>table</w:t>
      </w:r>
      <w:r w:rsidRPr="00B72252">
        <w:rPr>
          <w:rFonts w:ascii="Arial" w:hAnsi="Arial" w:cs="Arial"/>
          <w:spacing w:val="-4"/>
          <w:sz w:val="20"/>
          <w:szCs w:val="20"/>
        </w:rPr>
        <w:t xml:space="preserve"> </w:t>
      </w:r>
      <w:r w:rsidRPr="00B72252">
        <w:rPr>
          <w:rFonts w:ascii="Arial" w:hAnsi="Arial" w:cs="Arial"/>
          <w:sz w:val="20"/>
          <w:szCs w:val="20"/>
        </w:rPr>
        <w:t>should be updated to how the monitoring is to be performed, the frequency for performing any monitoring, and specify what emission factors are being used (if applicable) and the calculation methodology for determining the emissions. TCEQ must require Phelps Dodge to revise the PBR Supplemental table to</w:t>
      </w:r>
      <w:r w:rsidRPr="00B72252">
        <w:rPr>
          <w:rFonts w:ascii="Arial" w:hAnsi="Arial" w:cs="Arial"/>
          <w:spacing w:val="-2"/>
          <w:sz w:val="20"/>
          <w:szCs w:val="20"/>
        </w:rPr>
        <w:t xml:space="preserve"> </w:t>
      </w:r>
      <w:r w:rsidRPr="00B72252">
        <w:rPr>
          <w:rFonts w:ascii="Arial" w:hAnsi="Arial" w:cs="Arial"/>
          <w:sz w:val="20"/>
          <w:szCs w:val="20"/>
        </w:rPr>
        <w:t>include</w:t>
      </w:r>
      <w:r w:rsidRPr="00B72252">
        <w:rPr>
          <w:rFonts w:ascii="Arial" w:hAnsi="Arial" w:cs="Arial"/>
          <w:spacing w:val="-3"/>
          <w:sz w:val="20"/>
          <w:szCs w:val="20"/>
        </w:rPr>
        <w:t xml:space="preserve"> </w:t>
      </w:r>
      <w:r w:rsidRPr="00B72252">
        <w:rPr>
          <w:rFonts w:ascii="Arial" w:hAnsi="Arial" w:cs="Arial"/>
          <w:sz w:val="20"/>
          <w:szCs w:val="20"/>
        </w:rPr>
        <w:t>information</w:t>
      </w:r>
      <w:r w:rsidRPr="00B72252">
        <w:rPr>
          <w:rFonts w:ascii="Arial" w:hAnsi="Arial" w:cs="Arial"/>
          <w:spacing w:val="-2"/>
          <w:sz w:val="20"/>
          <w:szCs w:val="20"/>
        </w:rPr>
        <w:t xml:space="preserve"> </w:t>
      </w:r>
      <w:r w:rsidRPr="00B72252">
        <w:rPr>
          <w:rFonts w:ascii="Arial" w:hAnsi="Arial" w:cs="Arial"/>
          <w:sz w:val="20"/>
          <w:szCs w:val="20"/>
        </w:rPr>
        <w:t>adequate</w:t>
      </w:r>
      <w:r w:rsidRPr="00B72252">
        <w:rPr>
          <w:rFonts w:ascii="Arial" w:hAnsi="Arial" w:cs="Arial"/>
          <w:spacing w:val="-3"/>
          <w:sz w:val="20"/>
          <w:szCs w:val="20"/>
        </w:rPr>
        <w:t xml:space="preserve"> </w:t>
      </w:r>
      <w:r w:rsidRPr="00B72252">
        <w:rPr>
          <w:rFonts w:ascii="Arial" w:hAnsi="Arial" w:cs="Arial"/>
          <w:sz w:val="20"/>
          <w:szCs w:val="20"/>
        </w:rPr>
        <w:t>to</w:t>
      </w:r>
      <w:r w:rsidRPr="00B72252">
        <w:rPr>
          <w:rFonts w:ascii="Arial" w:hAnsi="Arial" w:cs="Arial"/>
          <w:spacing w:val="-2"/>
          <w:sz w:val="20"/>
          <w:szCs w:val="20"/>
        </w:rPr>
        <w:t xml:space="preserve"> </w:t>
      </w:r>
      <w:r w:rsidRPr="00B72252">
        <w:rPr>
          <w:rFonts w:ascii="Arial" w:hAnsi="Arial" w:cs="Arial"/>
          <w:sz w:val="20"/>
          <w:szCs w:val="20"/>
        </w:rPr>
        <w:t>assure</w:t>
      </w:r>
      <w:r w:rsidRPr="00B72252">
        <w:rPr>
          <w:rFonts w:ascii="Arial" w:hAnsi="Arial" w:cs="Arial"/>
          <w:spacing w:val="-3"/>
          <w:sz w:val="20"/>
          <w:szCs w:val="20"/>
        </w:rPr>
        <w:t xml:space="preserve"> </w:t>
      </w:r>
      <w:r w:rsidRPr="00B72252">
        <w:rPr>
          <w:rFonts w:ascii="Arial" w:hAnsi="Arial" w:cs="Arial"/>
          <w:sz w:val="20"/>
          <w:szCs w:val="20"/>
        </w:rPr>
        <w:t>compliance</w:t>
      </w:r>
      <w:r w:rsidRPr="00B72252">
        <w:rPr>
          <w:rFonts w:ascii="Arial" w:hAnsi="Arial" w:cs="Arial"/>
          <w:spacing w:val="-3"/>
          <w:sz w:val="20"/>
          <w:szCs w:val="20"/>
        </w:rPr>
        <w:t xml:space="preserve"> </w:t>
      </w:r>
      <w:r w:rsidRPr="00B72252">
        <w:rPr>
          <w:rFonts w:ascii="Arial" w:hAnsi="Arial" w:cs="Arial"/>
          <w:sz w:val="20"/>
          <w:szCs w:val="20"/>
        </w:rPr>
        <w:t>with</w:t>
      </w:r>
      <w:r w:rsidRPr="00B72252">
        <w:rPr>
          <w:rFonts w:ascii="Arial" w:hAnsi="Arial" w:cs="Arial"/>
          <w:spacing w:val="-2"/>
          <w:sz w:val="20"/>
          <w:szCs w:val="20"/>
        </w:rPr>
        <w:t xml:space="preserve"> </w:t>
      </w:r>
      <w:r w:rsidRPr="00B72252">
        <w:rPr>
          <w:rFonts w:ascii="Arial" w:hAnsi="Arial" w:cs="Arial"/>
          <w:sz w:val="20"/>
          <w:szCs w:val="20"/>
        </w:rPr>
        <w:t>emission</w:t>
      </w:r>
      <w:r w:rsidRPr="00B72252">
        <w:rPr>
          <w:rFonts w:ascii="Arial" w:hAnsi="Arial" w:cs="Arial"/>
          <w:spacing w:val="-2"/>
          <w:sz w:val="20"/>
          <w:szCs w:val="20"/>
        </w:rPr>
        <w:t xml:space="preserve"> </w:t>
      </w:r>
      <w:r w:rsidRPr="00B72252">
        <w:rPr>
          <w:rFonts w:ascii="Arial" w:hAnsi="Arial" w:cs="Arial"/>
          <w:sz w:val="20"/>
          <w:szCs w:val="20"/>
        </w:rPr>
        <w:t>limits</w:t>
      </w:r>
      <w:r w:rsidRPr="00B72252">
        <w:rPr>
          <w:rFonts w:ascii="Arial" w:hAnsi="Arial" w:cs="Arial"/>
          <w:spacing w:val="-5"/>
          <w:sz w:val="20"/>
          <w:szCs w:val="20"/>
        </w:rPr>
        <w:t xml:space="preserve"> </w:t>
      </w:r>
      <w:r w:rsidRPr="00B72252">
        <w:rPr>
          <w:rFonts w:ascii="Arial" w:hAnsi="Arial" w:cs="Arial"/>
          <w:sz w:val="20"/>
          <w:szCs w:val="20"/>
        </w:rPr>
        <w:t>and</w:t>
      </w:r>
      <w:r w:rsidRPr="00B72252">
        <w:rPr>
          <w:rFonts w:ascii="Arial" w:hAnsi="Arial" w:cs="Arial"/>
          <w:spacing w:val="-2"/>
          <w:sz w:val="20"/>
          <w:szCs w:val="20"/>
        </w:rPr>
        <w:t xml:space="preserve"> </w:t>
      </w:r>
      <w:r w:rsidRPr="00B72252">
        <w:rPr>
          <w:rFonts w:ascii="Arial" w:hAnsi="Arial" w:cs="Arial"/>
          <w:sz w:val="20"/>
          <w:szCs w:val="20"/>
        </w:rPr>
        <w:t>operational</w:t>
      </w:r>
      <w:r w:rsidRPr="00B72252">
        <w:rPr>
          <w:rFonts w:ascii="Arial" w:hAnsi="Arial" w:cs="Arial"/>
          <w:spacing w:val="-2"/>
          <w:sz w:val="20"/>
          <w:szCs w:val="20"/>
        </w:rPr>
        <w:t xml:space="preserve"> </w:t>
      </w:r>
      <w:r w:rsidRPr="00B72252">
        <w:rPr>
          <w:rFonts w:ascii="Arial" w:hAnsi="Arial" w:cs="Arial"/>
          <w:sz w:val="20"/>
          <w:szCs w:val="20"/>
        </w:rPr>
        <w:t>limits</w:t>
      </w:r>
      <w:r w:rsidRPr="00B72252">
        <w:rPr>
          <w:rFonts w:ascii="Arial" w:hAnsi="Arial" w:cs="Arial"/>
          <w:spacing w:val="-2"/>
          <w:sz w:val="20"/>
          <w:szCs w:val="20"/>
        </w:rPr>
        <w:t xml:space="preserve"> </w:t>
      </w:r>
      <w:r w:rsidRPr="00B72252">
        <w:rPr>
          <w:rFonts w:ascii="Arial" w:hAnsi="Arial" w:cs="Arial"/>
          <w:sz w:val="20"/>
          <w:szCs w:val="20"/>
        </w:rPr>
        <w:t>that are imposed by the PBRs.</w:t>
      </w:r>
    </w:p>
    <w:p w14:paraId="69EBF994" w14:textId="77777777" w:rsidR="003F0843" w:rsidRDefault="003F0843" w:rsidP="003F0843">
      <w:pPr>
        <w:rPr>
          <w:rStyle w:val="Strong"/>
          <w:b w:val="0"/>
          <w:bCs w:val="0"/>
        </w:rPr>
      </w:pPr>
    </w:p>
    <w:p w14:paraId="0DC9BDDD" w14:textId="0F8588DA" w:rsidR="00A67ED7" w:rsidRDefault="00A67ED7" w:rsidP="00A67ED7">
      <w:pPr>
        <w:rPr>
          <w:rStyle w:val="Strong"/>
          <w:b w:val="0"/>
          <w:bCs w:val="0"/>
        </w:rPr>
      </w:pPr>
    </w:p>
    <w:p w14:paraId="2954E3D9" w14:textId="28DA30FE" w:rsidR="00005EC5" w:rsidRDefault="00A67ED7" w:rsidP="00005EC5">
      <w:r w:rsidRPr="00A67ED7">
        <w:rPr>
          <w:rStyle w:val="Strong"/>
        </w:rPr>
        <w:t>TCEQ Response to Objection 1:</w:t>
      </w:r>
      <w:r w:rsidR="00005EC5">
        <w:rPr>
          <w:rStyle w:val="Strong"/>
        </w:rPr>
        <w:t xml:space="preserve"> </w:t>
      </w:r>
      <w:r w:rsidR="00005EC5" w:rsidRPr="00FF0F4A">
        <w:rPr>
          <w:rFonts w:cs="Arial"/>
          <w:szCs w:val="20"/>
        </w:rPr>
        <w:t xml:space="preserve">As directed by EPA, the </w:t>
      </w:r>
      <w:r w:rsidR="00005EC5">
        <w:rPr>
          <w:rFonts w:cs="Arial"/>
          <w:szCs w:val="20"/>
        </w:rPr>
        <w:t>FOP O</w:t>
      </w:r>
      <w:r w:rsidR="007B59B5">
        <w:rPr>
          <w:rFonts w:cs="Arial"/>
          <w:szCs w:val="20"/>
        </w:rPr>
        <w:t>1602</w:t>
      </w:r>
      <w:r w:rsidR="00005EC5">
        <w:rPr>
          <w:rFonts w:cs="Arial"/>
          <w:szCs w:val="20"/>
        </w:rPr>
        <w:t xml:space="preserve"> (project number </w:t>
      </w:r>
      <w:r w:rsidR="007B59B5">
        <w:rPr>
          <w:rFonts w:cs="Arial"/>
          <w:szCs w:val="20"/>
        </w:rPr>
        <w:t>33751</w:t>
      </w:r>
      <w:r w:rsidR="00005EC5">
        <w:rPr>
          <w:rFonts w:cs="Arial"/>
          <w:szCs w:val="20"/>
        </w:rPr>
        <w:t>) is modified and include specific MRRT</w:t>
      </w:r>
      <w:r w:rsidR="00005EC5" w:rsidRPr="00FF0F4A">
        <w:rPr>
          <w:rFonts w:cs="Arial"/>
          <w:szCs w:val="20"/>
        </w:rPr>
        <w:t xml:space="preserve"> that assures compliance with the requirements for all PBRs (including registered PBRs, </w:t>
      </w:r>
      <w:r w:rsidR="00005EC5" w:rsidRPr="00FF0F4A">
        <w:t>claimed but not registered PBRs and PBRs</w:t>
      </w:r>
      <w:r w:rsidR="00005EC5" w:rsidRPr="00FF0F4A">
        <w:rPr>
          <w:rFonts w:cs="Arial"/>
          <w:szCs w:val="20"/>
        </w:rPr>
        <w:t xml:space="preserve"> that apply to non-insignificant units) </w:t>
      </w:r>
      <w:r w:rsidR="00005EC5">
        <w:rPr>
          <w:rFonts w:cs="Arial"/>
          <w:szCs w:val="20"/>
        </w:rPr>
        <w:t xml:space="preserve">to permit as </w:t>
      </w:r>
      <w:r w:rsidR="00005EC5" w:rsidRPr="00FF0F4A">
        <w:t>follows:</w:t>
      </w:r>
      <w:r w:rsidR="00005EC5" w:rsidRPr="009C1876">
        <w:t xml:space="preserve"> </w:t>
      </w:r>
    </w:p>
    <w:p w14:paraId="38B5BE38" w14:textId="77777777" w:rsidR="00005EC5" w:rsidRDefault="00005EC5" w:rsidP="00005EC5"/>
    <w:p w14:paraId="2F4F41A3" w14:textId="7273A0A8" w:rsidR="00005EC5" w:rsidRPr="002D1BD3" w:rsidRDefault="00005EC5" w:rsidP="00005EC5">
      <w:pPr>
        <w:numPr>
          <w:ilvl w:val="0"/>
          <w:numId w:val="21"/>
        </w:numPr>
        <w:contextualSpacing/>
        <w:rPr>
          <w:rFonts w:cs="Arial"/>
          <w:szCs w:val="20"/>
        </w:rPr>
      </w:pPr>
      <w:r>
        <w:t xml:space="preserve">The OP-PBRSUP form was submitted by applicant on </w:t>
      </w:r>
      <w:r w:rsidR="00844059">
        <w:t>May 11</w:t>
      </w:r>
      <w:r w:rsidR="007B59B5">
        <w:t>, 2023</w:t>
      </w:r>
      <w:r>
        <w:t>. It is a part of permit record. The OP-PBRSUP Table A and B provide registered PBRs and claimed PBRs (not registered) on site. Table C provides insignificant sources for the site under claimed (not registered) PBRs. Table D includes the monitoring and recordkeeping requirements from all PBRs including registered PBRs and claimed (not registered) PBRs.</w:t>
      </w:r>
    </w:p>
    <w:p w14:paraId="0E95D525" w14:textId="29B9BD68" w:rsidR="00005EC5" w:rsidRPr="002D1BD3" w:rsidRDefault="00005EC5" w:rsidP="00005EC5">
      <w:pPr>
        <w:numPr>
          <w:ilvl w:val="0"/>
          <w:numId w:val="21"/>
        </w:numPr>
        <w:contextualSpacing/>
        <w:rPr>
          <w:rFonts w:cs="Arial"/>
          <w:szCs w:val="20"/>
        </w:rPr>
      </w:pPr>
      <w:r>
        <w:t xml:space="preserve">Based on the updated information, the </w:t>
      </w:r>
      <w:r w:rsidRPr="00D01FF0">
        <w:t xml:space="preserve">New Source Review </w:t>
      </w:r>
      <w:r w:rsidRPr="00C136ED">
        <w:t xml:space="preserve">Authorization References by Emissions Unit Table in FOP </w:t>
      </w:r>
      <w:r w:rsidR="004C1A1F">
        <w:t>1602</w:t>
      </w:r>
      <w:r w:rsidRPr="00C136ED">
        <w:t xml:space="preserve"> is revised to add PBR </w:t>
      </w:r>
      <w:r w:rsidR="008E5FDC">
        <w:t xml:space="preserve">Standard Exemption (SE) Numbers </w:t>
      </w:r>
      <w:r w:rsidR="008E5FDC" w:rsidRPr="008E5FDC">
        <w:t>SE 5 – 01/08/1980, SE 6 – 09/23/1982, SE 7 – 01/08/1980, SE 7 – 09/23/1982, SE 7 – 07/20/1992, SE 8 – 01/08/1980, SE 8 – 08/30/1988, SE 8 – 06/07/1996, SE 14 – 10/04/1995, SE 41 – 05/12/1981, SE 41 – 05/04/1994, SE 46 – 01/08/1980, SE 51 – 11/05/1986, SE 56 – 01/08/1980, SE 106 – 08/30/1988</w:t>
      </w:r>
      <w:r>
        <w:t xml:space="preserve">.  An additional footnote is added, which states “**This column may include Permit by Rule (PBR) numbers and version dates, PBR Registration numbers in brackets, Standard Permit Registration numbers, Minor NSR permit numbers, and Major NSR permit numbers.” </w:t>
      </w:r>
    </w:p>
    <w:p w14:paraId="251EB87F" w14:textId="4C0DA6AD" w:rsidR="00005EC5" w:rsidRPr="002D1BD3" w:rsidRDefault="00005EC5" w:rsidP="00005EC5">
      <w:pPr>
        <w:numPr>
          <w:ilvl w:val="0"/>
          <w:numId w:val="21"/>
        </w:numPr>
        <w:contextualSpacing/>
        <w:rPr>
          <w:rFonts w:cs="Arial"/>
          <w:szCs w:val="20"/>
        </w:rPr>
      </w:pPr>
      <w:r w:rsidRPr="002D1BD3">
        <w:rPr>
          <w:rFonts w:cs="Arial"/>
          <w:szCs w:val="20"/>
        </w:rPr>
        <w:t>The permit special term and condition No.1</w:t>
      </w:r>
      <w:r w:rsidR="00045620">
        <w:rPr>
          <w:rFonts w:cs="Arial"/>
          <w:szCs w:val="20"/>
        </w:rPr>
        <w:t>1</w:t>
      </w:r>
      <w:r w:rsidRPr="002D1BD3">
        <w:rPr>
          <w:rFonts w:cs="Arial"/>
          <w:szCs w:val="20"/>
        </w:rPr>
        <w:t xml:space="preserve"> is revised to inc</w:t>
      </w:r>
      <w:r>
        <w:t>lude the</w:t>
      </w:r>
      <w:r w:rsidRPr="009C1876">
        <w:t xml:space="preserve"> PBR Supplemental Table (OP-PBRSUP) </w:t>
      </w:r>
      <w:r>
        <w:t xml:space="preserve">information submitted on </w:t>
      </w:r>
      <w:r w:rsidR="00844059">
        <w:t>May 11</w:t>
      </w:r>
      <w:r w:rsidR="00045620">
        <w:t xml:space="preserve">, </w:t>
      </w:r>
      <w:proofErr w:type="gramStart"/>
      <w:r w:rsidR="00045620">
        <w:t>2023</w:t>
      </w:r>
      <w:proofErr w:type="gramEnd"/>
      <w:r>
        <w:t xml:space="preserve"> and project number </w:t>
      </w:r>
      <w:r w:rsidRPr="009C1876">
        <w:t>in Title V</w:t>
      </w:r>
      <w:r>
        <w:t xml:space="preserve"> permit. The term states that (</w:t>
      </w:r>
      <w:r w:rsidRPr="00613168">
        <w:t xml:space="preserve">including the terms and conditions which include monitoring, recordkeeping, and reporting identified in registered PBRs and permits by rule identified in the PBR Supplemental Tables dated </w:t>
      </w:r>
      <w:r w:rsidR="00844059">
        <w:t>May 11</w:t>
      </w:r>
      <w:r w:rsidR="00045620">
        <w:t>, 2023</w:t>
      </w:r>
      <w:r>
        <w:t>,</w:t>
      </w:r>
      <w:r w:rsidRPr="00613168">
        <w:t xml:space="preserve"> in the application for project </w:t>
      </w:r>
      <w:r w:rsidR="00045620">
        <w:t>33751</w:t>
      </w:r>
      <w:r w:rsidRPr="00613168">
        <w:t>)</w:t>
      </w:r>
      <w:r w:rsidRPr="009C1876">
        <w:t xml:space="preserve">. </w:t>
      </w:r>
    </w:p>
    <w:p w14:paraId="10DFC434" w14:textId="2698A1A0" w:rsidR="00A67ED7" w:rsidRPr="00005EC5" w:rsidRDefault="00005EC5" w:rsidP="00005EC5">
      <w:pPr>
        <w:pStyle w:val="ListParagraph"/>
        <w:numPr>
          <w:ilvl w:val="0"/>
          <w:numId w:val="21"/>
        </w:numPr>
        <w:rPr>
          <w:rStyle w:val="Strong"/>
          <w:b w:val="0"/>
          <w:bCs w:val="0"/>
        </w:rPr>
      </w:pPr>
      <w:r w:rsidRPr="00A203E5">
        <w:t>The statement of basis (SOB) was updated to revise the insignificant activities list and add a reference to the PBR Supplemental Table.</w:t>
      </w:r>
    </w:p>
    <w:p w14:paraId="123FECF5" w14:textId="77777777" w:rsidR="00A67ED7" w:rsidRDefault="00A67ED7" w:rsidP="00A67ED7">
      <w:pPr>
        <w:rPr>
          <w:rStyle w:val="Strong"/>
          <w:b w:val="0"/>
          <w:bCs w:val="0"/>
        </w:rPr>
      </w:pPr>
    </w:p>
    <w:p w14:paraId="5C263BDA" w14:textId="74C573B6" w:rsidR="00632F4A" w:rsidRDefault="00A67ED7" w:rsidP="00A67ED7">
      <w:pPr>
        <w:rPr>
          <w:rStyle w:val="Strong"/>
          <w:b w:val="0"/>
          <w:bCs w:val="0"/>
        </w:rPr>
      </w:pPr>
      <w:r w:rsidRPr="00A67ED7">
        <w:rPr>
          <w:rStyle w:val="Strong"/>
        </w:rPr>
        <w:t>EPA Objection 2:</w:t>
      </w:r>
      <w:r>
        <w:rPr>
          <w:rStyle w:val="Strong"/>
          <w:b w:val="0"/>
          <w:bCs w:val="0"/>
        </w:rPr>
        <w:t xml:space="preserve"> </w:t>
      </w:r>
      <w:r w:rsidR="00632F4A" w:rsidRPr="00A67ED7">
        <w:rPr>
          <w:rStyle w:val="Strong"/>
          <w:b w:val="0"/>
          <w:bCs w:val="0"/>
        </w:rPr>
        <w:t>Objection for Failure to Properly Identify All Emission Units. The Title V Permit appears to be missing emission units from the Applicable Requirements Summary Table &amp; the NSR Authorization References by Emission Unit table.</w:t>
      </w:r>
    </w:p>
    <w:p w14:paraId="350CD489" w14:textId="77777777" w:rsidR="00636E12" w:rsidRPr="00B72252" w:rsidRDefault="00636E12" w:rsidP="00636E12">
      <w:pPr>
        <w:pStyle w:val="BodyText"/>
        <w:spacing w:before="160"/>
        <w:rPr>
          <w:rFonts w:ascii="Arial" w:hAnsi="Arial" w:cs="Arial"/>
          <w:sz w:val="20"/>
          <w:szCs w:val="20"/>
        </w:rPr>
      </w:pPr>
      <w:r w:rsidRPr="00B72252">
        <w:rPr>
          <w:rFonts w:ascii="Arial" w:hAnsi="Arial" w:cs="Arial"/>
          <w:sz w:val="20"/>
          <w:szCs w:val="20"/>
        </w:rPr>
        <w:t>The</w:t>
      </w:r>
      <w:r w:rsidRPr="00B72252">
        <w:rPr>
          <w:rFonts w:ascii="Arial" w:hAnsi="Arial" w:cs="Arial"/>
          <w:spacing w:val="-2"/>
          <w:sz w:val="20"/>
          <w:szCs w:val="20"/>
        </w:rPr>
        <w:t xml:space="preserve"> </w:t>
      </w:r>
      <w:r w:rsidRPr="00B72252">
        <w:rPr>
          <w:rFonts w:ascii="Arial" w:hAnsi="Arial" w:cs="Arial"/>
          <w:sz w:val="20"/>
          <w:szCs w:val="20"/>
        </w:rPr>
        <w:t>title</w:t>
      </w:r>
      <w:r w:rsidRPr="00B72252">
        <w:rPr>
          <w:rFonts w:ascii="Arial" w:hAnsi="Arial" w:cs="Arial"/>
          <w:spacing w:val="-2"/>
          <w:sz w:val="20"/>
          <w:szCs w:val="20"/>
        </w:rPr>
        <w:t xml:space="preserve"> </w:t>
      </w:r>
      <w:r w:rsidRPr="00B72252">
        <w:rPr>
          <w:rFonts w:ascii="Arial" w:hAnsi="Arial" w:cs="Arial"/>
          <w:sz w:val="20"/>
          <w:szCs w:val="20"/>
        </w:rPr>
        <w:t>V</w:t>
      </w:r>
      <w:r w:rsidRPr="00B72252">
        <w:rPr>
          <w:rFonts w:ascii="Arial" w:hAnsi="Arial" w:cs="Arial"/>
          <w:spacing w:val="-2"/>
          <w:sz w:val="20"/>
          <w:szCs w:val="20"/>
        </w:rPr>
        <w:t xml:space="preserve"> </w:t>
      </w:r>
      <w:r w:rsidRPr="00B72252">
        <w:rPr>
          <w:rFonts w:ascii="Arial" w:hAnsi="Arial" w:cs="Arial"/>
          <w:sz w:val="20"/>
          <w:szCs w:val="20"/>
        </w:rPr>
        <w:t>permit</w:t>
      </w:r>
      <w:r w:rsidRPr="00B72252">
        <w:rPr>
          <w:rFonts w:ascii="Arial" w:hAnsi="Arial" w:cs="Arial"/>
          <w:spacing w:val="-1"/>
          <w:sz w:val="20"/>
          <w:szCs w:val="20"/>
        </w:rPr>
        <w:t xml:space="preserve"> </w:t>
      </w:r>
      <w:r w:rsidRPr="00B72252">
        <w:rPr>
          <w:rFonts w:ascii="Arial" w:hAnsi="Arial" w:cs="Arial"/>
          <w:sz w:val="20"/>
          <w:szCs w:val="20"/>
        </w:rPr>
        <w:t>also does</w:t>
      </w:r>
      <w:r w:rsidRPr="00B72252">
        <w:rPr>
          <w:rFonts w:ascii="Arial" w:hAnsi="Arial" w:cs="Arial"/>
          <w:spacing w:val="-1"/>
          <w:sz w:val="20"/>
          <w:szCs w:val="20"/>
        </w:rPr>
        <w:t xml:space="preserve"> </w:t>
      </w:r>
      <w:r w:rsidRPr="00B72252">
        <w:rPr>
          <w:rFonts w:ascii="Arial" w:hAnsi="Arial" w:cs="Arial"/>
          <w:sz w:val="20"/>
          <w:szCs w:val="20"/>
        </w:rPr>
        <w:t>not</w:t>
      </w:r>
      <w:r w:rsidRPr="00B72252">
        <w:rPr>
          <w:rFonts w:ascii="Arial" w:hAnsi="Arial" w:cs="Arial"/>
          <w:spacing w:val="-1"/>
          <w:sz w:val="20"/>
          <w:szCs w:val="20"/>
        </w:rPr>
        <w:t xml:space="preserve"> </w:t>
      </w:r>
      <w:r w:rsidRPr="00B72252">
        <w:rPr>
          <w:rFonts w:ascii="Arial" w:hAnsi="Arial" w:cs="Arial"/>
          <w:sz w:val="20"/>
          <w:szCs w:val="20"/>
        </w:rPr>
        <w:t>appear</w:t>
      </w:r>
      <w:r w:rsidRPr="00B72252">
        <w:rPr>
          <w:rFonts w:ascii="Arial" w:hAnsi="Arial" w:cs="Arial"/>
          <w:spacing w:val="-2"/>
          <w:sz w:val="20"/>
          <w:szCs w:val="20"/>
        </w:rPr>
        <w:t xml:space="preserve"> </w:t>
      </w:r>
      <w:r w:rsidRPr="00B72252">
        <w:rPr>
          <w:rFonts w:ascii="Arial" w:hAnsi="Arial" w:cs="Arial"/>
          <w:sz w:val="20"/>
          <w:szCs w:val="20"/>
        </w:rPr>
        <w:t>to include the</w:t>
      </w:r>
      <w:r w:rsidRPr="00B72252">
        <w:rPr>
          <w:rFonts w:ascii="Arial" w:hAnsi="Arial" w:cs="Arial"/>
          <w:spacing w:val="-2"/>
          <w:sz w:val="20"/>
          <w:szCs w:val="20"/>
        </w:rPr>
        <w:t xml:space="preserve"> </w:t>
      </w:r>
      <w:r w:rsidRPr="00B72252">
        <w:rPr>
          <w:rFonts w:ascii="Arial" w:hAnsi="Arial" w:cs="Arial"/>
          <w:sz w:val="20"/>
          <w:szCs w:val="20"/>
        </w:rPr>
        <w:t>following</w:t>
      </w:r>
      <w:r w:rsidRPr="00B72252">
        <w:rPr>
          <w:rFonts w:ascii="Arial" w:hAnsi="Arial" w:cs="Arial"/>
          <w:spacing w:val="-1"/>
          <w:sz w:val="20"/>
          <w:szCs w:val="20"/>
        </w:rPr>
        <w:t xml:space="preserve"> </w:t>
      </w:r>
      <w:r w:rsidRPr="00B72252">
        <w:rPr>
          <w:rFonts w:ascii="Arial" w:hAnsi="Arial" w:cs="Arial"/>
          <w:sz w:val="20"/>
          <w:szCs w:val="20"/>
        </w:rPr>
        <w:t xml:space="preserve">emission </w:t>
      </w:r>
      <w:r w:rsidRPr="00B72252">
        <w:rPr>
          <w:rFonts w:ascii="Arial" w:hAnsi="Arial" w:cs="Arial"/>
          <w:spacing w:val="-2"/>
          <w:sz w:val="20"/>
          <w:szCs w:val="20"/>
        </w:rPr>
        <w:t>points:</w:t>
      </w:r>
    </w:p>
    <w:p w14:paraId="48426C21" w14:textId="77777777" w:rsidR="00636E12" w:rsidRPr="00B72252" w:rsidRDefault="00636E12" w:rsidP="00636E12">
      <w:pPr>
        <w:pStyle w:val="ListParagraph"/>
        <w:widowControl w:val="0"/>
        <w:numPr>
          <w:ilvl w:val="1"/>
          <w:numId w:val="18"/>
        </w:numPr>
        <w:tabs>
          <w:tab w:val="left" w:pos="1459"/>
          <w:tab w:val="left" w:pos="1460"/>
        </w:tabs>
        <w:adjustRightInd/>
        <w:spacing w:before="175"/>
        <w:ind w:hanging="361"/>
        <w:contextualSpacing w:val="0"/>
        <w:rPr>
          <w:rFonts w:cs="Arial"/>
          <w:szCs w:val="20"/>
        </w:rPr>
      </w:pPr>
      <w:bookmarkStart w:id="0" w:name="_Hlk133841846"/>
      <w:bookmarkStart w:id="1" w:name="_Hlk133564583"/>
      <w:r w:rsidRPr="00B72252">
        <w:rPr>
          <w:rFonts w:cs="Arial"/>
          <w:szCs w:val="20"/>
        </w:rPr>
        <w:lastRenderedPageBreak/>
        <w:t>NCPSILOFUG</w:t>
      </w:r>
      <w:r w:rsidRPr="00B72252">
        <w:rPr>
          <w:rFonts w:cs="Arial"/>
          <w:spacing w:val="-5"/>
          <w:szCs w:val="20"/>
        </w:rPr>
        <w:t xml:space="preserve"> </w:t>
      </w:r>
      <w:r w:rsidRPr="00B72252">
        <w:rPr>
          <w:rFonts w:cs="Arial"/>
          <w:szCs w:val="20"/>
        </w:rPr>
        <w:t>authorized</w:t>
      </w:r>
      <w:r w:rsidRPr="00B72252">
        <w:rPr>
          <w:rFonts w:cs="Arial"/>
          <w:spacing w:val="-2"/>
          <w:szCs w:val="20"/>
        </w:rPr>
        <w:t xml:space="preserve"> </w:t>
      </w:r>
      <w:r w:rsidRPr="00B72252">
        <w:rPr>
          <w:rFonts w:cs="Arial"/>
          <w:szCs w:val="20"/>
        </w:rPr>
        <w:t>by</w:t>
      </w:r>
      <w:r w:rsidRPr="00B72252">
        <w:rPr>
          <w:rFonts w:cs="Arial"/>
          <w:spacing w:val="-2"/>
          <w:szCs w:val="20"/>
        </w:rPr>
        <w:t xml:space="preserve"> </w:t>
      </w:r>
      <w:r w:rsidRPr="00B72252">
        <w:rPr>
          <w:rFonts w:cs="Arial"/>
          <w:szCs w:val="20"/>
        </w:rPr>
        <w:t>PBR</w:t>
      </w:r>
      <w:r w:rsidRPr="00B72252">
        <w:rPr>
          <w:rFonts w:cs="Arial"/>
          <w:spacing w:val="-2"/>
          <w:szCs w:val="20"/>
        </w:rPr>
        <w:t xml:space="preserve"> </w:t>
      </w:r>
      <w:r w:rsidRPr="00B72252">
        <w:rPr>
          <w:rFonts w:cs="Arial"/>
          <w:szCs w:val="20"/>
        </w:rPr>
        <w:t>106.261</w:t>
      </w:r>
      <w:r w:rsidRPr="00B72252">
        <w:rPr>
          <w:rFonts w:cs="Arial"/>
          <w:spacing w:val="-2"/>
          <w:szCs w:val="20"/>
        </w:rPr>
        <w:t xml:space="preserve"> </w:t>
      </w:r>
      <w:r w:rsidRPr="00B72252">
        <w:rPr>
          <w:rFonts w:cs="Arial"/>
          <w:szCs w:val="20"/>
        </w:rPr>
        <w:t>registration</w:t>
      </w:r>
      <w:r w:rsidRPr="00B72252">
        <w:rPr>
          <w:rFonts w:cs="Arial"/>
          <w:spacing w:val="-2"/>
          <w:szCs w:val="20"/>
        </w:rPr>
        <w:t xml:space="preserve"> </w:t>
      </w:r>
      <w:r w:rsidRPr="00B72252">
        <w:rPr>
          <w:rFonts w:cs="Arial"/>
          <w:szCs w:val="20"/>
        </w:rPr>
        <w:t>No.</w:t>
      </w:r>
      <w:r w:rsidRPr="00B72252">
        <w:rPr>
          <w:rFonts w:cs="Arial"/>
          <w:spacing w:val="-1"/>
          <w:szCs w:val="20"/>
        </w:rPr>
        <w:t xml:space="preserve"> </w:t>
      </w:r>
      <w:r w:rsidRPr="00B72252">
        <w:rPr>
          <w:rFonts w:cs="Arial"/>
          <w:spacing w:val="-2"/>
          <w:szCs w:val="20"/>
        </w:rPr>
        <w:t>72016</w:t>
      </w:r>
    </w:p>
    <w:p w14:paraId="373AF818"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w:t>
      </w:r>
      <w:r w:rsidRPr="00B72252">
        <w:rPr>
          <w:rFonts w:cs="Arial"/>
          <w:spacing w:val="-2"/>
          <w:szCs w:val="20"/>
        </w:rPr>
        <w:t xml:space="preserve"> </w:t>
      </w:r>
      <w:r w:rsidRPr="00B72252">
        <w:rPr>
          <w:rFonts w:cs="Arial"/>
          <w:szCs w:val="20"/>
        </w:rPr>
        <w:t>ACSCRB</w:t>
      </w:r>
      <w:r w:rsidRPr="00B72252">
        <w:rPr>
          <w:rFonts w:cs="Arial"/>
          <w:spacing w:val="-1"/>
          <w:szCs w:val="20"/>
        </w:rPr>
        <w:t xml:space="preserve"> </w:t>
      </w:r>
      <w:r w:rsidRPr="00B72252">
        <w:rPr>
          <w:rFonts w:cs="Arial"/>
          <w:szCs w:val="20"/>
        </w:rPr>
        <w:t>authorized</w:t>
      </w:r>
      <w:r w:rsidRPr="00B72252">
        <w:rPr>
          <w:rFonts w:cs="Arial"/>
          <w:spacing w:val="-2"/>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106.375</w:t>
      </w:r>
    </w:p>
    <w:p w14:paraId="6C4C7CD8"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RMEP05</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106.183</w:t>
      </w:r>
    </w:p>
    <w:p w14:paraId="4D5E594A"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w:t>
      </w:r>
      <w:r w:rsidRPr="00B72252">
        <w:rPr>
          <w:rFonts w:cs="Arial"/>
          <w:spacing w:val="-1"/>
          <w:szCs w:val="20"/>
        </w:rPr>
        <w:t xml:space="preserve"> </w:t>
      </w:r>
      <w:r w:rsidRPr="00B72252">
        <w:rPr>
          <w:rFonts w:cs="Arial"/>
          <w:szCs w:val="20"/>
        </w:rPr>
        <w:t>EP06</w:t>
      </w:r>
      <w:r w:rsidRPr="00B72252">
        <w:rPr>
          <w:rFonts w:cs="Arial"/>
          <w:spacing w:val="-1"/>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106.472</w:t>
      </w:r>
    </w:p>
    <w:p w14:paraId="3794383C" w14:textId="77777777" w:rsidR="00636E12" w:rsidRPr="00B72252" w:rsidRDefault="00636E12" w:rsidP="00636E12">
      <w:pPr>
        <w:pStyle w:val="ListParagraph"/>
        <w:widowControl w:val="0"/>
        <w:numPr>
          <w:ilvl w:val="1"/>
          <w:numId w:val="18"/>
        </w:numPr>
        <w:tabs>
          <w:tab w:val="left" w:pos="1459"/>
          <w:tab w:val="left" w:pos="1460"/>
        </w:tabs>
        <w:adjustRightInd/>
        <w:spacing w:before="14"/>
        <w:ind w:hanging="361"/>
        <w:contextualSpacing w:val="0"/>
        <w:rPr>
          <w:rFonts w:cs="Arial"/>
          <w:szCs w:val="20"/>
        </w:rPr>
      </w:pPr>
      <w:r w:rsidRPr="00B72252">
        <w:rPr>
          <w:rFonts w:cs="Arial"/>
          <w:szCs w:val="20"/>
        </w:rPr>
        <w:t>RM</w:t>
      </w:r>
      <w:r w:rsidRPr="00B72252">
        <w:rPr>
          <w:rFonts w:cs="Arial"/>
          <w:spacing w:val="-2"/>
          <w:szCs w:val="20"/>
        </w:rPr>
        <w:t xml:space="preserve"> </w:t>
      </w:r>
      <w:r w:rsidRPr="00B72252">
        <w:rPr>
          <w:rFonts w:cs="Arial"/>
          <w:szCs w:val="20"/>
        </w:rPr>
        <w:t>CLTWRS</w:t>
      </w:r>
      <w:r w:rsidRPr="00B72252">
        <w:rPr>
          <w:rFonts w:cs="Arial"/>
          <w:spacing w:val="-1"/>
          <w:szCs w:val="20"/>
        </w:rPr>
        <w:t xml:space="preserve"> </w:t>
      </w:r>
      <w:r w:rsidRPr="00B72252">
        <w:rPr>
          <w:rFonts w:cs="Arial"/>
          <w:szCs w:val="20"/>
        </w:rPr>
        <w:t>authorized</w:t>
      </w:r>
      <w:r w:rsidRPr="00B72252">
        <w:rPr>
          <w:rFonts w:cs="Arial"/>
          <w:spacing w:val="-2"/>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106.371</w:t>
      </w:r>
    </w:p>
    <w:p w14:paraId="4C3E3328"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RMEP20</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106.262</w:t>
      </w:r>
    </w:p>
    <w:p w14:paraId="093D6BD0"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RMEP21</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106.262</w:t>
      </w:r>
    </w:p>
    <w:p w14:paraId="145DBBB8"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RMEP22</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106.262</w:t>
      </w:r>
    </w:p>
    <w:p w14:paraId="6AF73B50"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RMEP24</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106.183</w:t>
      </w:r>
    </w:p>
    <w:p w14:paraId="29AB521E" w14:textId="77777777" w:rsidR="00636E12" w:rsidRPr="00B72252" w:rsidRDefault="00636E12" w:rsidP="00636E12">
      <w:pPr>
        <w:pStyle w:val="ListParagraph"/>
        <w:widowControl w:val="0"/>
        <w:numPr>
          <w:ilvl w:val="1"/>
          <w:numId w:val="18"/>
        </w:numPr>
        <w:tabs>
          <w:tab w:val="left" w:pos="1459"/>
          <w:tab w:val="left" w:pos="1460"/>
        </w:tabs>
        <w:adjustRightInd/>
        <w:spacing w:before="14"/>
        <w:ind w:hanging="361"/>
        <w:contextualSpacing w:val="0"/>
        <w:rPr>
          <w:rFonts w:cs="Arial"/>
          <w:szCs w:val="20"/>
        </w:rPr>
      </w:pPr>
      <w:r w:rsidRPr="00B72252">
        <w:rPr>
          <w:rFonts w:cs="Arial"/>
          <w:szCs w:val="20"/>
        </w:rPr>
        <w:t>RMEP25</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106.183</w:t>
      </w:r>
    </w:p>
    <w:p w14:paraId="2C7A0BA9" w14:textId="77777777" w:rsidR="00636E12" w:rsidRPr="00B72252" w:rsidRDefault="00636E12" w:rsidP="00636E12">
      <w:pPr>
        <w:pStyle w:val="ListParagraph"/>
        <w:widowControl w:val="0"/>
        <w:numPr>
          <w:ilvl w:val="1"/>
          <w:numId w:val="18"/>
        </w:numPr>
        <w:tabs>
          <w:tab w:val="left" w:pos="1459"/>
          <w:tab w:val="left" w:pos="1460"/>
        </w:tabs>
        <w:adjustRightInd/>
        <w:spacing w:before="10"/>
        <w:ind w:hanging="361"/>
        <w:contextualSpacing w:val="0"/>
        <w:rPr>
          <w:rFonts w:cs="Arial"/>
          <w:szCs w:val="20"/>
        </w:rPr>
      </w:pPr>
      <w:r w:rsidRPr="00B72252">
        <w:rPr>
          <w:rFonts w:cs="Arial"/>
          <w:szCs w:val="20"/>
        </w:rPr>
        <w:t>CCR-31</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106.472</w:t>
      </w:r>
    </w:p>
    <w:p w14:paraId="611E262A"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RTT</w:t>
      </w:r>
      <w:r w:rsidRPr="00B72252">
        <w:rPr>
          <w:rFonts w:cs="Arial"/>
          <w:spacing w:val="-3"/>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106.472</w:t>
      </w:r>
    </w:p>
    <w:p w14:paraId="5CAAF5F1" w14:textId="081A81AE" w:rsidR="00636E12" w:rsidRPr="00B72252" w:rsidRDefault="00636E12" w:rsidP="00636E12">
      <w:pPr>
        <w:pStyle w:val="ListParagraph"/>
        <w:widowControl w:val="0"/>
        <w:numPr>
          <w:ilvl w:val="1"/>
          <w:numId w:val="18"/>
        </w:numPr>
        <w:tabs>
          <w:tab w:val="left" w:pos="1459"/>
          <w:tab w:val="left" w:pos="1460"/>
        </w:tabs>
        <w:adjustRightInd/>
        <w:spacing w:before="14"/>
        <w:ind w:hanging="361"/>
        <w:contextualSpacing w:val="0"/>
        <w:rPr>
          <w:rFonts w:cs="Arial"/>
          <w:szCs w:val="20"/>
        </w:rPr>
      </w:pPr>
      <w:r w:rsidRPr="00B72252">
        <w:rPr>
          <w:rFonts w:cs="Arial"/>
          <w:szCs w:val="20"/>
        </w:rPr>
        <w:t>UOT</w:t>
      </w:r>
      <w:r w:rsidR="000E5CDB">
        <w:rPr>
          <w:rFonts w:cs="Arial"/>
          <w:szCs w:val="20"/>
        </w:rPr>
        <w:t xml:space="preserve"> </w:t>
      </w:r>
      <w:r w:rsidRPr="00B72252">
        <w:rPr>
          <w:rFonts w:cs="Arial"/>
          <w:szCs w:val="20"/>
        </w:rPr>
        <w:t>authorized</w:t>
      </w:r>
      <w:r w:rsidRPr="00B72252">
        <w:rPr>
          <w:rFonts w:cs="Arial"/>
          <w:spacing w:val="-2"/>
          <w:szCs w:val="20"/>
        </w:rPr>
        <w:t xml:space="preserve"> </w:t>
      </w:r>
      <w:r w:rsidRPr="00B72252">
        <w:rPr>
          <w:rFonts w:cs="Arial"/>
          <w:szCs w:val="20"/>
        </w:rPr>
        <w:t>by</w:t>
      </w:r>
      <w:r w:rsidRPr="00B72252">
        <w:rPr>
          <w:rFonts w:cs="Arial"/>
          <w:spacing w:val="-2"/>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106.472</w:t>
      </w:r>
    </w:p>
    <w:p w14:paraId="25AA12D7"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RFLF01</w:t>
      </w:r>
      <w:r w:rsidRPr="00B72252">
        <w:rPr>
          <w:rFonts w:cs="Arial"/>
          <w:spacing w:val="-1"/>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106.311</w:t>
      </w:r>
    </w:p>
    <w:p w14:paraId="08A1985A"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GRPFL</w:t>
      </w:r>
      <w:r w:rsidRPr="00B72252">
        <w:rPr>
          <w:rFonts w:cs="Arial"/>
          <w:spacing w:val="-2"/>
          <w:szCs w:val="20"/>
        </w:rPr>
        <w:t xml:space="preserve"> </w:t>
      </w:r>
      <w:r w:rsidRPr="00B72252">
        <w:rPr>
          <w:rFonts w:cs="Arial"/>
          <w:szCs w:val="20"/>
        </w:rPr>
        <w:t>authorized</w:t>
      </w:r>
      <w:r w:rsidRPr="00B72252">
        <w:rPr>
          <w:rFonts w:cs="Arial"/>
          <w:spacing w:val="-1"/>
          <w:szCs w:val="20"/>
        </w:rPr>
        <w:t xml:space="preserve"> </w:t>
      </w:r>
      <w:r w:rsidRPr="00B72252">
        <w:rPr>
          <w:rFonts w:cs="Arial"/>
          <w:szCs w:val="20"/>
        </w:rPr>
        <w:t>by</w:t>
      </w:r>
      <w:r w:rsidRPr="00B72252">
        <w:rPr>
          <w:rFonts w:cs="Arial"/>
          <w:spacing w:val="-1"/>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106.473</w:t>
      </w:r>
    </w:p>
    <w:p w14:paraId="3A5E6ACB" w14:textId="77777777" w:rsidR="00636E12" w:rsidRPr="00B72252" w:rsidRDefault="00636E12" w:rsidP="00636E12">
      <w:pPr>
        <w:pStyle w:val="ListParagraph"/>
        <w:widowControl w:val="0"/>
        <w:numPr>
          <w:ilvl w:val="1"/>
          <w:numId w:val="18"/>
        </w:numPr>
        <w:tabs>
          <w:tab w:val="left" w:pos="1459"/>
          <w:tab w:val="left" w:pos="1460"/>
        </w:tabs>
        <w:adjustRightInd/>
        <w:spacing w:before="13"/>
        <w:ind w:hanging="361"/>
        <w:contextualSpacing w:val="0"/>
        <w:rPr>
          <w:rFonts w:cs="Arial"/>
          <w:szCs w:val="20"/>
        </w:rPr>
      </w:pPr>
      <w:r w:rsidRPr="00B72252">
        <w:rPr>
          <w:rFonts w:cs="Arial"/>
          <w:szCs w:val="20"/>
        </w:rPr>
        <w:t>RMGRPMSS</w:t>
      </w:r>
      <w:r w:rsidRPr="00B72252">
        <w:rPr>
          <w:rFonts w:cs="Arial"/>
          <w:spacing w:val="-2"/>
          <w:szCs w:val="20"/>
        </w:rPr>
        <w:t xml:space="preserve"> </w:t>
      </w:r>
      <w:r w:rsidRPr="00B72252">
        <w:rPr>
          <w:rFonts w:cs="Arial"/>
          <w:szCs w:val="20"/>
        </w:rPr>
        <w:t>authorized</w:t>
      </w:r>
      <w:r w:rsidRPr="00B72252">
        <w:rPr>
          <w:rFonts w:cs="Arial"/>
          <w:spacing w:val="-2"/>
          <w:szCs w:val="20"/>
        </w:rPr>
        <w:t xml:space="preserve"> </w:t>
      </w:r>
      <w:r w:rsidRPr="00B72252">
        <w:rPr>
          <w:rFonts w:cs="Arial"/>
          <w:szCs w:val="20"/>
        </w:rPr>
        <w:t>by</w:t>
      </w:r>
      <w:r w:rsidRPr="00B72252">
        <w:rPr>
          <w:rFonts w:cs="Arial"/>
          <w:spacing w:val="-2"/>
          <w:szCs w:val="20"/>
        </w:rPr>
        <w:t xml:space="preserve"> </w:t>
      </w:r>
      <w:r w:rsidRPr="00B72252">
        <w:rPr>
          <w:rFonts w:cs="Arial"/>
          <w:szCs w:val="20"/>
        </w:rPr>
        <w:t>PBR</w:t>
      </w:r>
      <w:r w:rsidRPr="00B72252">
        <w:rPr>
          <w:rFonts w:cs="Arial"/>
          <w:spacing w:val="-1"/>
          <w:szCs w:val="20"/>
        </w:rPr>
        <w:t xml:space="preserve"> </w:t>
      </w:r>
      <w:r w:rsidRPr="00B72252">
        <w:rPr>
          <w:rFonts w:cs="Arial"/>
          <w:spacing w:val="-2"/>
          <w:szCs w:val="20"/>
        </w:rPr>
        <w:t>106.263</w:t>
      </w:r>
      <w:bookmarkEnd w:id="0"/>
    </w:p>
    <w:bookmarkEnd w:id="1"/>
    <w:p w14:paraId="5333CD21" w14:textId="77777777" w:rsidR="00636E12" w:rsidRPr="00B72252" w:rsidRDefault="00636E12" w:rsidP="00636E12">
      <w:pPr>
        <w:pStyle w:val="BodyText"/>
        <w:rPr>
          <w:rFonts w:ascii="Arial" w:hAnsi="Arial" w:cs="Arial"/>
          <w:sz w:val="20"/>
          <w:szCs w:val="20"/>
        </w:rPr>
      </w:pPr>
    </w:p>
    <w:p w14:paraId="24B4FBDD" w14:textId="6722F4EB" w:rsidR="00636E12" w:rsidRPr="00B72252" w:rsidRDefault="00636E12" w:rsidP="00094B6E">
      <w:pPr>
        <w:pStyle w:val="BodyText"/>
        <w:spacing w:before="79"/>
        <w:ind w:right="111"/>
        <w:rPr>
          <w:rFonts w:ascii="Arial" w:hAnsi="Arial" w:cs="Arial"/>
          <w:sz w:val="20"/>
          <w:szCs w:val="20"/>
        </w:rPr>
      </w:pPr>
      <w:r w:rsidRPr="00B72252">
        <w:rPr>
          <w:rFonts w:ascii="Arial" w:hAnsi="Arial" w:cs="Arial"/>
          <w:sz w:val="20"/>
          <w:szCs w:val="20"/>
        </w:rPr>
        <w:t>The proposed title V permit fails to meet the requirements of CAA § 504(a) requiring that “(e)ach permit</w:t>
      </w:r>
      <w:r w:rsidRPr="00B72252">
        <w:rPr>
          <w:rFonts w:ascii="Arial" w:hAnsi="Arial" w:cs="Arial"/>
          <w:spacing w:val="-3"/>
          <w:sz w:val="20"/>
          <w:szCs w:val="20"/>
        </w:rPr>
        <w:t xml:space="preserve"> </w:t>
      </w:r>
      <w:r w:rsidRPr="00B72252">
        <w:rPr>
          <w:rFonts w:ascii="Arial" w:hAnsi="Arial" w:cs="Arial"/>
          <w:sz w:val="20"/>
          <w:szCs w:val="20"/>
        </w:rPr>
        <w:t>issued</w:t>
      </w:r>
      <w:r w:rsidRPr="00B72252">
        <w:rPr>
          <w:rFonts w:ascii="Arial" w:hAnsi="Arial" w:cs="Arial"/>
          <w:spacing w:val="-3"/>
          <w:sz w:val="20"/>
          <w:szCs w:val="20"/>
        </w:rPr>
        <w:t xml:space="preserve"> </w:t>
      </w:r>
      <w:r w:rsidRPr="00B72252">
        <w:rPr>
          <w:rFonts w:ascii="Arial" w:hAnsi="Arial" w:cs="Arial"/>
          <w:sz w:val="20"/>
          <w:szCs w:val="20"/>
        </w:rPr>
        <w:t>under</w:t>
      </w:r>
      <w:r w:rsidRPr="00B72252">
        <w:rPr>
          <w:rFonts w:ascii="Arial" w:hAnsi="Arial" w:cs="Arial"/>
          <w:spacing w:val="-4"/>
          <w:sz w:val="20"/>
          <w:szCs w:val="20"/>
        </w:rPr>
        <w:t xml:space="preserve"> </w:t>
      </w:r>
      <w:r w:rsidRPr="00B72252">
        <w:rPr>
          <w:rFonts w:ascii="Arial" w:hAnsi="Arial" w:cs="Arial"/>
          <w:sz w:val="20"/>
          <w:szCs w:val="20"/>
        </w:rPr>
        <w:t>this</w:t>
      </w:r>
      <w:r w:rsidRPr="00B72252">
        <w:rPr>
          <w:rFonts w:ascii="Arial" w:hAnsi="Arial" w:cs="Arial"/>
          <w:spacing w:val="-3"/>
          <w:sz w:val="20"/>
          <w:szCs w:val="20"/>
        </w:rPr>
        <w:t xml:space="preserve"> </w:t>
      </w:r>
      <w:r w:rsidRPr="00B72252">
        <w:rPr>
          <w:rFonts w:ascii="Arial" w:hAnsi="Arial" w:cs="Arial"/>
          <w:sz w:val="20"/>
          <w:szCs w:val="20"/>
        </w:rPr>
        <w:t>subchapter</w:t>
      </w:r>
      <w:r w:rsidRPr="00B72252">
        <w:rPr>
          <w:rFonts w:ascii="Arial" w:hAnsi="Arial" w:cs="Arial"/>
          <w:spacing w:val="-4"/>
          <w:sz w:val="20"/>
          <w:szCs w:val="20"/>
        </w:rPr>
        <w:t xml:space="preserve"> </w:t>
      </w:r>
      <w:r w:rsidRPr="00B72252">
        <w:rPr>
          <w:rFonts w:ascii="Arial" w:hAnsi="Arial" w:cs="Arial"/>
          <w:sz w:val="20"/>
          <w:szCs w:val="20"/>
        </w:rPr>
        <w:t>shall</w:t>
      </w:r>
      <w:r w:rsidRPr="00B72252">
        <w:rPr>
          <w:rFonts w:ascii="Arial" w:hAnsi="Arial" w:cs="Arial"/>
          <w:spacing w:val="-3"/>
          <w:sz w:val="20"/>
          <w:szCs w:val="20"/>
        </w:rPr>
        <w:t xml:space="preserve"> </w:t>
      </w:r>
      <w:r w:rsidRPr="00B72252">
        <w:rPr>
          <w:rFonts w:ascii="Arial" w:hAnsi="Arial" w:cs="Arial"/>
          <w:sz w:val="20"/>
          <w:szCs w:val="20"/>
        </w:rPr>
        <w:t>include</w:t>
      </w:r>
      <w:r w:rsidRPr="00B72252">
        <w:rPr>
          <w:rFonts w:ascii="Arial" w:hAnsi="Arial" w:cs="Arial"/>
          <w:spacing w:val="-4"/>
          <w:sz w:val="20"/>
          <w:szCs w:val="20"/>
        </w:rPr>
        <w:t xml:space="preserve"> </w:t>
      </w:r>
      <w:r w:rsidRPr="00B72252">
        <w:rPr>
          <w:rFonts w:ascii="Arial" w:hAnsi="Arial" w:cs="Arial"/>
          <w:sz w:val="20"/>
          <w:szCs w:val="20"/>
        </w:rPr>
        <w:t>enforceable</w:t>
      </w:r>
      <w:r w:rsidRPr="00B72252">
        <w:rPr>
          <w:rFonts w:ascii="Arial" w:hAnsi="Arial" w:cs="Arial"/>
          <w:spacing w:val="-4"/>
          <w:sz w:val="20"/>
          <w:szCs w:val="20"/>
        </w:rPr>
        <w:t xml:space="preserve"> </w:t>
      </w:r>
      <w:r w:rsidRPr="00B72252">
        <w:rPr>
          <w:rFonts w:ascii="Arial" w:hAnsi="Arial" w:cs="Arial"/>
          <w:sz w:val="20"/>
          <w:szCs w:val="20"/>
        </w:rPr>
        <w:t>emission</w:t>
      </w:r>
      <w:r w:rsidRPr="00B72252">
        <w:rPr>
          <w:rFonts w:ascii="Arial" w:hAnsi="Arial" w:cs="Arial"/>
          <w:spacing w:val="-3"/>
          <w:sz w:val="20"/>
          <w:szCs w:val="20"/>
        </w:rPr>
        <w:t xml:space="preserve"> </w:t>
      </w:r>
      <w:r w:rsidRPr="00B72252">
        <w:rPr>
          <w:rFonts w:ascii="Arial" w:hAnsi="Arial" w:cs="Arial"/>
          <w:sz w:val="20"/>
          <w:szCs w:val="20"/>
        </w:rPr>
        <w:t>limitations</w:t>
      </w:r>
      <w:r w:rsidRPr="00B72252">
        <w:rPr>
          <w:rFonts w:ascii="Arial" w:hAnsi="Arial" w:cs="Arial"/>
          <w:spacing w:val="-3"/>
          <w:sz w:val="20"/>
          <w:szCs w:val="20"/>
        </w:rPr>
        <w:t xml:space="preserve"> </w:t>
      </w:r>
      <w:r w:rsidRPr="00B72252">
        <w:rPr>
          <w:rFonts w:ascii="Arial" w:hAnsi="Arial" w:cs="Arial"/>
          <w:sz w:val="20"/>
          <w:szCs w:val="20"/>
        </w:rPr>
        <w:t>and</w:t>
      </w:r>
      <w:r w:rsidRPr="00B72252">
        <w:rPr>
          <w:rFonts w:ascii="Arial" w:hAnsi="Arial" w:cs="Arial"/>
          <w:spacing w:val="-3"/>
          <w:sz w:val="20"/>
          <w:szCs w:val="20"/>
        </w:rPr>
        <w:t xml:space="preserve"> </w:t>
      </w:r>
      <w:r w:rsidRPr="00B72252">
        <w:rPr>
          <w:rFonts w:ascii="Arial" w:hAnsi="Arial" w:cs="Arial"/>
          <w:sz w:val="20"/>
          <w:szCs w:val="20"/>
        </w:rPr>
        <w:t>standards,</w:t>
      </w:r>
      <w:r w:rsidRPr="00B72252">
        <w:rPr>
          <w:rFonts w:ascii="Arial" w:hAnsi="Arial" w:cs="Arial"/>
          <w:spacing w:val="-3"/>
          <w:sz w:val="20"/>
          <w:szCs w:val="20"/>
        </w:rPr>
        <w:t xml:space="preserve"> </w:t>
      </w:r>
      <w:r w:rsidRPr="00B72252">
        <w:rPr>
          <w:rFonts w:ascii="Arial" w:hAnsi="Arial" w:cs="Arial"/>
          <w:sz w:val="20"/>
          <w:szCs w:val="20"/>
        </w:rPr>
        <w:t>.</w:t>
      </w:r>
      <w:r w:rsidRPr="00B72252">
        <w:rPr>
          <w:rFonts w:ascii="Arial" w:hAnsi="Arial" w:cs="Arial"/>
          <w:spacing w:val="-3"/>
          <w:sz w:val="20"/>
          <w:szCs w:val="20"/>
        </w:rPr>
        <w:t xml:space="preserve"> </w:t>
      </w:r>
      <w:r w:rsidRPr="00B72252">
        <w:rPr>
          <w:rFonts w:ascii="Arial" w:hAnsi="Arial" w:cs="Arial"/>
          <w:sz w:val="20"/>
          <w:szCs w:val="20"/>
        </w:rPr>
        <w:t>.</w:t>
      </w:r>
      <w:r w:rsidRPr="00B72252">
        <w:rPr>
          <w:rFonts w:ascii="Arial" w:hAnsi="Arial" w:cs="Arial"/>
          <w:spacing w:val="-3"/>
          <w:sz w:val="20"/>
          <w:szCs w:val="20"/>
        </w:rPr>
        <w:t xml:space="preserve"> </w:t>
      </w:r>
      <w:r w:rsidRPr="00B72252">
        <w:rPr>
          <w:rFonts w:ascii="Arial" w:hAnsi="Arial" w:cs="Arial"/>
          <w:sz w:val="20"/>
          <w:szCs w:val="20"/>
        </w:rPr>
        <w:t>. and</w:t>
      </w:r>
      <w:r w:rsidRPr="00B72252">
        <w:rPr>
          <w:rFonts w:ascii="Arial" w:hAnsi="Arial" w:cs="Arial"/>
          <w:spacing w:val="-3"/>
          <w:sz w:val="20"/>
          <w:szCs w:val="20"/>
        </w:rPr>
        <w:t xml:space="preserve"> </w:t>
      </w:r>
      <w:r w:rsidRPr="00B72252">
        <w:rPr>
          <w:rFonts w:ascii="Arial" w:hAnsi="Arial" w:cs="Arial"/>
          <w:sz w:val="20"/>
          <w:szCs w:val="20"/>
        </w:rPr>
        <w:t>such</w:t>
      </w:r>
      <w:r w:rsidRPr="00B72252">
        <w:rPr>
          <w:rFonts w:ascii="Arial" w:hAnsi="Arial" w:cs="Arial"/>
          <w:spacing w:val="-3"/>
          <w:sz w:val="20"/>
          <w:szCs w:val="20"/>
        </w:rPr>
        <w:t xml:space="preserve"> </w:t>
      </w:r>
      <w:r w:rsidRPr="00B72252">
        <w:rPr>
          <w:rFonts w:ascii="Arial" w:hAnsi="Arial" w:cs="Arial"/>
          <w:sz w:val="20"/>
          <w:szCs w:val="20"/>
        </w:rPr>
        <w:t>other</w:t>
      </w:r>
      <w:r w:rsidRPr="00B72252">
        <w:rPr>
          <w:rFonts w:ascii="Arial" w:hAnsi="Arial" w:cs="Arial"/>
          <w:spacing w:val="-2"/>
          <w:sz w:val="20"/>
          <w:szCs w:val="20"/>
        </w:rPr>
        <w:t xml:space="preserve"> </w:t>
      </w:r>
      <w:r w:rsidRPr="00B72252">
        <w:rPr>
          <w:rFonts w:ascii="Arial" w:hAnsi="Arial" w:cs="Arial"/>
          <w:sz w:val="20"/>
          <w:szCs w:val="20"/>
        </w:rPr>
        <w:t>conditions</w:t>
      </w:r>
      <w:r w:rsidRPr="00B72252">
        <w:rPr>
          <w:rFonts w:ascii="Arial" w:hAnsi="Arial" w:cs="Arial"/>
          <w:spacing w:val="-3"/>
          <w:sz w:val="20"/>
          <w:szCs w:val="20"/>
        </w:rPr>
        <w:t xml:space="preserve"> </w:t>
      </w:r>
      <w:r w:rsidRPr="00B72252">
        <w:rPr>
          <w:rFonts w:ascii="Arial" w:hAnsi="Arial" w:cs="Arial"/>
          <w:sz w:val="20"/>
          <w:szCs w:val="20"/>
        </w:rPr>
        <w:t>as</w:t>
      </w:r>
      <w:r w:rsidRPr="00B72252">
        <w:rPr>
          <w:rFonts w:ascii="Arial" w:hAnsi="Arial" w:cs="Arial"/>
          <w:spacing w:val="-3"/>
          <w:sz w:val="20"/>
          <w:szCs w:val="20"/>
        </w:rPr>
        <w:t xml:space="preserve"> </w:t>
      </w:r>
      <w:r w:rsidRPr="00B72252">
        <w:rPr>
          <w:rFonts w:ascii="Arial" w:hAnsi="Arial" w:cs="Arial"/>
          <w:sz w:val="20"/>
          <w:szCs w:val="20"/>
        </w:rPr>
        <w:t>are</w:t>
      </w:r>
      <w:r w:rsidRPr="00B72252">
        <w:rPr>
          <w:rFonts w:ascii="Arial" w:hAnsi="Arial" w:cs="Arial"/>
          <w:spacing w:val="-4"/>
          <w:sz w:val="20"/>
          <w:szCs w:val="20"/>
        </w:rPr>
        <w:t xml:space="preserve"> </w:t>
      </w:r>
      <w:r w:rsidRPr="00B72252">
        <w:rPr>
          <w:rFonts w:ascii="Arial" w:hAnsi="Arial" w:cs="Arial"/>
          <w:sz w:val="20"/>
          <w:szCs w:val="20"/>
        </w:rPr>
        <w:t>necessary</w:t>
      </w:r>
      <w:r w:rsidRPr="00B72252">
        <w:rPr>
          <w:rFonts w:ascii="Arial" w:hAnsi="Arial" w:cs="Arial"/>
          <w:spacing w:val="-3"/>
          <w:sz w:val="20"/>
          <w:szCs w:val="20"/>
        </w:rPr>
        <w:t xml:space="preserve"> </w:t>
      </w:r>
      <w:r w:rsidRPr="00B72252">
        <w:rPr>
          <w:rFonts w:ascii="Arial" w:hAnsi="Arial" w:cs="Arial"/>
          <w:sz w:val="20"/>
          <w:szCs w:val="20"/>
        </w:rPr>
        <w:t>to</w:t>
      </w:r>
      <w:r w:rsidRPr="00B72252">
        <w:rPr>
          <w:rFonts w:ascii="Arial" w:hAnsi="Arial" w:cs="Arial"/>
          <w:spacing w:val="-3"/>
          <w:sz w:val="20"/>
          <w:szCs w:val="20"/>
        </w:rPr>
        <w:t xml:space="preserve"> </w:t>
      </w:r>
      <w:r w:rsidRPr="00B72252">
        <w:rPr>
          <w:rFonts w:ascii="Arial" w:hAnsi="Arial" w:cs="Arial"/>
          <w:sz w:val="20"/>
          <w:szCs w:val="20"/>
        </w:rPr>
        <w:t>assure</w:t>
      </w:r>
      <w:r w:rsidRPr="00B72252">
        <w:rPr>
          <w:rFonts w:ascii="Arial" w:hAnsi="Arial" w:cs="Arial"/>
          <w:spacing w:val="-4"/>
          <w:sz w:val="20"/>
          <w:szCs w:val="20"/>
        </w:rPr>
        <w:t xml:space="preserve"> </w:t>
      </w:r>
      <w:r w:rsidRPr="00B72252">
        <w:rPr>
          <w:rFonts w:ascii="Arial" w:hAnsi="Arial" w:cs="Arial"/>
          <w:sz w:val="20"/>
          <w:szCs w:val="20"/>
        </w:rPr>
        <w:t>compliance</w:t>
      </w:r>
      <w:r w:rsidRPr="00B72252">
        <w:rPr>
          <w:rFonts w:ascii="Arial" w:hAnsi="Arial" w:cs="Arial"/>
          <w:spacing w:val="-4"/>
          <w:sz w:val="20"/>
          <w:szCs w:val="20"/>
        </w:rPr>
        <w:t xml:space="preserve"> </w:t>
      </w:r>
      <w:r w:rsidRPr="00B72252">
        <w:rPr>
          <w:rFonts w:ascii="Arial" w:hAnsi="Arial" w:cs="Arial"/>
          <w:sz w:val="20"/>
          <w:szCs w:val="20"/>
        </w:rPr>
        <w:t>with</w:t>
      </w:r>
      <w:r w:rsidRPr="00B72252">
        <w:rPr>
          <w:rFonts w:ascii="Arial" w:hAnsi="Arial" w:cs="Arial"/>
          <w:spacing w:val="-3"/>
          <w:sz w:val="20"/>
          <w:szCs w:val="20"/>
        </w:rPr>
        <w:t xml:space="preserve"> </w:t>
      </w:r>
      <w:r w:rsidRPr="00B72252">
        <w:rPr>
          <w:rFonts w:ascii="Arial" w:hAnsi="Arial" w:cs="Arial"/>
          <w:sz w:val="20"/>
          <w:szCs w:val="20"/>
        </w:rPr>
        <w:t>applicable</w:t>
      </w:r>
      <w:r w:rsidRPr="00B72252">
        <w:rPr>
          <w:rFonts w:ascii="Arial" w:hAnsi="Arial" w:cs="Arial"/>
          <w:spacing w:val="-4"/>
          <w:sz w:val="20"/>
          <w:szCs w:val="20"/>
        </w:rPr>
        <w:t xml:space="preserve"> </w:t>
      </w:r>
      <w:r w:rsidRPr="00B72252">
        <w:rPr>
          <w:rFonts w:ascii="Arial" w:hAnsi="Arial" w:cs="Arial"/>
          <w:sz w:val="20"/>
          <w:szCs w:val="20"/>
        </w:rPr>
        <w:t>requirements</w:t>
      </w:r>
      <w:r w:rsidRPr="00B72252">
        <w:rPr>
          <w:rFonts w:ascii="Arial" w:hAnsi="Arial" w:cs="Arial"/>
          <w:spacing w:val="-3"/>
          <w:sz w:val="20"/>
          <w:szCs w:val="20"/>
        </w:rPr>
        <w:t xml:space="preserve"> </w:t>
      </w:r>
      <w:r w:rsidRPr="00B72252">
        <w:rPr>
          <w:rFonts w:ascii="Arial" w:hAnsi="Arial" w:cs="Arial"/>
          <w:sz w:val="20"/>
          <w:szCs w:val="20"/>
        </w:rPr>
        <w:t>of</w:t>
      </w:r>
      <w:r w:rsidRPr="00B72252">
        <w:rPr>
          <w:rFonts w:ascii="Arial" w:hAnsi="Arial" w:cs="Arial"/>
          <w:spacing w:val="-4"/>
          <w:sz w:val="20"/>
          <w:szCs w:val="20"/>
        </w:rPr>
        <w:t xml:space="preserve"> </w:t>
      </w:r>
      <w:r w:rsidRPr="00B72252">
        <w:rPr>
          <w:rFonts w:ascii="Arial" w:hAnsi="Arial" w:cs="Arial"/>
          <w:sz w:val="20"/>
          <w:szCs w:val="20"/>
        </w:rPr>
        <w:t>this chapter, including the requirements of the applicable implementation plan.” TCEQ’s definition of</w:t>
      </w:r>
      <w:r>
        <w:rPr>
          <w:rFonts w:ascii="Arial" w:hAnsi="Arial" w:cs="Arial"/>
          <w:sz w:val="20"/>
          <w:szCs w:val="20"/>
        </w:rPr>
        <w:t xml:space="preserve"> </w:t>
      </w:r>
      <w:r w:rsidR="00094B6E" w:rsidRPr="00B72252">
        <w:rPr>
          <w:rFonts w:ascii="Arial" w:hAnsi="Arial" w:cs="Arial"/>
          <w:sz w:val="20"/>
          <w:szCs w:val="20"/>
        </w:rPr>
        <w:t>“</w:t>
      </w:r>
      <w:r w:rsidR="00094B6E">
        <w:rPr>
          <w:rFonts w:ascii="Arial" w:hAnsi="Arial" w:cs="Arial"/>
          <w:sz w:val="20"/>
          <w:szCs w:val="20"/>
        </w:rPr>
        <w:t>applicable</w:t>
      </w:r>
      <w:r w:rsidRPr="00B72252">
        <w:rPr>
          <w:rFonts w:ascii="Arial" w:hAnsi="Arial" w:cs="Arial"/>
          <w:sz w:val="20"/>
          <w:szCs w:val="20"/>
        </w:rPr>
        <w:t xml:space="preserve"> requirement” (found at 30 TAC § 122.10(2)) includes an extensive list of federal and state provisions. Minor NSR permits, including standard permits and permits by rule (PBRs) are included</w:t>
      </w:r>
      <w:r w:rsidRPr="00B72252">
        <w:rPr>
          <w:rFonts w:ascii="Arial" w:hAnsi="Arial" w:cs="Arial"/>
          <w:spacing w:val="-3"/>
          <w:sz w:val="20"/>
          <w:szCs w:val="20"/>
        </w:rPr>
        <w:t xml:space="preserve"> </w:t>
      </w:r>
      <w:r w:rsidRPr="00B72252">
        <w:rPr>
          <w:rFonts w:ascii="Arial" w:hAnsi="Arial" w:cs="Arial"/>
          <w:sz w:val="20"/>
          <w:szCs w:val="20"/>
        </w:rPr>
        <w:t>in</w:t>
      </w:r>
      <w:r w:rsidRPr="00B72252">
        <w:rPr>
          <w:rFonts w:ascii="Arial" w:hAnsi="Arial" w:cs="Arial"/>
          <w:spacing w:val="-3"/>
          <w:sz w:val="20"/>
          <w:szCs w:val="20"/>
        </w:rPr>
        <w:t xml:space="preserve"> </w:t>
      </w:r>
      <w:r w:rsidRPr="00B72252">
        <w:rPr>
          <w:rFonts w:ascii="Arial" w:hAnsi="Arial" w:cs="Arial"/>
          <w:sz w:val="20"/>
          <w:szCs w:val="20"/>
        </w:rPr>
        <w:t>TCEQ’s</w:t>
      </w:r>
      <w:r w:rsidRPr="00B72252">
        <w:rPr>
          <w:rFonts w:ascii="Arial" w:hAnsi="Arial" w:cs="Arial"/>
          <w:spacing w:val="-3"/>
          <w:sz w:val="20"/>
          <w:szCs w:val="20"/>
        </w:rPr>
        <w:t xml:space="preserve"> </w:t>
      </w:r>
      <w:r w:rsidRPr="00B72252">
        <w:rPr>
          <w:rFonts w:ascii="Arial" w:hAnsi="Arial" w:cs="Arial"/>
          <w:sz w:val="20"/>
          <w:szCs w:val="20"/>
        </w:rPr>
        <w:t>definition</w:t>
      </w:r>
      <w:r w:rsidRPr="00B72252">
        <w:rPr>
          <w:rFonts w:ascii="Arial" w:hAnsi="Arial" w:cs="Arial"/>
          <w:spacing w:val="-3"/>
          <w:sz w:val="20"/>
          <w:szCs w:val="20"/>
        </w:rPr>
        <w:t xml:space="preserve"> </w:t>
      </w:r>
      <w:r w:rsidRPr="00B72252">
        <w:rPr>
          <w:rFonts w:ascii="Arial" w:hAnsi="Arial" w:cs="Arial"/>
          <w:sz w:val="20"/>
          <w:szCs w:val="20"/>
        </w:rPr>
        <w:t>of</w:t>
      </w:r>
      <w:r w:rsidRPr="00B72252">
        <w:rPr>
          <w:rFonts w:ascii="Arial" w:hAnsi="Arial" w:cs="Arial"/>
          <w:spacing w:val="-4"/>
          <w:sz w:val="20"/>
          <w:szCs w:val="20"/>
        </w:rPr>
        <w:t xml:space="preserve"> </w:t>
      </w:r>
      <w:r w:rsidRPr="00B72252">
        <w:rPr>
          <w:rFonts w:ascii="Arial" w:hAnsi="Arial" w:cs="Arial"/>
          <w:sz w:val="20"/>
          <w:szCs w:val="20"/>
        </w:rPr>
        <w:t>applicable</w:t>
      </w:r>
      <w:r w:rsidRPr="00B72252">
        <w:rPr>
          <w:rFonts w:ascii="Arial" w:hAnsi="Arial" w:cs="Arial"/>
          <w:spacing w:val="-4"/>
          <w:sz w:val="20"/>
          <w:szCs w:val="20"/>
        </w:rPr>
        <w:t xml:space="preserve"> </w:t>
      </w:r>
      <w:r w:rsidRPr="00B72252">
        <w:rPr>
          <w:rFonts w:ascii="Arial" w:hAnsi="Arial" w:cs="Arial"/>
          <w:sz w:val="20"/>
          <w:szCs w:val="20"/>
        </w:rPr>
        <w:t>requirement</w:t>
      </w:r>
      <w:r w:rsidRPr="00B72252">
        <w:rPr>
          <w:rFonts w:ascii="Arial" w:hAnsi="Arial" w:cs="Arial"/>
          <w:spacing w:val="-3"/>
          <w:sz w:val="20"/>
          <w:szCs w:val="20"/>
        </w:rPr>
        <w:t xml:space="preserve"> </w:t>
      </w:r>
      <w:r w:rsidRPr="00B72252">
        <w:rPr>
          <w:rFonts w:ascii="Arial" w:hAnsi="Arial" w:cs="Arial"/>
          <w:sz w:val="20"/>
          <w:szCs w:val="20"/>
        </w:rPr>
        <w:t>and</w:t>
      </w:r>
      <w:r w:rsidRPr="00B72252">
        <w:rPr>
          <w:rFonts w:ascii="Arial" w:hAnsi="Arial" w:cs="Arial"/>
          <w:spacing w:val="-3"/>
          <w:sz w:val="20"/>
          <w:szCs w:val="20"/>
        </w:rPr>
        <w:t xml:space="preserve"> </w:t>
      </w:r>
      <w:r w:rsidRPr="00B72252">
        <w:rPr>
          <w:rFonts w:ascii="Arial" w:hAnsi="Arial" w:cs="Arial"/>
          <w:sz w:val="20"/>
          <w:szCs w:val="20"/>
        </w:rPr>
        <w:t>are</w:t>
      </w:r>
      <w:r w:rsidRPr="00B72252">
        <w:rPr>
          <w:rFonts w:ascii="Arial" w:hAnsi="Arial" w:cs="Arial"/>
          <w:spacing w:val="-2"/>
          <w:sz w:val="20"/>
          <w:szCs w:val="20"/>
        </w:rPr>
        <w:t xml:space="preserve"> </w:t>
      </w:r>
      <w:r w:rsidRPr="00B72252">
        <w:rPr>
          <w:rFonts w:ascii="Arial" w:hAnsi="Arial" w:cs="Arial"/>
          <w:sz w:val="20"/>
          <w:szCs w:val="20"/>
        </w:rPr>
        <w:t>applicable</w:t>
      </w:r>
      <w:r w:rsidRPr="00B72252">
        <w:rPr>
          <w:rFonts w:ascii="Arial" w:hAnsi="Arial" w:cs="Arial"/>
          <w:spacing w:val="-4"/>
          <w:sz w:val="20"/>
          <w:szCs w:val="20"/>
        </w:rPr>
        <w:t xml:space="preserve"> </w:t>
      </w:r>
      <w:r w:rsidRPr="00B72252">
        <w:rPr>
          <w:rFonts w:ascii="Arial" w:hAnsi="Arial" w:cs="Arial"/>
          <w:sz w:val="20"/>
          <w:szCs w:val="20"/>
        </w:rPr>
        <w:t>requirements</w:t>
      </w:r>
      <w:r w:rsidRPr="00B72252">
        <w:rPr>
          <w:rFonts w:ascii="Arial" w:hAnsi="Arial" w:cs="Arial"/>
          <w:spacing w:val="-3"/>
          <w:sz w:val="20"/>
          <w:szCs w:val="20"/>
        </w:rPr>
        <w:t xml:space="preserve"> </w:t>
      </w:r>
      <w:r w:rsidRPr="00B72252">
        <w:rPr>
          <w:rFonts w:ascii="Arial" w:hAnsi="Arial" w:cs="Arial"/>
          <w:sz w:val="20"/>
          <w:szCs w:val="20"/>
        </w:rPr>
        <w:t>as</w:t>
      </w:r>
      <w:r w:rsidRPr="00B72252">
        <w:rPr>
          <w:rFonts w:ascii="Arial" w:hAnsi="Arial" w:cs="Arial"/>
          <w:spacing w:val="-3"/>
          <w:sz w:val="20"/>
          <w:szCs w:val="20"/>
        </w:rPr>
        <w:t xml:space="preserve"> </w:t>
      </w:r>
      <w:r w:rsidRPr="00B72252">
        <w:rPr>
          <w:rFonts w:ascii="Arial" w:hAnsi="Arial" w:cs="Arial"/>
          <w:sz w:val="20"/>
          <w:szCs w:val="20"/>
        </w:rPr>
        <w:t xml:space="preserve">defined under 40 CFR § 70.2. EPA appreciates that Phelps Dodge has provided a PBR Supplemental Table that includes claimed </w:t>
      </w:r>
      <w:r w:rsidR="00094B6E" w:rsidRPr="00B72252">
        <w:rPr>
          <w:rFonts w:ascii="Arial" w:hAnsi="Arial" w:cs="Arial"/>
          <w:sz w:val="20"/>
          <w:szCs w:val="20"/>
        </w:rPr>
        <w:t>PBRs and</w:t>
      </w:r>
      <w:r w:rsidRPr="00B72252">
        <w:rPr>
          <w:rFonts w:ascii="Arial" w:hAnsi="Arial" w:cs="Arial"/>
          <w:sz w:val="20"/>
          <w:szCs w:val="20"/>
        </w:rPr>
        <w:t xml:space="preserve"> monitoring for claimed PBRs. TCEQ should verify if the PBRs listed above need to be added to the title V permit or if the PBRs have been consolidated by incorporation into an NSR permit and update the title V permit as necessary.</w:t>
      </w:r>
    </w:p>
    <w:p w14:paraId="55F50D52" w14:textId="77777777" w:rsidR="00636E12" w:rsidRDefault="00636E12" w:rsidP="00A67ED7">
      <w:pPr>
        <w:rPr>
          <w:rStyle w:val="Strong"/>
          <w:b w:val="0"/>
          <w:bCs w:val="0"/>
        </w:rPr>
      </w:pPr>
    </w:p>
    <w:p w14:paraId="416119A5" w14:textId="452194A0" w:rsidR="00A67ED7" w:rsidRDefault="00A67ED7" w:rsidP="00A67ED7">
      <w:pPr>
        <w:rPr>
          <w:rStyle w:val="Strong"/>
          <w:b w:val="0"/>
          <w:bCs w:val="0"/>
        </w:rPr>
      </w:pPr>
    </w:p>
    <w:p w14:paraId="4C5381A5" w14:textId="5D035FD3" w:rsidR="00283B9A" w:rsidRDefault="00A67ED7" w:rsidP="008D4E75">
      <w:pPr>
        <w:rPr>
          <w:color w:val="000000"/>
          <w:szCs w:val="20"/>
        </w:rPr>
      </w:pPr>
      <w:r w:rsidRPr="00A67ED7">
        <w:rPr>
          <w:rStyle w:val="Strong"/>
        </w:rPr>
        <w:t>TCEQ Response to Objection 2:</w:t>
      </w:r>
      <w:r w:rsidR="00582DA2">
        <w:rPr>
          <w:rStyle w:val="Strong"/>
          <w:b w:val="0"/>
          <w:bCs w:val="0"/>
        </w:rPr>
        <w:t xml:space="preserve"> </w:t>
      </w:r>
      <w:r w:rsidR="00582DA2" w:rsidRPr="00A203E5">
        <w:rPr>
          <w:rStyle w:val="Strong"/>
          <w:b w:val="0"/>
          <w:bCs w:val="0"/>
        </w:rPr>
        <w:t xml:space="preserve">As stated </w:t>
      </w:r>
      <w:r w:rsidR="00582DA2">
        <w:rPr>
          <w:color w:val="000000"/>
          <w:szCs w:val="20"/>
        </w:rPr>
        <w:t xml:space="preserve">above in TCEQ response to Claim </w:t>
      </w:r>
      <w:r w:rsidR="00525BBE">
        <w:rPr>
          <w:color w:val="000000"/>
          <w:szCs w:val="20"/>
        </w:rPr>
        <w:t>1</w:t>
      </w:r>
      <w:r w:rsidR="00582DA2">
        <w:rPr>
          <w:color w:val="000000"/>
          <w:szCs w:val="20"/>
        </w:rPr>
        <w:t>, a</w:t>
      </w:r>
      <w:r w:rsidR="00582DA2" w:rsidRPr="00B84057">
        <w:rPr>
          <w:color w:val="000000"/>
          <w:szCs w:val="20"/>
        </w:rPr>
        <w:t xml:space="preserve">pplicant has submitted updated OP-PBRSUP </w:t>
      </w:r>
      <w:r w:rsidR="00582DA2">
        <w:rPr>
          <w:color w:val="000000"/>
          <w:szCs w:val="20"/>
        </w:rPr>
        <w:t>dated</w:t>
      </w:r>
      <w:r w:rsidR="00582DA2" w:rsidRPr="00B84057">
        <w:rPr>
          <w:color w:val="000000"/>
          <w:szCs w:val="20"/>
        </w:rPr>
        <w:t xml:space="preserve"> </w:t>
      </w:r>
      <w:r w:rsidR="00844059">
        <w:rPr>
          <w:color w:val="000000"/>
          <w:szCs w:val="20"/>
        </w:rPr>
        <w:t>May 11</w:t>
      </w:r>
      <w:r w:rsidR="00FF68DF">
        <w:rPr>
          <w:color w:val="000000"/>
          <w:szCs w:val="20"/>
        </w:rPr>
        <w:t>, 2023</w:t>
      </w:r>
      <w:r w:rsidR="00582DA2">
        <w:rPr>
          <w:color w:val="000000"/>
          <w:szCs w:val="20"/>
        </w:rPr>
        <w:t>, to</w:t>
      </w:r>
      <w:r w:rsidR="00582DA2" w:rsidRPr="00B84057">
        <w:rPr>
          <w:color w:val="000000"/>
          <w:szCs w:val="20"/>
        </w:rPr>
        <w:t xml:space="preserve"> </w:t>
      </w:r>
      <w:r w:rsidR="00582DA2">
        <w:rPr>
          <w:color w:val="000000"/>
          <w:szCs w:val="20"/>
        </w:rPr>
        <w:t>document</w:t>
      </w:r>
      <w:r w:rsidR="00582DA2" w:rsidRPr="00B84057">
        <w:rPr>
          <w:color w:val="000000"/>
          <w:szCs w:val="20"/>
        </w:rPr>
        <w:t xml:space="preserve"> </w:t>
      </w:r>
      <w:r w:rsidR="00E9110E">
        <w:rPr>
          <w:color w:val="000000"/>
          <w:szCs w:val="20"/>
        </w:rPr>
        <w:t xml:space="preserve">PBR authorizations at the site including monitoring requirements for the </w:t>
      </w:r>
      <w:r w:rsidR="00582DA2">
        <w:rPr>
          <w:color w:val="000000"/>
          <w:szCs w:val="20"/>
        </w:rPr>
        <w:t xml:space="preserve">registered and claimed </w:t>
      </w:r>
      <w:r w:rsidR="00582DA2" w:rsidRPr="00B84057">
        <w:rPr>
          <w:color w:val="000000"/>
          <w:szCs w:val="20"/>
        </w:rPr>
        <w:t xml:space="preserve">PBRs. </w:t>
      </w:r>
    </w:p>
    <w:p w14:paraId="5CF50B66" w14:textId="77777777" w:rsidR="00283B9A" w:rsidRDefault="00283B9A" w:rsidP="008D4E75">
      <w:pPr>
        <w:rPr>
          <w:color w:val="000000"/>
          <w:szCs w:val="20"/>
        </w:rPr>
      </w:pPr>
    </w:p>
    <w:p w14:paraId="1BE4D96A" w14:textId="4DC2A544" w:rsidR="00A67ED7" w:rsidRDefault="00A82EB6" w:rsidP="009629A7">
      <w:pPr>
        <w:rPr>
          <w:color w:val="000000"/>
          <w:szCs w:val="20"/>
        </w:rPr>
      </w:pPr>
      <w:r>
        <w:rPr>
          <w:color w:val="000000"/>
          <w:szCs w:val="20"/>
        </w:rPr>
        <w:t xml:space="preserve">As requested </w:t>
      </w:r>
      <w:r w:rsidR="00283B9A">
        <w:rPr>
          <w:color w:val="000000"/>
          <w:szCs w:val="20"/>
        </w:rPr>
        <w:t xml:space="preserve">by EPA, </w:t>
      </w:r>
      <w:r>
        <w:rPr>
          <w:color w:val="000000"/>
          <w:szCs w:val="20"/>
        </w:rPr>
        <w:t>the following units have been added to the proposed permit</w:t>
      </w:r>
      <w:r w:rsidR="00283B9A">
        <w:rPr>
          <w:color w:val="000000"/>
          <w:szCs w:val="20"/>
        </w:rPr>
        <w:t xml:space="preserve"> (please see </w:t>
      </w:r>
      <w:bookmarkStart w:id="2" w:name="_Hlk133843137"/>
      <w:r w:rsidR="00E9110E" w:rsidRPr="00E9110E">
        <w:rPr>
          <w:color w:val="000000"/>
          <w:szCs w:val="20"/>
        </w:rPr>
        <w:t xml:space="preserve">New Source Review Authorization References by Emissions Unit </w:t>
      </w:r>
      <w:r w:rsidR="00E9110E">
        <w:rPr>
          <w:color w:val="000000"/>
          <w:szCs w:val="20"/>
        </w:rPr>
        <w:t xml:space="preserve">table </w:t>
      </w:r>
      <w:bookmarkEnd w:id="2"/>
      <w:r w:rsidR="00E9110E">
        <w:rPr>
          <w:color w:val="000000"/>
          <w:szCs w:val="20"/>
        </w:rPr>
        <w:t xml:space="preserve">at </w:t>
      </w:r>
      <w:r w:rsidR="00283B9A">
        <w:rPr>
          <w:color w:val="000000"/>
          <w:szCs w:val="20"/>
        </w:rPr>
        <w:t xml:space="preserve">pages </w:t>
      </w:r>
      <w:r w:rsidR="006B63AE">
        <w:rPr>
          <w:color w:val="000000"/>
          <w:szCs w:val="20"/>
        </w:rPr>
        <w:t xml:space="preserve">31 through </w:t>
      </w:r>
      <w:r w:rsidR="00FB437C">
        <w:rPr>
          <w:color w:val="000000"/>
          <w:szCs w:val="20"/>
        </w:rPr>
        <w:t>34)</w:t>
      </w:r>
      <w:r>
        <w:rPr>
          <w:color w:val="000000"/>
          <w:szCs w:val="20"/>
        </w:rPr>
        <w:t xml:space="preserve">: </w:t>
      </w:r>
      <w:r w:rsidR="008D4E75" w:rsidRPr="008D4E75">
        <w:rPr>
          <w:color w:val="000000"/>
          <w:szCs w:val="20"/>
        </w:rPr>
        <w:t>NCPSILOFUG authorized by PBR 106.261 registration No. 72016</w:t>
      </w:r>
      <w:r w:rsidR="008D4E75">
        <w:rPr>
          <w:color w:val="000000"/>
          <w:szCs w:val="20"/>
        </w:rPr>
        <w:t>, R</w:t>
      </w:r>
      <w:r w:rsidR="008D4E75" w:rsidRPr="008D4E75">
        <w:rPr>
          <w:color w:val="000000"/>
          <w:szCs w:val="20"/>
        </w:rPr>
        <w:t>M ACSCRB authorized by PBR 106.375</w:t>
      </w:r>
      <w:r w:rsidR="008D4E75">
        <w:rPr>
          <w:color w:val="000000"/>
          <w:szCs w:val="20"/>
        </w:rPr>
        <w:t xml:space="preserve">, </w:t>
      </w:r>
      <w:r w:rsidR="008D4E75" w:rsidRPr="008D4E75">
        <w:rPr>
          <w:color w:val="000000"/>
          <w:szCs w:val="20"/>
        </w:rPr>
        <w:t>RMEP05 authorized by PBR 106.183</w:t>
      </w:r>
      <w:r w:rsidR="008D4E75">
        <w:rPr>
          <w:color w:val="000000"/>
          <w:szCs w:val="20"/>
        </w:rPr>
        <w:t xml:space="preserve">, </w:t>
      </w:r>
      <w:r w:rsidR="008D4E75" w:rsidRPr="008D4E75">
        <w:rPr>
          <w:color w:val="000000"/>
          <w:szCs w:val="20"/>
        </w:rPr>
        <w:t>RM EP06 authorized by PBR 106.472</w:t>
      </w:r>
      <w:r w:rsidR="008D4E75">
        <w:rPr>
          <w:color w:val="000000"/>
          <w:szCs w:val="20"/>
        </w:rPr>
        <w:t xml:space="preserve">, </w:t>
      </w:r>
      <w:r w:rsidR="008D4E75" w:rsidRPr="008D4E75">
        <w:rPr>
          <w:color w:val="000000"/>
          <w:szCs w:val="20"/>
        </w:rPr>
        <w:t>RM CLTWRS authorized by PBR 106.371</w:t>
      </w:r>
      <w:r w:rsidR="008D4E75">
        <w:rPr>
          <w:color w:val="000000"/>
          <w:szCs w:val="20"/>
        </w:rPr>
        <w:t xml:space="preserve">, </w:t>
      </w:r>
      <w:r w:rsidR="008D4E75" w:rsidRPr="008D4E75">
        <w:rPr>
          <w:color w:val="000000"/>
          <w:szCs w:val="20"/>
        </w:rPr>
        <w:t>RMEP20 authorized by PBR 106.262</w:t>
      </w:r>
      <w:r w:rsidR="009E1BC1">
        <w:rPr>
          <w:color w:val="000000"/>
          <w:szCs w:val="20"/>
        </w:rPr>
        <w:t xml:space="preserve">, </w:t>
      </w:r>
      <w:r w:rsidR="008D4E75" w:rsidRPr="008D4E75">
        <w:rPr>
          <w:color w:val="000000"/>
          <w:szCs w:val="20"/>
        </w:rPr>
        <w:t>RMEP21 authorized by PBR 106.262</w:t>
      </w:r>
      <w:r w:rsidR="009E1BC1">
        <w:rPr>
          <w:color w:val="000000"/>
          <w:szCs w:val="20"/>
        </w:rPr>
        <w:t xml:space="preserve">, </w:t>
      </w:r>
      <w:r w:rsidR="008D4E75" w:rsidRPr="008D4E75">
        <w:rPr>
          <w:color w:val="000000"/>
          <w:szCs w:val="20"/>
        </w:rPr>
        <w:t>RMEP22 authorized by PBR 106.262</w:t>
      </w:r>
      <w:r w:rsidR="009E1BC1">
        <w:rPr>
          <w:color w:val="000000"/>
          <w:szCs w:val="20"/>
        </w:rPr>
        <w:t xml:space="preserve">, </w:t>
      </w:r>
      <w:r w:rsidR="008D4E75" w:rsidRPr="008D4E75">
        <w:rPr>
          <w:color w:val="000000"/>
          <w:szCs w:val="20"/>
        </w:rPr>
        <w:t>RMEP24 authorized by PBR 106.183</w:t>
      </w:r>
      <w:r w:rsidR="009E1BC1">
        <w:rPr>
          <w:color w:val="000000"/>
          <w:szCs w:val="20"/>
        </w:rPr>
        <w:t xml:space="preserve">, </w:t>
      </w:r>
      <w:r w:rsidR="008D4E75" w:rsidRPr="008D4E75">
        <w:rPr>
          <w:color w:val="000000"/>
          <w:szCs w:val="20"/>
        </w:rPr>
        <w:t>RMEP25 authorized by PBR 106.183</w:t>
      </w:r>
      <w:r w:rsidR="009E1BC1">
        <w:rPr>
          <w:color w:val="000000"/>
          <w:szCs w:val="20"/>
        </w:rPr>
        <w:t xml:space="preserve">, </w:t>
      </w:r>
      <w:r w:rsidR="008D4E75" w:rsidRPr="008D4E75">
        <w:rPr>
          <w:color w:val="000000"/>
          <w:szCs w:val="20"/>
        </w:rPr>
        <w:t>CCR-31 authorized by PBR 106.472</w:t>
      </w:r>
      <w:r w:rsidR="009E1BC1">
        <w:rPr>
          <w:color w:val="000000"/>
          <w:szCs w:val="20"/>
        </w:rPr>
        <w:t xml:space="preserve">, </w:t>
      </w:r>
      <w:r w:rsidR="008D4E75" w:rsidRPr="008D4E75">
        <w:rPr>
          <w:color w:val="000000"/>
          <w:szCs w:val="20"/>
        </w:rPr>
        <w:t>RTT authorized by PBR 106.472</w:t>
      </w:r>
      <w:r w:rsidR="009E1BC1">
        <w:rPr>
          <w:color w:val="000000"/>
          <w:szCs w:val="20"/>
        </w:rPr>
        <w:t xml:space="preserve">, </w:t>
      </w:r>
      <w:r w:rsidR="008D4E75" w:rsidRPr="008D4E75">
        <w:rPr>
          <w:color w:val="000000"/>
          <w:szCs w:val="20"/>
        </w:rPr>
        <w:t>UOT authorized by PBR 106.472</w:t>
      </w:r>
      <w:r w:rsidR="009E1BC1">
        <w:rPr>
          <w:color w:val="000000"/>
          <w:szCs w:val="20"/>
        </w:rPr>
        <w:t xml:space="preserve">, </w:t>
      </w:r>
      <w:r w:rsidR="008D4E75" w:rsidRPr="008D4E75">
        <w:rPr>
          <w:color w:val="000000"/>
          <w:szCs w:val="20"/>
        </w:rPr>
        <w:t>RFLF01 authorized by PBR 106.311</w:t>
      </w:r>
      <w:r w:rsidR="009E1BC1">
        <w:rPr>
          <w:color w:val="000000"/>
          <w:szCs w:val="20"/>
        </w:rPr>
        <w:t xml:space="preserve">, </w:t>
      </w:r>
      <w:r w:rsidR="008D4E75" w:rsidRPr="008D4E75">
        <w:rPr>
          <w:color w:val="000000"/>
          <w:szCs w:val="20"/>
        </w:rPr>
        <w:t>GRPFL authorized by PBR 106.473</w:t>
      </w:r>
      <w:r w:rsidR="00EA1230">
        <w:rPr>
          <w:color w:val="000000"/>
          <w:szCs w:val="20"/>
        </w:rPr>
        <w:t xml:space="preserve">, </w:t>
      </w:r>
      <w:r w:rsidR="008D4E75" w:rsidRPr="008D4E75">
        <w:rPr>
          <w:color w:val="000000"/>
          <w:szCs w:val="20"/>
        </w:rPr>
        <w:t>RMGRPMSS authorized by PBR 106.263</w:t>
      </w:r>
      <w:r w:rsidR="00EA1230">
        <w:rPr>
          <w:color w:val="000000"/>
          <w:szCs w:val="20"/>
        </w:rPr>
        <w:t xml:space="preserve">. </w:t>
      </w:r>
      <w:r w:rsidR="00347D96">
        <w:rPr>
          <w:color w:val="000000"/>
          <w:szCs w:val="20"/>
        </w:rPr>
        <w:t>In addition to above units and PBRs, WRP unit authorized by PBR 106.532 is also added to the above referenced table.</w:t>
      </w:r>
    </w:p>
    <w:p w14:paraId="3F4B0057" w14:textId="77777777" w:rsidR="009629A7" w:rsidRDefault="009629A7" w:rsidP="009629A7">
      <w:pPr>
        <w:rPr>
          <w:rStyle w:val="Strong"/>
          <w:b w:val="0"/>
          <w:bCs w:val="0"/>
        </w:rPr>
      </w:pPr>
    </w:p>
    <w:p w14:paraId="67C9935A" w14:textId="57F8A951" w:rsidR="00632F4A" w:rsidRDefault="00A67ED7" w:rsidP="00A67ED7">
      <w:pPr>
        <w:rPr>
          <w:rStyle w:val="Strong"/>
          <w:b w:val="0"/>
          <w:bCs w:val="0"/>
        </w:rPr>
      </w:pPr>
      <w:r w:rsidRPr="00A67ED7">
        <w:rPr>
          <w:rStyle w:val="Strong"/>
        </w:rPr>
        <w:t>EPA Objection 3:</w:t>
      </w:r>
      <w:r>
        <w:rPr>
          <w:rStyle w:val="Strong"/>
          <w:b w:val="0"/>
          <w:bCs w:val="0"/>
        </w:rPr>
        <w:t xml:space="preserve"> </w:t>
      </w:r>
      <w:r w:rsidR="001767E4" w:rsidRPr="00A67ED7">
        <w:rPr>
          <w:rStyle w:val="Strong"/>
          <w:b w:val="0"/>
          <w:bCs w:val="0"/>
        </w:rPr>
        <w:t xml:space="preserve">Objection for Failure to Include all Applicable Requirements. The NSR Authorization References by Emission Unit table fails to include registration numbers next to emission units authorized by registered PBRs. </w:t>
      </w:r>
    </w:p>
    <w:p w14:paraId="367C65A7" w14:textId="77777777" w:rsidR="00B735A0" w:rsidRDefault="00B735A0" w:rsidP="00B735A0">
      <w:pPr>
        <w:widowControl w:val="0"/>
        <w:tabs>
          <w:tab w:val="left" w:pos="1371"/>
          <w:tab w:val="left" w:pos="1372"/>
        </w:tabs>
        <w:adjustRightInd/>
        <w:spacing w:line="294" w:lineRule="exact"/>
        <w:rPr>
          <w:rFonts w:cs="Arial"/>
          <w:szCs w:val="20"/>
        </w:rPr>
      </w:pPr>
    </w:p>
    <w:p w14:paraId="68A90621" w14:textId="63149F88" w:rsidR="00B735A0" w:rsidRPr="00B735A0" w:rsidRDefault="00B735A0" w:rsidP="00B735A0">
      <w:pPr>
        <w:widowControl w:val="0"/>
        <w:tabs>
          <w:tab w:val="left" w:pos="1371"/>
          <w:tab w:val="left" w:pos="1372"/>
        </w:tabs>
        <w:adjustRightInd/>
        <w:spacing w:line="294" w:lineRule="exact"/>
        <w:rPr>
          <w:rFonts w:cs="Arial"/>
          <w:szCs w:val="20"/>
        </w:rPr>
      </w:pPr>
      <w:bookmarkStart w:id="3" w:name="_Hlk133843089"/>
      <w:r w:rsidRPr="00B735A0">
        <w:rPr>
          <w:rFonts w:cs="Arial"/>
          <w:szCs w:val="20"/>
        </w:rPr>
        <w:t>Claimed</w:t>
      </w:r>
      <w:r w:rsidRPr="00B735A0">
        <w:rPr>
          <w:rFonts w:cs="Arial"/>
          <w:spacing w:val="-3"/>
          <w:szCs w:val="20"/>
        </w:rPr>
        <w:t xml:space="preserve"> </w:t>
      </w:r>
      <w:r w:rsidRPr="00B735A0">
        <w:rPr>
          <w:rFonts w:cs="Arial"/>
          <w:szCs w:val="20"/>
        </w:rPr>
        <w:t>PBRs</w:t>
      </w:r>
      <w:r w:rsidRPr="00B735A0">
        <w:rPr>
          <w:rFonts w:cs="Arial"/>
          <w:spacing w:val="-2"/>
          <w:szCs w:val="20"/>
        </w:rPr>
        <w:t xml:space="preserve"> </w:t>
      </w:r>
      <w:r w:rsidRPr="00B735A0">
        <w:rPr>
          <w:rFonts w:cs="Arial"/>
          <w:szCs w:val="20"/>
        </w:rPr>
        <w:t>absent</w:t>
      </w:r>
      <w:r w:rsidRPr="00B735A0">
        <w:rPr>
          <w:rFonts w:cs="Arial"/>
          <w:spacing w:val="-1"/>
          <w:szCs w:val="20"/>
        </w:rPr>
        <w:t xml:space="preserve"> </w:t>
      </w:r>
      <w:r w:rsidRPr="00B735A0">
        <w:rPr>
          <w:rFonts w:cs="Arial"/>
          <w:szCs w:val="20"/>
        </w:rPr>
        <w:t>from</w:t>
      </w:r>
      <w:r w:rsidRPr="00B735A0">
        <w:rPr>
          <w:rFonts w:cs="Arial"/>
          <w:spacing w:val="-1"/>
          <w:szCs w:val="20"/>
        </w:rPr>
        <w:t xml:space="preserve"> </w:t>
      </w:r>
      <w:r w:rsidRPr="00B735A0">
        <w:rPr>
          <w:rFonts w:cs="Arial"/>
          <w:szCs w:val="20"/>
        </w:rPr>
        <w:t>the</w:t>
      </w:r>
      <w:r w:rsidRPr="00B735A0">
        <w:rPr>
          <w:rFonts w:cs="Arial"/>
          <w:spacing w:val="-2"/>
          <w:szCs w:val="20"/>
        </w:rPr>
        <w:t xml:space="preserve"> </w:t>
      </w:r>
      <w:r w:rsidRPr="00B735A0">
        <w:rPr>
          <w:rFonts w:cs="Arial"/>
          <w:szCs w:val="20"/>
        </w:rPr>
        <w:t>title</w:t>
      </w:r>
      <w:r w:rsidRPr="00B735A0">
        <w:rPr>
          <w:rFonts w:cs="Arial"/>
          <w:spacing w:val="-1"/>
          <w:szCs w:val="20"/>
        </w:rPr>
        <w:t xml:space="preserve"> </w:t>
      </w:r>
      <w:r w:rsidRPr="00B735A0">
        <w:rPr>
          <w:rFonts w:cs="Arial"/>
          <w:szCs w:val="20"/>
        </w:rPr>
        <w:t>V</w:t>
      </w:r>
      <w:r w:rsidRPr="00B735A0">
        <w:rPr>
          <w:rFonts w:cs="Arial"/>
          <w:spacing w:val="-2"/>
          <w:szCs w:val="20"/>
        </w:rPr>
        <w:t xml:space="preserve"> </w:t>
      </w:r>
      <w:r w:rsidR="009276B2" w:rsidRPr="00B735A0">
        <w:rPr>
          <w:rFonts w:cs="Arial"/>
          <w:szCs w:val="20"/>
        </w:rPr>
        <w:t>permit</w:t>
      </w:r>
      <w:r w:rsidR="009276B2" w:rsidRPr="00B735A0">
        <w:rPr>
          <w:rFonts w:cs="Arial"/>
          <w:spacing w:val="-1"/>
          <w:szCs w:val="20"/>
        </w:rPr>
        <w:t>:</w:t>
      </w:r>
    </w:p>
    <w:p w14:paraId="375D0D9C" w14:textId="0FAEE8AD" w:rsidR="00B735A0" w:rsidRPr="00B72252" w:rsidRDefault="00B735A0" w:rsidP="009276B2">
      <w:pPr>
        <w:pStyle w:val="BodyText"/>
        <w:numPr>
          <w:ilvl w:val="0"/>
          <w:numId w:val="19"/>
        </w:numPr>
        <w:spacing w:line="286" w:lineRule="exact"/>
        <w:rPr>
          <w:rFonts w:ascii="Arial" w:hAnsi="Arial" w:cs="Arial"/>
          <w:sz w:val="20"/>
          <w:szCs w:val="20"/>
        </w:rPr>
      </w:pPr>
      <w:r w:rsidRPr="00B72252">
        <w:rPr>
          <w:rFonts w:ascii="Arial" w:hAnsi="Arial" w:cs="Arial"/>
          <w:sz w:val="20"/>
          <w:szCs w:val="20"/>
        </w:rPr>
        <w:t>106.183 for</w:t>
      </w:r>
      <w:r w:rsidRPr="00B72252">
        <w:rPr>
          <w:rFonts w:ascii="Arial" w:hAnsi="Arial" w:cs="Arial"/>
          <w:spacing w:val="-1"/>
          <w:sz w:val="20"/>
          <w:szCs w:val="20"/>
        </w:rPr>
        <w:t xml:space="preserve"> </w:t>
      </w:r>
      <w:r w:rsidRPr="00B72252">
        <w:rPr>
          <w:rFonts w:ascii="Arial" w:hAnsi="Arial" w:cs="Arial"/>
          <w:spacing w:val="-2"/>
          <w:sz w:val="20"/>
          <w:szCs w:val="20"/>
        </w:rPr>
        <w:t>RMB01</w:t>
      </w:r>
    </w:p>
    <w:p w14:paraId="07DFE98D" w14:textId="77777777" w:rsidR="00B735A0" w:rsidRPr="00B72252" w:rsidRDefault="00B735A0" w:rsidP="009276B2">
      <w:pPr>
        <w:pStyle w:val="ListParagraph"/>
        <w:widowControl w:val="0"/>
        <w:numPr>
          <w:ilvl w:val="2"/>
          <w:numId w:val="20"/>
        </w:numPr>
        <w:tabs>
          <w:tab w:val="left" w:pos="2180"/>
        </w:tabs>
        <w:adjustRightInd/>
        <w:spacing w:line="276" w:lineRule="exact"/>
        <w:contextualSpacing w:val="0"/>
        <w:rPr>
          <w:rFonts w:cs="Arial"/>
          <w:szCs w:val="20"/>
        </w:rPr>
      </w:pPr>
      <w:r w:rsidRPr="00B72252">
        <w:rPr>
          <w:rFonts w:cs="Arial"/>
          <w:szCs w:val="20"/>
        </w:rPr>
        <w:t>106.183</w:t>
      </w:r>
      <w:r w:rsidRPr="00B72252">
        <w:rPr>
          <w:rFonts w:cs="Arial"/>
          <w:spacing w:val="-1"/>
          <w:szCs w:val="20"/>
        </w:rPr>
        <w:t xml:space="preserve"> </w:t>
      </w:r>
      <w:r w:rsidRPr="00B72252">
        <w:rPr>
          <w:rFonts w:cs="Arial"/>
          <w:szCs w:val="20"/>
        </w:rPr>
        <w:t>for</w:t>
      </w:r>
      <w:r w:rsidRPr="00B72252">
        <w:rPr>
          <w:rFonts w:cs="Arial"/>
          <w:spacing w:val="-1"/>
          <w:szCs w:val="20"/>
        </w:rPr>
        <w:t xml:space="preserve"> </w:t>
      </w:r>
      <w:r w:rsidRPr="00B72252">
        <w:rPr>
          <w:rFonts w:cs="Arial"/>
          <w:spacing w:val="-2"/>
          <w:szCs w:val="20"/>
        </w:rPr>
        <w:t>RMEP03</w:t>
      </w:r>
    </w:p>
    <w:p w14:paraId="340F6B77" w14:textId="77777777" w:rsidR="00B735A0" w:rsidRPr="00B72252" w:rsidRDefault="00B735A0" w:rsidP="009276B2">
      <w:pPr>
        <w:pStyle w:val="ListParagraph"/>
        <w:widowControl w:val="0"/>
        <w:numPr>
          <w:ilvl w:val="2"/>
          <w:numId w:val="20"/>
        </w:numPr>
        <w:tabs>
          <w:tab w:val="left" w:pos="2180"/>
        </w:tabs>
        <w:adjustRightInd/>
        <w:spacing w:line="276" w:lineRule="exact"/>
        <w:contextualSpacing w:val="0"/>
        <w:rPr>
          <w:rFonts w:cs="Arial"/>
          <w:szCs w:val="20"/>
        </w:rPr>
      </w:pPr>
      <w:r w:rsidRPr="00B72252">
        <w:rPr>
          <w:rFonts w:cs="Arial"/>
          <w:szCs w:val="20"/>
        </w:rPr>
        <w:t>106.183</w:t>
      </w:r>
      <w:r w:rsidRPr="00B72252">
        <w:rPr>
          <w:rFonts w:cs="Arial"/>
          <w:spacing w:val="-1"/>
          <w:szCs w:val="20"/>
        </w:rPr>
        <w:t xml:space="preserve"> </w:t>
      </w:r>
      <w:r w:rsidRPr="00B72252">
        <w:rPr>
          <w:rFonts w:cs="Arial"/>
          <w:szCs w:val="20"/>
        </w:rPr>
        <w:t>for</w:t>
      </w:r>
      <w:r w:rsidRPr="00B72252">
        <w:rPr>
          <w:rFonts w:cs="Arial"/>
          <w:spacing w:val="-1"/>
          <w:szCs w:val="20"/>
        </w:rPr>
        <w:t xml:space="preserve"> </w:t>
      </w:r>
      <w:r w:rsidRPr="00B72252">
        <w:rPr>
          <w:rFonts w:cs="Arial"/>
          <w:spacing w:val="-2"/>
          <w:szCs w:val="20"/>
        </w:rPr>
        <w:t>RMSF01</w:t>
      </w:r>
    </w:p>
    <w:p w14:paraId="4E9A7245" w14:textId="77777777" w:rsidR="00B735A0" w:rsidRPr="00B72252" w:rsidRDefault="00B735A0" w:rsidP="009276B2">
      <w:pPr>
        <w:pStyle w:val="ListParagraph"/>
        <w:widowControl w:val="0"/>
        <w:numPr>
          <w:ilvl w:val="2"/>
          <w:numId w:val="20"/>
        </w:numPr>
        <w:tabs>
          <w:tab w:val="left" w:pos="2180"/>
        </w:tabs>
        <w:adjustRightInd/>
        <w:spacing w:line="276" w:lineRule="exact"/>
        <w:contextualSpacing w:val="0"/>
        <w:rPr>
          <w:rFonts w:cs="Arial"/>
          <w:szCs w:val="20"/>
        </w:rPr>
      </w:pPr>
      <w:r w:rsidRPr="00B72252">
        <w:rPr>
          <w:rFonts w:cs="Arial"/>
          <w:szCs w:val="20"/>
        </w:rPr>
        <w:t>106.183</w:t>
      </w:r>
      <w:r w:rsidRPr="00B72252">
        <w:rPr>
          <w:rFonts w:cs="Arial"/>
          <w:spacing w:val="-1"/>
          <w:szCs w:val="20"/>
        </w:rPr>
        <w:t xml:space="preserve"> </w:t>
      </w:r>
      <w:r w:rsidRPr="00B72252">
        <w:rPr>
          <w:rFonts w:cs="Arial"/>
          <w:szCs w:val="20"/>
        </w:rPr>
        <w:t>for</w:t>
      </w:r>
      <w:r w:rsidRPr="00B72252">
        <w:rPr>
          <w:rFonts w:cs="Arial"/>
          <w:spacing w:val="-1"/>
          <w:szCs w:val="20"/>
        </w:rPr>
        <w:t xml:space="preserve"> </w:t>
      </w:r>
      <w:r w:rsidRPr="00B72252">
        <w:rPr>
          <w:rFonts w:cs="Arial"/>
          <w:spacing w:val="-2"/>
          <w:szCs w:val="20"/>
        </w:rPr>
        <w:t>RMSF02</w:t>
      </w:r>
    </w:p>
    <w:p w14:paraId="161EAA32" w14:textId="77777777" w:rsidR="00B735A0" w:rsidRPr="00B72252" w:rsidRDefault="00B735A0" w:rsidP="009276B2">
      <w:pPr>
        <w:pStyle w:val="ListParagraph"/>
        <w:widowControl w:val="0"/>
        <w:numPr>
          <w:ilvl w:val="2"/>
          <w:numId w:val="20"/>
        </w:numPr>
        <w:tabs>
          <w:tab w:val="left" w:pos="2180"/>
        </w:tabs>
        <w:adjustRightInd/>
        <w:spacing w:line="276" w:lineRule="exact"/>
        <w:contextualSpacing w:val="0"/>
        <w:rPr>
          <w:rFonts w:cs="Arial"/>
          <w:szCs w:val="20"/>
        </w:rPr>
      </w:pPr>
      <w:r w:rsidRPr="00B72252">
        <w:rPr>
          <w:rFonts w:cs="Arial"/>
          <w:szCs w:val="20"/>
        </w:rPr>
        <w:t>106.183</w:t>
      </w:r>
      <w:r w:rsidRPr="00B72252">
        <w:rPr>
          <w:rFonts w:cs="Arial"/>
          <w:spacing w:val="-1"/>
          <w:szCs w:val="20"/>
        </w:rPr>
        <w:t xml:space="preserve"> </w:t>
      </w:r>
      <w:r w:rsidRPr="00B72252">
        <w:rPr>
          <w:rFonts w:cs="Arial"/>
          <w:szCs w:val="20"/>
        </w:rPr>
        <w:t>for</w:t>
      </w:r>
      <w:r w:rsidRPr="00B72252">
        <w:rPr>
          <w:rFonts w:cs="Arial"/>
          <w:spacing w:val="-1"/>
          <w:szCs w:val="20"/>
        </w:rPr>
        <w:t xml:space="preserve"> </w:t>
      </w:r>
      <w:r w:rsidRPr="00B72252">
        <w:rPr>
          <w:rFonts w:cs="Arial"/>
          <w:spacing w:val="-2"/>
          <w:szCs w:val="20"/>
        </w:rPr>
        <w:t>RMEP01</w:t>
      </w:r>
    </w:p>
    <w:p w14:paraId="3173ED92" w14:textId="77777777" w:rsidR="00B735A0" w:rsidRPr="00B72252" w:rsidRDefault="00B735A0" w:rsidP="009276B2">
      <w:pPr>
        <w:pStyle w:val="ListParagraph"/>
        <w:widowControl w:val="0"/>
        <w:numPr>
          <w:ilvl w:val="2"/>
          <w:numId w:val="20"/>
        </w:numPr>
        <w:tabs>
          <w:tab w:val="left" w:pos="2180"/>
        </w:tabs>
        <w:adjustRightInd/>
        <w:spacing w:line="286" w:lineRule="exact"/>
        <w:contextualSpacing w:val="0"/>
        <w:rPr>
          <w:rFonts w:cs="Arial"/>
          <w:szCs w:val="20"/>
        </w:rPr>
      </w:pPr>
      <w:r w:rsidRPr="00B72252">
        <w:rPr>
          <w:rFonts w:cs="Arial"/>
          <w:szCs w:val="20"/>
        </w:rPr>
        <w:t>106.183</w:t>
      </w:r>
      <w:r w:rsidRPr="00B72252">
        <w:rPr>
          <w:rFonts w:cs="Arial"/>
          <w:spacing w:val="-1"/>
          <w:szCs w:val="20"/>
        </w:rPr>
        <w:t xml:space="preserve"> </w:t>
      </w:r>
      <w:r w:rsidRPr="00B72252">
        <w:rPr>
          <w:rFonts w:cs="Arial"/>
          <w:szCs w:val="20"/>
        </w:rPr>
        <w:t>for</w:t>
      </w:r>
      <w:r w:rsidRPr="00B72252">
        <w:rPr>
          <w:rFonts w:cs="Arial"/>
          <w:spacing w:val="-1"/>
          <w:szCs w:val="20"/>
        </w:rPr>
        <w:t xml:space="preserve"> </w:t>
      </w:r>
      <w:r w:rsidRPr="00B72252">
        <w:rPr>
          <w:rFonts w:cs="Arial"/>
          <w:spacing w:val="-2"/>
          <w:szCs w:val="20"/>
        </w:rPr>
        <w:t>RMEP02</w:t>
      </w:r>
    </w:p>
    <w:bookmarkEnd w:id="3"/>
    <w:p w14:paraId="476DD6BA" w14:textId="77777777" w:rsidR="00B735A0" w:rsidRPr="00B72252" w:rsidRDefault="00B735A0" w:rsidP="00B735A0">
      <w:pPr>
        <w:pStyle w:val="BodyText"/>
        <w:spacing w:before="3"/>
        <w:rPr>
          <w:rFonts w:ascii="Arial" w:hAnsi="Arial" w:cs="Arial"/>
          <w:sz w:val="20"/>
          <w:szCs w:val="20"/>
        </w:rPr>
      </w:pPr>
    </w:p>
    <w:p w14:paraId="79846F26" w14:textId="5BD36B7F" w:rsidR="00B735A0" w:rsidRDefault="00B735A0" w:rsidP="00B735A0">
      <w:pPr>
        <w:rPr>
          <w:rStyle w:val="Strong"/>
          <w:b w:val="0"/>
          <w:bCs w:val="0"/>
        </w:rPr>
      </w:pPr>
      <w:r w:rsidRPr="00B72252">
        <w:rPr>
          <w:rFonts w:cs="Arial"/>
          <w:szCs w:val="20"/>
        </w:rPr>
        <w:t>It is not clear that the Phelps Dodge title V permit currently includes or incorporates all applicable requirements</w:t>
      </w:r>
      <w:r w:rsidRPr="00B72252">
        <w:rPr>
          <w:rFonts w:cs="Arial"/>
          <w:spacing w:val="-3"/>
          <w:szCs w:val="20"/>
        </w:rPr>
        <w:t xml:space="preserve"> </w:t>
      </w:r>
      <w:r w:rsidRPr="00B72252">
        <w:rPr>
          <w:rFonts w:cs="Arial"/>
          <w:szCs w:val="20"/>
        </w:rPr>
        <w:t>for</w:t>
      </w:r>
      <w:r w:rsidRPr="00B72252">
        <w:rPr>
          <w:rFonts w:cs="Arial"/>
          <w:spacing w:val="-4"/>
          <w:szCs w:val="20"/>
        </w:rPr>
        <w:t xml:space="preserve"> </w:t>
      </w:r>
      <w:r w:rsidRPr="00B72252">
        <w:rPr>
          <w:rFonts w:cs="Arial"/>
          <w:szCs w:val="20"/>
        </w:rPr>
        <w:t>the</w:t>
      </w:r>
      <w:r w:rsidRPr="00B72252">
        <w:rPr>
          <w:rFonts w:cs="Arial"/>
          <w:spacing w:val="-4"/>
          <w:szCs w:val="20"/>
        </w:rPr>
        <w:t xml:space="preserve"> </w:t>
      </w:r>
      <w:r w:rsidRPr="00B72252">
        <w:rPr>
          <w:rFonts w:cs="Arial"/>
          <w:szCs w:val="20"/>
        </w:rPr>
        <w:t>facility,</w:t>
      </w:r>
      <w:r w:rsidRPr="00B72252">
        <w:rPr>
          <w:rFonts w:cs="Arial"/>
          <w:spacing w:val="-3"/>
          <w:szCs w:val="20"/>
        </w:rPr>
        <w:t xml:space="preserve"> </w:t>
      </w:r>
      <w:r w:rsidRPr="00B72252">
        <w:rPr>
          <w:rFonts w:cs="Arial"/>
          <w:szCs w:val="20"/>
        </w:rPr>
        <w:t>as</w:t>
      </w:r>
      <w:r w:rsidRPr="00B72252">
        <w:rPr>
          <w:rFonts w:cs="Arial"/>
          <w:spacing w:val="-3"/>
          <w:szCs w:val="20"/>
        </w:rPr>
        <w:t xml:space="preserve"> </w:t>
      </w:r>
      <w:r w:rsidRPr="00B72252">
        <w:rPr>
          <w:rFonts w:cs="Arial"/>
          <w:szCs w:val="20"/>
        </w:rPr>
        <w:t>required</w:t>
      </w:r>
      <w:r w:rsidRPr="00B72252">
        <w:rPr>
          <w:rFonts w:cs="Arial"/>
          <w:spacing w:val="-3"/>
          <w:szCs w:val="20"/>
        </w:rPr>
        <w:t xml:space="preserve"> </w:t>
      </w:r>
      <w:r w:rsidRPr="00B72252">
        <w:rPr>
          <w:rFonts w:cs="Arial"/>
          <w:szCs w:val="20"/>
        </w:rPr>
        <w:t>by</w:t>
      </w:r>
      <w:r w:rsidRPr="00B72252">
        <w:rPr>
          <w:rFonts w:cs="Arial"/>
          <w:spacing w:val="-3"/>
          <w:szCs w:val="20"/>
        </w:rPr>
        <w:t xml:space="preserve"> </w:t>
      </w:r>
      <w:r w:rsidRPr="00B72252">
        <w:rPr>
          <w:rFonts w:cs="Arial"/>
          <w:szCs w:val="20"/>
        </w:rPr>
        <w:t>the</w:t>
      </w:r>
      <w:r w:rsidRPr="00B72252">
        <w:rPr>
          <w:rFonts w:cs="Arial"/>
          <w:spacing w:val="-4"/>
          <w:szCs w:val="20"/>
        </w:rPr>
        <w:t xml:space="preserve"> </w:t>
      </w:r>
      <w:r w:rsidRPr="00B72252">
        <w:rPr>
          <w:rFonts w:cs="Arial"/>
          <w:szCs w:val="20"/>
        </w:rPr>
        <w:t>CAA,</w:t>
      </w:r>
      <w:r w:rsidRPr="00B72252">
        <w:rPr>
          <w:rFonts w:cs="Arial"/>
          <w:spacing w:val="-3"/>
          <w:szCs w:val="20"/>
        </w:rPr>
        <w:t xml:space="preserve"> </w:t>
      </w:r>
      <w:r w:rsidRPr="00B72252">
        <w:rPr>
          <w:rFonts w:cs="Arial"/>
          <w:szCs w:val="20"/>
        </w:rPr>
        <w:t>the</w:t>
      </w:r>
      <w:r w:rsidRPr="00B72252">
        <w:rPr>
          <w:rFonts w:cs="Arial"/>
          <w:spacing w:val="-4"/>
          <w:szCs w:val="20"/>
        </w:rPr>
        <w:t xml:space="preserve"> </w:t>
      </w:r>
      <w:r w:rsidRPr="00B72252">
        <w:rPr>
          <w:rFonts w:cs="Arial"/>
          <w:szCs w:val="20"/>
        </w:rPr>
        <w:t>EPA's</w:t>
      </w:r>
      <w:r w:rsidRPr="00B72252">
        <w:rPr>
          <w:rFonts w:cs="Arial"/>
          <w:spacing w:val="-3"/>
          <w:szCs w:val="20"/>
        </w:rPr>
        <w:t xml:space="preserve"> </w:t>
      </w:r>
      <w:r w:rsidRPr="00B72252">
        <w:rPr>
          <w:rFonts w:cs="Arial"/>
          <w:szCs w:val="20"/>
        </w:rPr>
        <w:t>regulations,</w:t>
      </w:r>
      <w:r w:rsidRPr="00B72252">
        <w:rPr>
          <w:rFonts w:cs="Arial"/>
          <w:spacing w:val="-3"/>
          <w:szCs w:val="20"/>
        </w:rPr>
        <w:t xml:space="preserve"> </w:t>
      </w:r>
      <w:r w:rsidRPr="00B72252">
        <w:rPr>
          <w:rFonts w:cs="Arial"/>
          <w:szCs w:val="20"/>
        </w:rPr>
        <w:t>TCEQ's</w:t>
      </w:r>
      <w:r w:rsidRPr="00B72252">
        <w:rPr>
          <w:rFonts w:cs="Arial"/>
          <w:spacing w:val="-3"/>
          <w:szCs w:val="20"/>
        </w:rPr>
        <w:t xml:space="preserve"> </w:t>
      </w:r>
      <w:r w:rsidRPr="00B72252">
        <w:rPr>
          <w:rFonts w:cs="Arial"/>
          <w:szCs w:val="20"/>
        </w:rPr>
        <w:t>regulations,</w:t>
      </w:r>
      <w:r w:rsidRPr="00B72252">
        <w:rPr>
          <w:rFonts w:cs="Arial"/>
          <w:spacing w:val="-3"/>
          <w:szCs w:val="20"/>
        </w:rPr>
        <w:t xml:space="preserve"> </w:t>
      </w:r>
      <w:r w:rsidRPr="00B72252">
        <w:rPr>
          <w:rFonts w:cs="Arial"/>
          <w:szCs w:val="20"/>
        </w:rPr>
        <w:t>the agreements underlying the EPA’s approval of IBR in Texas, and the EPA’s longstanding position concerning IBR. Pursuant to 40 CFR § 70.8(c)(1), EPA objects to the issuance of the Phelps Dodge title V permit since it is not in compliance with the requirements of CAA § 504(a) and 40 CFR § 70.6(a)(1) &amp; (3).</w:t>
      </w:r>
    </w:p>
    <w:p w14:paraId="3246A4C8" w14:textId="5B2C6C90" w:rsidR="00A67ED7" w:rsidRDefault="00A67ED7" w:rsidP="00A67ED7">
      <w:pPr>
        <w:rPr>
          <w:rStyle w:val="Strong"/>
          <w:b w:val="0"/>
          <w:bCs w:val="0"/>
        </w:rPr>
      </w:pPr>
    </w:p>
    <w:p w14:paraId="4F9CA49F" w14:textId="7C9A6304" w:rsidR="00084CA0" w:rsidRDefault="00A67ED7" w:rsidP="00084CA0">
      <w:pPr>
        <w:rPr>
          <w:color w:val="000000"/>
          <w:szCs w:val="20"/>
        </w:rPr>
      </w:pPr>
      <w:r w:rsidRPr="00A67ED7">
        <w:rPr>
          <w:rStyle w:val="Strong"/>
        </w:rPr>
        <w:t>TCEQ Response to Objection 3:</w:t>
      </w:r>
      <w:r w:rsidR="00582DA2">
        <w:rPr>
          <w:rStyle w:val="Strong"/>
        </w:rPr>
        <w:t xml:space="preserve"> </w:t>
      </w:r>
      <w:r w:rsidR="00084CA0" w:rsidRPr="00A203E5">
        <w:rPr>
          <w:rStyle w:val="Strong"/>
          <w:b w:val="0"/>
          <w:bCs w:val="0"/>
        </w:rPr>
        <w:t xml:space="preserve">As stated </w:t>
      </w:r>
      <w:r w:rsidR="00084CA0">
        <w:rPr>
          <w:color w:val="000000"/>
          <w:szCs w:val="20"/>
        </w:rPr>
        <w:t>above in TCEQ response to Claim 1, a</w:t>
      </w:r>
      <w:r w:rsidR="00084CA0" w:rsidRPr="00B84057">
        <w:rPr>
          <w:color w:val="000000"/>
          <w:szCs w:val="20"/>
        </w:rPr>
        <w:t xml:space="preserve">pplicant has submitted updated OP-PBRSUP </w:t>
      </w:r>
      <w:r w:rsidR="00084CA0">
        <w:rPr>
          <w:color w:val="000000"/>
          <w:szCs w:val="20"/>
        </w:rPr>
        <w:t>dated</w:t>
      </w:r>
      <w:r w:rsidR="00084CA0" w:rsidRPr="00B84057">
        <w:rPr>
          <w:color w:val="000000"/>
          <w:szCs w:val="20"/>
        </w:rPr>
        <w:t xml:space="preserve"> </w:t>
      </w:r>
      <w:r w:rsidR="00844059">
        <w:rPr>
          <w:color w:val="000000"/>
          <w:szCs w:val="20"/>
        </w:rPr>
        <w:t>May 11</w:t>
      </w:r>
      <w:r w:rsidR="00084CA0">
        <w:rPr>
          <w:color w:val="000000"/>
          <w:szCs w:val="20"/>
        </w:rPr>
        <w:t>, 2023, to</w:t>
      </w:r>
      <w:r w:rsidR="00084CA0" w:rsidRPr="00B84057">
        <w:rPr>
          <w:color w:val="000000"/>
          <w:szCs w:val="20"/>
        </w:rPr>
        <w:t xml:space="preserve"> </w:t>
      </w:r>
      <w:r w:rsidR="00084CA0">
        <w:rPr>
          <w:color w:val="000000"/>
          <w:szCs w:val="20"/>
        </w:rPr>
        <w:t>document</w:t>
      </w:r>
      <w:r w:rsidR="00084CA0" w:rsidRPr="00B84057">
        <w:rPr>
          <w:color w:val="000000"/>
          <w:szCs w:val="20"/>
        </w:rPr>
        <w:t xml:space="preserve"> </w:t>
      </w:r>
      <w:r w:rsidR="00084CA0">
        <w:rPr>
          <w:color w:val="000000"/>
          <w:szCs w:val="20"/>
        </w:rPr>
        <w:t xml:space="preserve">PBR authorizations at the site including monitoring requirements for the registered and claimed </w:t>
      </w:r>
      <w:r w:rsidR="00084CA0" w:rsidRPr="00B84057">
        <w:rPr>
          <w:color w:val="000000"/>
          <w:szCs w:val="20"/>
        </w:rPr>
        <w:t xml:space="preserve">PBRs. </w:t>
      </w:r>
    </w:p>
    <w:p w14:paraId="47643636" w14:textId="77777777" w:rsidR="00084CA0" w:rsidRDefault="00084CA0" w:rsidP="00084CA0">
      <w:pPr>
        <w:rPr>
          <w:color w:val="000000"/>
          <w:szCs w:val="20"/>
        </w:rPr>
      </w:pPr>
    </w:p>
    <w:p w14:paraId="46AC80FE" w14:textId="56AECB40" w:rsidR="00632F4A" w:rsidRDefault="00084CA0" w:rsidP="009458A8">
      <w:pPr>
        <w:rPr>
          <w:rStyle w:val="Strong"/>
          <w:b w:val="0"/>
          <w:bCs w:val="0"/>
        </w:rPr>
      </w:pPr>
      <w:r>
        <w:rPr>
          <w:color w:val="000000"/>
          <w:szCs w:val="20"/>
        </w:rPr>
        <w:t xml:space="preserve">As requested by EPA, the following units authorized under PBR 106.183 have been added to the proposed permit (please see </w:t>
      </w:r>
      <w:r w:rsidRPr="00E9110E">
        <w:rPr>
          <w:color w:val="000000"/>
          <w:szCs w:val="20"/>
        </w:rPr>
        <w:t xml:space="preserve">New Source Review Authorization References by Emissions Unit </w:t>
      </w:r>
      <w:r>
        <w:rPr>
          <w:color w:val="000000"/>
          <w:szCs w:val="20"/>
        </w:rPr>
        <w:t>table at pages 31 through 34)</w:t>
      </w:r>
      <w:r w:rsidR="00D011A4">
        <w:rPr>
          <w:color w:val="000000"/>
          <w:szCs w:val="20"/>
        </w:rPr>
        <w:t>:</w:t>
      </w:r>
      <w:r>
        <w:rPr>
          <w:color w:val="000000"/>
          <w:szCs w:val="20"/>
        </w:rPr>
        <w:t xml:space="preserve"> </w:t>
      </w:r>
      <w:r w:rsidR="00D011A4" w:rsidRPr="00D011A4">
        <w:rPr>
          <w:color w:val="000000"/>
          <w:szCs w:val="20"/>
        </w:rPr>
        <w:t>RMB01, RMEP03, RMSF01, RMSF02, RMEP01, and RMEP02</w:t>
      </w:r>
      <w:r w:rsidR="00D011A4">
        <w:rPr>
          <w:color w:val="000000"/>
          <w:szCs w:val="20"/>
        </w:rPr>
        <w:t>.</w:t>
      </w:r>
    </w:p>
    <w:p w14:paraId="6149C41F" w14:textId="77777777" w:rsidR="005157B4" w:rsidRPr="004535E5" w:rsidRDefault="005157B4" w:rsidP="004535E5"/>
    <w:p w14:paraId="65F5C5D5" w14:textId="5886DA9B" w:rsidR="00917B86" w:rsidRDefault="009458A8" w:rsidP="004535E5">
      <w:r w:rsidRPr="009458A8">
        <w:rPr>
          <w:rStyle w:val="Strong"/>
        </w:rPr>
        <w:t>A</w:t>
      </w:r>
      <w:r w:rsidR="0089546D">
        <w:rPr>
          <w:rStyle w:val="Strong"/>
        </w:rPr>
        <w:t>dditional</w:t>
      </w:r>
      <w:r w:rsidRPr="009458A8">
        <w:rPr>
          <w:rStyle w:val="Strong"/>
        </w:rPr>
        <w:t xml:space="preserve"> C</w:t>
      </w:r>
      <w:r w:rsidR="0089546D">
        <w:rPr>
          <w:rStyle w:val="Strong"/>
        </w:rPr>
        <w:t>oncerns</w:t>
      </w:r>
      <w:r w:rsidR="00B81F0F" w:rsidRPr="009458A8">
        <w:rPr>
          <w:rStyle w:val="Strong"/>
        </w:rPr>
        <w:t>:</w:t>
      </w:r>
      <w:r w:rsidRPr="009458A8">
        <w:t xml:space="preserve">  </w:t>
      </w:r>
      <w:r w:rsidR="005157B4" w:rsidRPr="00C04EA2">
        <w:t xml:space="preserve">TCEQ acknowledges the additional concerns EPA has with the </w:t>
      </w:r>
      <w:r w:rsidR="00611DFB">
        <w:t>El Paso Refinery and Rod Mill</w:t>
      </w:r>
      <w:r w:rsidR="000266E0" w:rsidRPr="00C04EA2">
        <w:t xml:space="preserve"> </w:t>
      </w:r>
      <w:r w:rsidR="00CD7081">
        <w:t>that are listed below</w:t>
      </w:r>
      <w:r w:rsidR="007B3EC2">
        <w:t>:</w:t>
      </w:r>
    </w:p>
    <w:p w14:paraId="52A7883E" w14:textId="77777777" w:rsidR="007B3EC2" w:rsidRDefault="007B3EC2" w:rsidP="004535E5"/>
    <w:p w14:paraId="3B24A392" w14:textId="6000767F" w:rsidR="007B3EC2" w:rsidRPr="00B72252" w:rsidRDefault="00B76C59" w:rsidP="007B3EC2">
      <w:pPr>
        <w:pStyle w:val="BodyText"/>
        <w:ind w:right="111"/>
        <w:rPr>
          <w:rFonts w:ascii="Arial" w:hAnsi="Arial" w:cs="Arial"/>
          <w:sz w:val="20"/>
          <w:szCs w:val="20"/>
        </w:rPr>
      </w:pPr>
      <w:r w:rsidRPr="00B76C59">
        <w:rPr>
          <w:rFonts w:ascii="Arial" w:hAnsi="Arial" w:cs="Arial"/>
          <w:b/>
          <w:bCs/>
          <w:sz w:val="20"/>
          <w:szCs w:val="20"/>
        </w:rPr>
        <w:t>EPA’s Environmental Justice (EJ) Concerns</w:t>
      </w:r>
      <w:r w:rsidRPr="00B76C59">
        <w:rPr>
          <w:rFonts w:ascii="Arial" w:hAnsi="Arial" w:cs="Arial"/>
          <w:sz w:val="20"/>
          <w:szCs w:val="20"/>
        </w:rPr>
        <w:t xml:space="preserve">: </w:t>
      </w:r>
      <w:r w:rsidR="007B3EC2" w:rsidRPr="00B76C59">
        <w:rPr>
          <w:rFonts w:ascii="Arial" w:hAnsi="Arial" w:cs="Arial"/>
          <w:sz w:val="20"/>
          <w:szCs w:val="20"/>
        </w:rPr>
        <w:t>EPA Region 6 has conducted an analysis using</w:t>
      </w:r>
      <w:r w:rsidR="007B3EC2" w:rsidRPr="00B72252">
        <w:rPr>
          <w:rFonts w:ascii="Arial" w:hAnsi="Arial" w:cs="Arial"/>
          <w:sz w:val="20"/>
          <w:szCs w:val="20"/>
        </w:rPr>
        <w:t xml:space="preserve"> EPA's </w:t>
      </w:r>
      <w:proofErr w:type="spellStart"/>
      <w:r w:rsidR="007B3EC2" w:rsidRPr="00B72252">
        <w:rPr>
          <w:rFonts w:ascii="Arial" w:hAnsi="Arial" w:cs="Arial"/>
          <w:sz w:val="20"/>
          <w:szCs w:val="20"/>
        </w:rPr>
        <w:t>EJScreen</w:t>
      </w:r>
      <w:proofErr w:type="spellEnd"/>
      <w:r w:rsidR="007B3EC2" w:rsidRPr="00B72252">
        <w:rPr>
          <w:rFonts w:ascii="Arial" w:hAnsi="Arial" w:cs="Arial"/>
          <w:sz w:val="20"/>
          <w:szCs w:val="20"/>
        </w:rPr>
        <w:t xml:space="preserve"> to assess key demographic and environmental indicators within a five-kilometer radius of the Phelps Dodge El Paso Refinery and Rod Mill. This analysis shows a total population of approximately 103,000 residents within a five- kilometer radius of the facility, of which approximately 54% are low income, 26% are limited English</w:t>
      </w:r>
      <w:r w:rsidR="007B3EC2" w:rsidRPr="00B72252">
        <w:rPr>
          <w:rFonts w:ascii="Arial" w:hAnsi="Arial" w:cs="Arial"/>
          <w:spacing w:val="-3"/>
          <w:sz w:val="20"/>
          <w:szCs w:val="20"/>
        </w:rPr>
        <w:t xml:space="preserve"> </w:t>
      </w:r>
      <w:r w:rsidR="007B3EC2" w:rsidRPr="00B72252">
        <w:rPr>
          <w:rFonts w:ascii="Arial" w:hAnsi="Arial" w:cs="Arial"/>
          <w:sz w:val="20"/>
          <w:szCs w:val="20"/>
        </w:rPr>
        <w:t>speaking</w:t>
      </w:r>
      <w:r w:rsidR="007B3EC2" w:rsidRPr="00B72252">
        <w:rPr>
          <w:rFonts w:ascii="Arial" w:hAnsi="Arial" w:cs="Arial"/>
          <w:spacing w:val="-3"/>
          <w:sz w:val="20"/>
          <w:szCs w:val="20"/>
        </w:rPr>
        <w:t xml:space="preserve"> </w:t>
      </w:r>
      <w:r w:rsidR="007B3EC2" w:rsidRPr="00B72252">
        <w:rPr>
          <w:rFonts w:ascii="Arial" w:hAnsi="Arial" w:cs="Arial"/>
          <w:sz w:val="20"/>
          <w:szCs w:val="20"/>
        </w:rPr>
        <w:t>households,</w:t>
      </w:r>
      <w:r w:rsidR="007B3EC2" w:rsidRPr="00B72252">
        <w:rPr>
          <w:rFonts w:ascii="Arial" w:hAnsi="Arial" w:cs="Arial"/>
          <w:spacing w:val="-3"/>
          <w:sz w:val="20"/>
          <w:szCs w:val="20"/>
        </w:rPr>
        <w:t xml:space="preserve"> </w:t>
      </w:r>
      <w:r w:rsidR="007B3EC2" w:rsidRPr="00B72252">
        <w:rPr>
          <w:rFonts w:ascii="Arial" w:hAnsi="Arial" w:cs="Arial"/>
          <w:sz w:val="20"/>
          <w:szCs w:val="20"/>
        </w:rPr>
        <w:t>and</w:t>
      </w:r>
      <w:r w:rsidR="007B3EC2" w:rsidRPr="00B72252">
        <w:rPr>
          <w:rFonts w:ascii="Arial" w:hAnsi="Arial" w:cs="Arial"/>
          <w:spacing w:val="-3"/>
          <w:sz w:val="20"/>
          <w:szCs w:val="20"/>
        </w:rPr>
        <w:t xml:space="preserve"> </w:t>
      </w:r>
      <w:r w:rsidR="007B3EC2" w:rsidRPr="00B72252">
        <w:rPr>
          <w:rFonts w:ascii="Arial" w:hAnsi="Arial" w:cs="Arial"/>
          <w:sz w:val="20"/>
          <w:szCs w:val="20"/>
        </w:rPr>
        <w:t>27%</w:t>
      </w:r>
      <w:r w:rsidR="007B3EC2" w:rsidRPr="00B72252">
        <w:rPr>
          <w:rFonts w:ascii="Arial" w:hAnsi="Arial" w:cs="Arial"/>
          <w:spacing w:val="-4"/>
          <w:sz w:val="20"/>
          <w:szCs w:val="20"/>
        </w:rPr>
        <w:t xml:space="preserve"> </w:t>
      </w:r>
      <w:r w:rsidR="007B3EC2" w:rsidRPr="00B72252">
        <w:rPr>
          <w:rFonts w:ascii="Arial" w:hAnsi="Arial" w:cs="Arial"/>
          <w:sz w:val="20"/>
          <w:szCs w:val="20"/>
        </w:rPr>
        <w:t>have</w:t>
      </w:r>
      <w:r w:rsidR="007B3EC2" w:rsidRPr="00B72252">
        <w:rPr>
          <w:rFonts w:ascii="Arial" w:hAnsi="Arial" w:cs="Arial"/>
          <w:spacing w:val="-4"/>
          <w:sz w:val="20"/>
          <w:szCs w:val="20"/>
        </w:rPr>
        <w:t xml:space="preserve"> </w:t>
      </w:r>
      <w:r w:rsidR="007B3EC2" w:rsidRPr="00B72252">
        <w:rPr>
          <w:rFonts w:ascii="Arial" w:hAnsi="Arial" w:cs="Arial"/>
          <w:sz w:val="20"/>
          <w:szCs w:val="20"/>
        </w:rPr>
        <w:t>less</w:t>
      </w:r>
      <w:r w:rsidR="007B3EC2" w:rsidRPr="00B72252">
        <w:rPr>
          <w:rFonts w:ascii="Arial" w:hAnsi="Arial" w:cs="Arial"/>
          <w:spacing w:val="-3"/>
          <w:sz w:val="20"/>
          <w:szCs w:val="20"/>
        </w:rPr>
        <w:t xml:space="preserve"> </w:t>
      </w:r>
      <w:r w:rsidR="007B3EC2" w:rsidRPr="00B72252">
        <w:rPr>
          <w:rFonts w:ascii="Arial" w:hAnsi="Arial" w:cs="Arial"/>
          <w:sz w:val="20"/>
          <w:szCs w:val="20"/>
        </w:rPr>
        <w:t>than</w:t>
      </w:r>
      <w:r w:rsidR="007B3EC2" w:rsidRPr="00B72252">
        <w:rPr>
          <w:rFonts w:ascii="Arial" w:hAnsi="Arial" w:cs="Arial"/>
          <w:spacing w:val="-3"/>
          <w:sz w:val="20"/>
          <w:szCs w:val="20"/>
        </w:rPr>
        <w:t xml:space="preserve"> </w:t>
      </w:r>
      <w:r w:rsidR="007B3EC2" w:rsidRPr="00B72252">
        <w:rPr>
          <w:rFonts w:ascii="Arial" w:hAnsi="Arial" w:cs="Arial"/>
          <w:sz w:val="20"/>
          <w:szCs w:val="20"/>
        </w:rPr>
        <w:t>a</w:t>
      </w:r>
      <w:r w:rsidR="007B3EC2" w:rsidRPr="00B72252">
        <w:rPr>
          <w:rFonts w:ascii="Arial" w:hAnsi="Arial" w:cs="Arial"/>
          <w:spacing w:val="-4"/>
          <w:sz w:val="20"/>
          <w:szCs w:val="20"/>
        </w:rPr>
        <w:t xml:space="preserve"> </w:t>
      </w:r>
      <w:r w:rsidR="007B3EC2" w:rsidRPr="00B72252">
        <w:rPr>
          <w:rFonts w:ascii="Arial" w:hAnsi="Arial" w:cs="Arial"/>
          <w:sz w:val="20"/>
          <w:szCs w:val="20"/>
        </w:rPr>
        <w:t>high</w:t>
      </w:r>
      <w:r w:rsidR="007B3EC2" w:rsidRPr="00B72252">
        <w:rPr>
          <w:rFonts w:ascii="Arial" w:hAnsi="Arial" w:cs="Arial"/>
          <w:spacing w:val="-3"/>
          <w:sz w:val="20"/>
          <w:szCs w:val="20"/>
        </w:rPr>
        <w:t xml:space="preserve"> </w:t>
      </w:r>
      <w:r w:rsidR="007B3EC2" w:rsidRPr="00B72252">
        <w:rPr>
          <w:rFonts w:ascii="Arial" w:hAnsi="Arial" w:cs="Arial"/>
          <w:sz w:val="20"/>
          <w:szCs w:val="20"/>
        </w:rPr>
        <w:t>school</w:t>
      </w:r>
      <w:r w:rsidR="007B3EC2" w:rsidRPr="00B72252">
        <w:rPr>
          <w:rFonts w:ascii="Arial" w:hAnsi="Arial" w:cs="Arial"/>
          <w:spacing w:val="-3"/>
          <w:sz w:val="20"/>
          <w:szCs w:val="20"/>
        </w:rPr>
        <w:t xml:space="preserve"> </w:t>
      </w:r>
      <w:r w:rsidR="007B3EC2" w:rsidRPr="00B72252">
        <w:rPr>
          <w:rFonts w:ascii="Arial" w:hAnsi="Arial" w:cs="Arial"/>
          <w:sz w:val="20"/>
          <w:szCs w:val="20"/>
        </w:rPr>
        <w:t>education.</w:t>
      </w:r>
      <w:r w:rsidR="007B3EC2" w:rsidRPr="00B72252">
        <w:rPr>
          <w:rFonts w:ascii="Arial" w:hAnsi="Arial" w:cs="Arial"/>
          <w:spacing w:val="-3"/>
          <w:sz w:val="20"/>
          <w:szCs w:val="20"/>
        </w:rPr>
        <w:t xml:space="preserve"> </w:t>
      </w:r>
      <w:r w:rsidR="007B3EC2" w:rsidRPr="00B72252">
        <w:rPr>
          <w:rFonts w:ascii="Arial" w:hAnsi="Arial" w:cs="Arial"/>
          <w:sz w:val="20"/>
          <w:szCs w:val="20"/>
        </w:rPr>
        <w:t>The</w:t>
      </w:r>
      <w:r w:rsidR="007B3EC2" w:rsidRPr="00B72252">
        <w:rPr>
          <w:rFonts w:ascii="Arial" w:hAnsi="Arial" w:cs="Arial"/>
          <w:spacing w:val="-4"/>
          <w:sz w:val="20"/>
          <w:szCs w:val="20"/>
        </w:rPr>
        <w:t xml:space="preserve"> </w:t>
      </w:r>
      <w:r w:rsidR="007B3EC2" w:rsidRPr="00B72252">
        <w:rPr>
          <w:rFonts w:ascii="Arial" w:hAnsi="Arial" w:cs="Arial"/>
          <w:sz w:val="20"/>
          <w:szCs w:val="20"/>
        </w:rPr>
        <w:t>air</w:t>
      </w:r>
      <w:r w:rsidR="007B3EC2" w:rsidRPr="00B72252">
        <w:rPr>
          <w:rFonts w:ascii="Arial" w:hAnsi="Arial" w:cs="Arial"/>
          <w:spacing w:val="-4"/>
          <w:sz w:val="20"/>
          <w:szCs w:val="20"/>
        </w:rPr>
        <w:t xml:space="preserve"> </w:t>
      </w:r>
      <w:r w:rsidR="007B3EC2" w:rsidRPr="00B72252">
        <w:rPr>
          <w:rFonts w:ascii="Arial" w:hAnsi="Arial" w:cs="Arial"/>
          <w:sz w:val="20"/>
          <w:szCs w:val="20"/>
        </w:rPr>
        <w:t>toxics</w:t>
      </w:r>
      <w:r w:rsidR="007B3EC2" w:rsidRPr="00B72252">
        <w:rPr>
          <w:rFonts w:ascii="Arial" w:hAnsi="Arial" w:cs="Arial"/>
          <w:spacing w:val="-3"/>
          <w:sz w:val="20"/>
          <w:szCs w:val="20"/>
        </w:rPr>
        <w:t xml:space="preserve"> </w:t>
      </w:r>
      <w:r w:rsidR="007B3EC2" w:rsidRPr="00B72252">
        <w:rPr>
          <w:rFonts w:ascii="Arial" w:hAnsi="Arial" w:cs="Arial"/>
          <w:sz w:val="20"/>
          <w:szCs w:val="20"/>
        </w:rPr>
        <w:t xml:space="preserve">cancer risk (lifetime risk per million) is 53, whereas the state risk is on average 31. In addition, the EPA reviewed the </w:t>
      </w:r>
      <w:proofErr w:type="spellStart"/>
      <w:r w:rsidR="007B3EC2" w:rsidRPr="00B72252">
        <w:rPr>
          <w:rFonts w:ascii="Arial" w:hAnsi="Arial" w:cs="Arial"/>
          <w:sz w:val="20"/>
          <w:szCs w:val="20"/>
        </w:rPr>
        <w:t>EJScreen</w:t>
      </w:r>
      <w:proofErr w:type="spellEnd"/>
      <w:r w:rsidR="007B3EC2" w:rsidRPr="00B72252">
        <w:rPr>
          <w:rFonts w:ascii="Arial" w:hAnsi="Arial" w:cs="Arial"/>
          <w:sz w:val="20"/>
          <w:szCs w:val="20"/>
        </w:rPr>
        <w:t xml:space="preserve"> EJ Indices, which combine certain demographic indicators with 12 environmental indicators. The results show that 9 of the 12 EJ Indices in this five-kilometer radius</w:t>
      </w:r>
      <w:r w:rsidR="007B3EC2">
        <w:rPr>
          <w:rFonts w:ascii="Arial" w:hAnsi="Arial" w:cs="Arial"/>
          <w:sz w:val="20"/>
          <w:szCs w:val="20"/>
        </w:rPr>
        <w:t xml:space="preserve"> </w:t>
      </w:r>
      <w:r w:rsidR="007B3EC2" w:rsidRPr="00B72252">
        <w:rPr>
          <w:rFonts w:ascii="Arial" w:hAnsi="Arial" w:cs="Arial"/>
          <w:sz w:val="20"/>
          <w:szCs w:val="20"/>
        </w:rPr>
        <w:t>area</w:t>
      </w:r>
      <w:r w:rsidR="007B3EC2" w:rsidRPr="00B72252">
        <w:rPr>
          <w:rFonts w:ascii="Arial" w:hAnsi="Arial" w:cs="Arial"/>
          <w:spacing w:val="-1"/>
          <w:sz w:val="20"/>
          <w:szCs w:val="20"/>
        </w:rPr>
        <w:t xml:space="preserve"> </w:t>
      </w:r>
      <w:r w:rsidR="007B3EC2" w:rsidRPr="00B72252">
        <w:rPr>
          <w:rFonts w:ascii="Arial" w:hAnsi="Arial" w:cs="Arial"/>
          <w:sz w:val="20"/>
          <w:szCs w:val="20"/>
        </w:rPr>
        <w:t>exceed</w:t>
      </w:r>
      <w:r w:rsidR="007B3EC2" w:rsidRPr="00B72252">
        <w:rPr>
          <w:rFonts w:ascii="Arial" w:hAnsi="Arial" w:cs="Arial"/>
          <w:spacing w:val="-2"/>
          <w:sz w:val="20"/>
          <w:szCs w:val="20"/>
        </w:rPr>
        <w:t xml:space="preserve"> </w:t>
      </w:r>
      <w:r w:rsidR="007B3EC2" w:rsidRPr="00B72252">
        <w:rPr>
          <w:rFonts w:ascii="Arial" w:hAnsi="Arial" w:cs="Arial"/>
          <w:sz w:val="20"/>
          <w:szCs w:val="20"/>
        </w:rPr>
        <w:t>the</w:t>
      </w:r>
      <w:r w:rsidR="007B3EC2" w:rsidRPr="00B72252">
        <w:rPr>
          <w:rFonts w:ascii="Arial" w:hAnsi="Arial" w:cs="Arial"/>
          <w:spacing w:val="-3"/>
          <w:sz w:val="20"/>
          <w:szCs w:val="20"/>
        </w:rPr>
        <w:t xml:space="preserve"> </w:t>
      </w:r>
      <w:r w:rsidR="007B3EC2" w:rsidRPr="00B72252">
        <w:rPr>
          <w:rFonts w:ascii="Arial" w:hAnsi="Arial" w:cs="Arial"/>
          <w:sz w:val="20"/>
          <w:szCs w:val="20"/>
        </w:rPr>
        <w:t>70th</w:t>
      </w:r>
      <w:r w:rsidR="007B3EC2" w:rsidRPr="00B72252">
        <w:rPr>
          <w:rFonts w:ascii="Arial" w:hAnsi="Arial" w:cs="Arial"/>
          <w:spacing w:val="-2"/>
          <w:sz w:val="20"/>
          <w:szCs w:val="20"/>
        </w:rPr>
        <w:t xml:space="preserve"> </w:t>
      </w:r>
      <w:r w:rsidR="007B3EC2" w:rsidRPr="00B72252">
        <w:rPr>
          <w:rFonts w:ascii="Arial" w:hAnsi="Arial" w:cs="Arial"/>
          <w:sz w:val="20"/>
          <w:szCs w:val="20"/>
        </w:rPr>
        <w:t>percentile</w:t>
      </w:r>
      <w:r w:rsidR="007B3EC2" w:rsidRPr="00B72252">
        <w:rPr>
          <w:rFonts w:ascii="Arial" w:hAnsi="Arial" w:cs="Arial"/>
          <w:spacing w:val="-3"/>
          <w:sz w:val="20"/>
          <w:szCs w:val="20"/>
        </w:rPr>
        <w:t xml:space="preserve"> </w:t>
      </w:r>
      <w:r w:rsidR="007B3EC2" w:rsidRPr="00B72252">
        <w:rPr>
          <w:rFonts w:ascii="Arial" w:hAnsi="Arial" w:cs="Arial"/>
          <w:sz w:val="20"/>
          <w:szCs w:val="20"/>
        </w:rPr>
        <w:t>in</w:t>
      </w:r>
      <w:r w:rsidR="007B3EC2" w:rsidRPr="00B72252">
        <w:rPr>
          <w:rFonts w:ascii="Arial" w:hAnsi="Arial" w:cs="Arial"/>
          <w:spacing w:val="-2"/>
          <w:sz w:val="20"/>
          <w:szCs w:val="20"/>
        </w:rPr>
        <w:t xml:space="preserve"> </w:t>
      </w:r>
      <w:r w:rsidR="007B3EC2" w:rsidRPr="00B72252">
        <w:rPr>
          <w:rFonts w:ascii="Arial" w:hAnsi="Arial" w:cs="Arial"/>
          <w:sz w:val="20"/>
          <w:szCs w:val="20"/>
        </w:rPr>
        <w:t>the</w:t>
      </w:r>
      <w:r w:rsidR="007B3EC2" w:rsidRPr="00B72252">
        <w:rPr>
          <w:rFonts w:ascii="Arial" w:hAnsi="Arial" w:cs="Arial"/>
          <w:spacing w:val="-3"/>
          <w:sz w:val="20"/>
          <w:szCs w:val="20"/>
        </w:rPr>
        <w:t xml:space="preserve"> </w:t>
      </w:r>
      <w:r w:rsidR="007B3EC2" w:rsidRPr="00B72252">
        <w:rPr>
          <w:rFonts w:ascii="Arial" w:hAnsi="Arial" w:cs="Arial"/>
          <w:sz w:val="20"/>
          <w:szCs w:val="20"/>
        </w:rPr>
        <w:t>State</w:t>
      </w:r>
      <w:r w:rsidR="007B3EC2" w:rsidRPr="00B72252">
        <w:rPr>
          <w:rFonts w:ascii="Arial" w:hAnsi="Arial" w:cs="Arial"/>
          <w:spacing w:val="-3"/>
          <w:sz w:val="20"/>
          <w:szCs w:val="20"/>
        </w:rPr>
        <w:t xml:space="preserve"> </w:t>
      </w:r>
      <w:r w:rsidR="007B3EC2" w:rsidRPr="00B72252">
        <w:rPr>
          <w:rFonts w:ascii="Arial" w:hAnsi="Arial" w:cs="Arial"/>
          <w:sz w:val="20"/>
          <w:szCs w:val="20"/>
        </w:rPr>
        <w:t>of</w:t>
      </w:r>
      <w:r w:rsidR="007B3EC2" w:rsidRPr="00B72252">
        <w:rPr>
          <w:rFonts w:ascii="Arial" w:hAnsi="Arial" w:cs="Arial"/>
          <w:spacing w:val="-3"/>
          <w:sz w:val="20"/>
          <w:szCs w:val="20"/>
        </w:rPr>
        <w:t xml:space="preserve"> </w:t>
      </w:r>
      <w:r w:rsidR="007B3EC2" w:rsidRPr="00B72252">
        <w:rPr>
          <w:rFonts w:ascii="Arial" w:hAnsi="Arial" w:cs="Arial"/>
          <w:sz w:val="20"/>
          <w:szCs w:val="20"/>
        </w:rPr>
        <w:t>Texas,</w:t>
      </w:r>
      <w:r w:rsidR="007B3EC2" w:rsidRPr="00B72252">
        <w:rPr>
          <w:rFonts w:ascii="Arial" w:hAnsi="Arial" w:cs="Arial"/>
          <w:spacing w:val="-2"/>
          <w:sz w:val="20"/>
          <w:szCs w:val="20"/>
        </w:rPr>
        <w:t xml:space="preserve"> </w:t>
      </w:r>
      <w:r w:rsidR="007B3EC2" w:rsidRPr="00B72252">
        <w:rPr>
          <w:rFonts w:ascii="Arial" w:hAnsi="Arial" w:cs="Arial"/>
          <w:sz w:val="20"/>
          <w:szCs w:val="20"/>
        </w:rPr>
        <w:t>with</w:t>
      </w:r>
      <w:r w:rsidR="007B3EC2" w:rsidRPr="00B72252">
        <w:rPr>
          <w:rFonts w:ascii="Arial" w:hAnsi="Arial" w:cs="Arial"/>
          <w:spacing w:val="-2"/>
          <w:sz w:val="20"/>
          <w:szCs w:val="20"/>
        </w:rPr>
        <w:t xml:space="preserve"> </w:t>
      </w:r>
      <w:r w:rsidR="007B3EC2" w:rsidRPr="00B72252">
        <w:rPr>
          <w:rFonts w:ascii="Arial" w:hAnsi="Arial" w:cs="Arial"/>
          <w:sz w:val="20"/>
          <w:szCs w:val="20"/>
        </w:rPr>
        <w:t>7</w:t>
      </w:r>
      <w:r w:rsidR="007B3EC2" w:rsidRPr="00B72252">
        <w:rPr>
          <w:rFonts w:ascii="Arial" w:hAnsi="Arial" w:cs="Arial"/>
          <w:spacing w:val="-2"/>
          <w:sz w:val="20"/>
          <w:szCs w:val="20"/>
        </w:rPr>
        <w:t xml:space="preserve"> </w:t>
      </w:r>
      <w:r w:rsidR="007B3EC2" w:rsidRPr="00B72252">
        <w:rPr>
          <w:rFonts w:ascii="Arial" w:hAnsi="Arial" w:cs="Arial"/>
          <w:sz w:val="20"/>
          <w:szCs w:val="20"/>
        </w:rPr>
        <w:t>of</w:t>
      </w:r>
      <w:r w:rsidR="007B3EC2" w:rsidRPr="00B72252">
        <w:rPr>
          <w:rFonts w:ascii="Arial" w:hAnsi="Arial" w:cs="Arial"/>
          <w:spacing w:val="-3"/>
          <w:sz w:val="20"/>
          <w:szCs w:val="20"/>
        </w:rPr>
        <w:t xml:space="preserve"> </w:t>
      </w:r>
      <w:r w:rsidR="007B3EC2" w:rsidRPr="00B72252">
        <w:rPr>
          <w:rFonts w:ascii="Arial" w:hAnsi="Arial" w:cs="Arial"/>
          <w:sz w:val="20"/>
          <w:szCs w:val="20"/>
        </w:rPr>
        <w:t>the</w:t>
      </w:r>
      <w:r w:rsidR="007B3EC2" w:rsidRPr="00B72252">
        <w:rPr>
          <w:rFonts w:ascii="Arial" w:hAnsi="Arial" w:cs="Arial"/>
          <w:spacing w:val="-3"/>
          <w:sz w:val="20"/>
          <w:szCs w:val="20"/>
        </w:rPr>
        <w:t xml:space="preserve"> </w:t>
      </w:r>
      <w:r w:rsidR="007B3EC2" w:rsidRPr="00B72252">
        <w:rPr>
          <w:rFonts w:ascii="Arial" w:hAnsi="Arial" w:cs="Arial"/>
          <w:sz w:val="20"/>
          <w:szCs w:val="20"/>
        </w:rPr>
        <w:t>12</w:t>
      </w:r>
      <w:r w:rsidR="007B3EC2" w:rsidRPr="00B72252">
        <w:rPr>
          <w:rFonts w:ascii="Arial" w:hAnsi="Arial" w:cs="Arial"/>
          <w:spacing w:val="-2"/>
          <w:sz w:val="20"/>
          <w:szCs w:val="20"/>
        </w:rPr>
        <w:t xml:space="preserve"> </w:t>
      </w:r>
      <w:r w:rsidR="007B3EC2" w:rsidRPr="00B72252">
        <w:rPr>
          <w:rFonts w:ascii="Arial" w:hAnsi="Arial" w:cs="Arial"/>
          <w:sz w:val="20"/>
          <w:szCs w:val="20"/>
        </w:rPr>
        <w:t>EJ Indices</w:t>
      </w:r>
      <w:r w:rsidR="007B3EC2" w:rsidRPr="00B72252">
        <w:rPr>
          <w:rFonts w:ascii="Arial" w:hAnsi="Arial" w:cs="Arial"/>
          <w:spacing w:val="-2"/>
          <w:sz w:val="20"/>
          <w:szCs w:val="20"/>
        </w:rPr>
        <w:t xml:space="preserve"> </w:t>
      </w:r>
      <w:r w:rsidR="007B3EC2" w:rsidRPr="00B72252">
        <w:rPr>
          <w:rFonts w:ascii="Arial" w:hAnsi="Arial" w:cs="Arial"/>
          <w:sz w:val="20"/>
          <w:szCs w:val="20"/>
        </w:rPr>
        <w:t>exceeding</w:t>
      </w:r>
      <w:r w:rsidR="007B3EC2" w:rsidRPr="00B72252">
        <w:rPr>
          <w:rFonts w:ascii="Arial" w:hAnsi="Arial" w:cs="Arial"/>
          <w:spacing w:val="-2"/>
          <w:sz w:val="20"/>
          <w:szCs w:val="20"/>
        </w:rPr>
        <w:t xml:space="preserve"> </w:t>
      </w:r>
      <w:r w:rsidR="007B3EC2" w:rsidRPr="00B72252">
        <w:rPr>
          <w:rFonts w:ascii="Arial" w:hAnsi="Arial" w:cs="Arial"/>
          <w:sz w:val="20"/>
          <w:szCs w:val="20"/>
        </w:rPr>
        <w:t>the</w:t>
      </w:r>
      <w:r w:rsidR="007B3EC2" w:rsidRPr="00B72252">
        <w:rPr>
          <w:rFonts w:ascii="Arial" w:hAnsi="Arial" w:cs="Arial"/>
          <w:spacing w:val="-3"/>
          <w:sz w:val="20"/>
          <w:szCs w:val="20"/>
        </w:rPr>
        <w:t xml:space="preserve"> </w:t>
      </w:r>
      <w:r w:rsidR="007B3EC2" w:rsidRPr="00B72252">
        <w:rPr>
          <w:rFonts w:ascii="Arial" w:hAnsi="Arial" w:cs="Arial"/>
          <w:sz w:val="20"/>
          <w:szCs w:val="20"/>
        </w:rPr>
        <w:t>80th percentile, and 3 of the 12 EJ indices exceeding the 90</w:t>
      </w:r>
      <w:r w:rsidR="007B3EC2" w:rsidRPr="00B72252">
        <w:rPr>
          <w:rFonts w:ascii="Arial" w:hAnsi="Arial" w:cs="Arial"/>
          <w:sz w:val="20"/>
          <w:szCs w:val="20"/>
          <w:vertAlign w:val="superscript"/>
        </w:rPr>
        <w:t>th</w:t>
      </w:r>
      <w:r w:rsidR="007B3EC2" w:rsidRPr="00B72252">
        <w:rPr>
          <w:rFonts w:ascii="Arial" w:hAnsi="Arial" w:cs="Arial"/>
          <w:sz w:val="20"/>
          <w:szCs w:val="20"/>
        </w:rPr>
        <w:t xml:space="preserve"> percentile.</w:t>
      </w:r>
    </w:p>
    <w:p w14:paraId="07A3FBEC" w14:textId="77777777" w:rsidR="007B3EC2" w:rsidRPr="00B72252" w:rsidRDefault="007B3EC2" w:rsidP="007B3EC2">
      <w:pPr>
        <w:pStyle w:val="BodyText"/>
        <w:rPr>
          <w:rFonts w:ascii="Arial" w:hAnsi="Arial" w:cs="Arial"/>
          <w:sz w:val="20"/>
          <w:szCs w:val="20"/>
        </w:rPr>
      </w:pPr>
    </w:p>
    <w:p w14:paraId="39044515" w14:textId="77777777" w:rsidR="007B3EC2" w:rsidRPr="00B72252" w:rsidRDefault="007B3EC2" w:rsidP="00BF5989">
      <w:pPr>
        <w:pStyle w:val="BodyText"/>
        <w:ind w:right="111"/>
        <w:rPr>
          <w:rFonts w:ascii="Arial" w:hAnsi="Arial" w:cs="Arial"/>
          <w:sz w:val="20"/>
          <w:szCs w:val="20"/>
        </w:rPr>
      </w:pPr>
      <w:r w:rsidRPr="00B72252">
        <w:rPr>
          <w:rFonts w:ascii="Arial" w:hAnsi="Arial" w:cs="Arial"/>
          <w:sz w:val="20"/>
          <w:szCs w:val="20"/>
        </w:rPr>
        <w:t>Tools to address EJ concerns have been and continue to be developed by EPA to assist states and stakeholders in evaluating environmental justice</w:t>
      </w:r>
      <w:hyperlink w:anchor="_bookmark1" w:history="1">
        <w:r w:rsidRPr="00B72252">
          <w:rPr>
            <w:rFonts w:ascii="Arial" w:hAnsi="Arial" w:cs="Arial"/>
            <w:sz w:val="20"/>
            <w:szCs w:val="20"/>
            <w:vertAlign w:val="superscript"/>
          </w:rPr>
          <w:t>2</w:t>
        </w:r>
      </w:hyperlink>
      <w:r w:rsidRPr="00B72252">
        <w:rPr>
          <w:rFonts w:ascii="Arial" w:hAnsi="Arial" w:cs="Arial"/>
          <w:sz w:val="20"/>
          <w:szCs w:val="20"/>
        </w:rPr>
        <w:t xml:space="preserve">. </w:t>
      </w:r>
      <w:proofErr w:type="gramStart"/>
      <w:r w:rsidRPr="00B72252">
        <w:rPr>
          <w:rFonts w:ascii="Arial" w:hAnsi="Arial" w:cs="Arial"/>
          <w:sz w:val="20"/>
          <w:szCs w:val="20"/>
        </w:rPr>
        <w:t>In order to</w:t>
      </w:r>
      <w:proofErr w:type="gramEnd"/>
      <w:r w:rsidRPr="00B72252">
        <w:rPr>
          <w:rFonts w:ascii="Arial" w:hAnsi="Arial" w:cs="Arial"/>
          <w:sz w:val="20"/>
          <w:szCs w:val="20"/>
        </w:rPr>
        <w:t xml:space="preserve"> fully assess equity considerations for overburdened communities during the permitting process, EPA believes that an EJ analysis should include input received from the community, an evaluation of existing environmental data, use of known</w:t>
      </w:r>
      <w:r w:rsidRPr="00B72252">
        <w:rPr>
          <w:rFonts w:ascii="Arial" w:hAnsi="Arial" w:cs="Arial"/>
          <w:spacing w:val="-4"/>
          <w:sz w:val="20"/>
          <w:szCs w:val="20"/>
        </w:rPr>
        <w:t xml:space="preserve"> </w:t>
      </w:r>
      <w:r w:rsidRPr="00B72252">
        <w:rPr>
          <w:rFonts w:ascii="Arial" w:hAnsi="Arial" w:cs="Arial"/>
          <w:sz w:val="20"/>
          <w:szCs w:val="20"/>
        </w:rPr>
        <w:t>demographic</w:t>
      </w:r>
      <w:r w:rsidRPr="00B72252">
        <w:rPr>
          <w:rFonts w:ascii="Arial" w:hAnsi="Arial" w:cs="Arial"/>
          <w:spacing w:val="-5"/>
          <w:sz w:val="20"/>
          <w:szCs w:val="20"/>
        </w:rPr>
        <w:t xml:space="preserve"> </w:t>
      </w:r>
      <w:r w:rsidRPr="00B72252">
        <w:rPr>
          <w:rFonts w:ascii="Arial" w:hAnsi="Arial" w:cs="Arial"/>
          <w:sz w:val="20"/>
          <w:szCs w:val="20"/>
        </w:rPr>
        <w:t>information,</w:t>
      </w:r>
      <w:r w:rsidRPr="00B72252">
        <w:rPr>
          <w:rFonts w:ascii="Arial" w:hAnsi="Arial" w:cs="Arial"/>
          <w:spacing w:val="-4"/>
          <w:sz w:val="20"/>
          <w:szCs w:val="20"/>
        </w:rPr>
        <w:t xml:space="preserve"> </w:t>
      </w:r>
      <w:r w:rsidRPr="00B72252">
        <w:rPr>
          <w:rFonts w:ascii="Arial" w:hAnsi="Arial" w:cs="Arial"/>
          <w:sz w:val="20"/>
          <w:szCs w:val="20"/>
        </w:rPr>
        <w:t>and</w:t>
      </w:r>
      <w:r w:rsidRPr="00B72252">
        <w:rPr>
          <w:rFonts w:ascii="Arial" w:hAnsi="Arial" w:cs="Arial"/>
          <w:spacing w:val="-4"/>
          <w:sz w:val="20"/>
          <w:szCs w:val="20"/>
        </w:rPr>
        <w:t xml:space="preserve"> </w:t>
      </w:r>
      <w:r w:rsidRPr="00B72252">
        <w:rPr>
          <w:rFonts w:ascii="Arial" w:hAnsi="Arial" w:cs="Arial"/>
          <w:sz w:val="20"/>
          <w:szCs w:val="20"/>
        </w:rPr>
        <w:t>other</w:t>
      </w:r>
      <w:r w:rsidRPr="00B72252">
        <w:rPr>
          <w:rFonts w:ascii="Arial" w:hAnsi="Arial" w:cs="Arial"/>
          <w:spacing w:val="-5"/>
          <w:sz w:val="20"/>
          <w:szCs w:val="20"/>
        </w:rPr>
        <w:t xml:space="preserve"> </w:t>
      </w:r>
      <w:r w:rsidRPr="00B72252">
        <w:rPr>
          <w:rFonts w:ascii="Arial" w:hAnsi="Arial" w:cs="Arial"/>
          <w:sz w:val="20"/>
          <w:szCs w:val="20"/>
        </w:rPr>
        <w:t>relevant</w:t>
      </w:r>
      <w:r w:rsidRPr="00B72252">
        <w:rPr>
          <w:rFonts w:ascii="Arial" w:hAnsi="Arial" w:cs="Arial"/>
          <w:spacing w:val="-4"/>
          <w:sz w:val="20"/>
          <w:szCs w:val="20"/>
        </w:rPr>
        <w:t xml:space="preserve"> </w:t>
      </w:r>
      <w:r w:rsidRPr="00B72252">
        <w:rPr>
          <w:rFonts w:ascii="Arial" w:hAnsi="Arial" w:cs="Arial"/>
          <w:sz w:val="20"/>
          <w:szCs w:val="20"/>
        </w:rPr>
        <w:t>information</w:t>
      </w:r>
      <w:r w:rsidRPr="00B72252">
        <w:rPr>
          <w:rFonts w:ascii="Arial" w:hAnsi="Arial" w:cs="Arial"/>
          <w:spacing w:val="-4"/>
          <w:sz w:val="20"/>
          <w:szCs w:val="20"/>
        </w:rPr>
        <w:t xml:space="preserve"> </w:t>
      </w:r>
      <w:r w:rsidRPr="00B72252">
        <w:rPr>
          <w:rFonts w:ascii="Arial" w:hAnsi="Arial" w:cs="Arial"/>
          <w:sz w:val="20"/>
          <w:szCs w:val="20"/>
        </w:rPr>
        <w:t>as</w:t>
      </w:r>
      <w:r w:rsidRPr="00B72252">
        <w:rPr>
          <w:rFonts w:ascii="Arial" w:hAnsi="Arial" w:cs="Arial"/>
          <w:spacing w:val="-4"/>
          <w:sz w:val="20"/>
          <w:szCs w:val="20"/>
        </w:rPr>
        <w:t xml:space="preserve"> </w:t>
      </w:r>
      <w:r w:rsidRPr="00B72252">
        <w:rPr>
          <w:rFonts w:ascii="Arial" w:hAnsi="Arial" w:cs="Arial"/>
          <w:sz w:val="20"/>
          <w:szCs w:val="20"/>
        </w:rPr>
        <w:t>much</w:t>
      </w:r>
      <w:r w:rsidRPr="00B72252">
        <w:rPr>
          <w:rFonts w:ascii="Arial" w:hAnsi="Arial" w:cs="Arial"/>
          <w:spacing w:val="-4"/>
          <w:sz w:val="20"/>
          <w:szCs w:val="20"/>
        </w:rPr>
        <w:t xml:space="preserve"> </w:t>
      </w:r>
      <w:r w:rsidRPr="00B72252">
        <w:rPr>
          <w:rFonts w:ascii="Arial" w:hAnsi="Arial" w:cs="Arial"/>
          <w:sz w:val="20"/>
          <w:szCs w:val="20"/>
        </w:rPr>
        <w:t>as</w:t>
      </w:r>
      <w:r w:rsidRPr="00B72252">
        <w:rPr>
          <w:rFonts w:ascii="Arial" w:hAnsi="Arial" w:cs="Arial"/>
          <w:spacing w:val="-4"/>
          <w:sz w:val="20"/>
          <w:szCs w:val="20"/>
        </w:rPr>
        <w:t xml:space="preserve"> </w:t>
      </w:r>
      <w:r w:rsidRPr="00B72252">
        <w:rPr>
          <w:rFonts w:ascii="Arial" w:hAnsi="Arial" w:cs="Arial"/>
          <w:sz w:val="20"/>
          <w:szCs w:val="20"/>
        </w:rPr>
        <w:t>possible.</w:t>
      </w:r>
      <w:r w:rsidRPr="00B72252">
        <w:rPr>
          <w:rFonts w:ascii="Arial" w:hAnsi="Arial" w:cs="Arial"/>
          <w:spacing w:val="-4"/>
          <w:sz w:val="20"/>
          <w:szCs w:val="20"/>
        </w:rPr>
        <w:t xml:space="preserve"> </w:t>
      </w:r>
      <w:r w:rsidRPr="00B72252">
        <w:rPr>
          <w:rFonts w:ascii="Arial" w:hAnsi="Arial" w:cs="Arial"/>
          <w:sz w:val="20"/>
          <w:szCs w:val="20"/>
        </w:rPr>
        <w:t>We</w:t>
      </w:r>
      <w:r w:rsidRPr="00B72252">
        <w:rPr>
          <w:rFonts w:ascii="Arial" w:hAnsi="Arial" w:cs="Arial"/>
          <w:spacing w:val="-5"/>
          <w:sz w:val="20"/>
          <w:szCs w:val="20"/>
        </w:rPr>
        <w:t xml:space="preserve"> </w:t>
      </w:r>
      <w:r w:rsidRPr="00B72252">
        <w:rPr>
          <w:rFonts w:ascii="Arial" w:hAnsi="Arial" w:cs="Arial"/>
          <w:sz w:val="20"/>
          <w:szCs w:val="20"/>
        </w:rPr>
        <w:t xml:space="preserve">encourage TCEQ to screen permitting actions for EJ concerns and to consider potential compliance issues related to civil rights of the communities potentially impacted early in the permitting process by utilizing </w:t>
      </w:r>
      <w:proofErr w:type="spellStart"/>
      <w:r w:rsidRPr="00B72252">
        <w:rPr>
          <w:rFonts w:ascii="Arial" w:hAnsi="Arial" w:cs="Arial"/>
          <w:sz w:val="20"/>
          <w:szCs w:val="20"/>
        </w:rPr>
        <w:t>EJScreen</w:t>
      </w:r>
      <w:proofErr w:type="spellEnd"/>
      <w:r w:rsidRPr="00B72252">
        <w:rPr>
          <w:rFonts w:ascii="Arial" w:hAnsi="Arial" w:cs="Arial"/>
          <w:sz w:val="20"/>
          <w:szCs w:val="20"/>
        </w:rPr>
        <w:t xml:space="preserve"> and knowledge of the impacted area. This screening will indicate whether a permitting decision has the potential to contribute to significant public health or environmental impacts, if the community may be particularly vulnerable to impacts from the proposed permit, and whether the community is already disproportionately impacted either by public health or environmental burdens. A sound screening practice will also provide important information as to whether there are residents of the affected community who could be disproportionately subjected to adverse health, environmental and/or quality of </w:t>
      </w:r>
      <w:r w:rsidRPr="00B72252">
        <w:rPr>
          <w:rFonts w:ascii="Arial" w:hAnsi="Arial" w:cs="Arial"/>
          <w:sz w:val="20"/>
          <w:szCs w:val="20"/>
        </w:rPr>
        <w:lastRenderedPageBreak/>
        <w:t xml:space="preserve">life impacts </w:t>
      </w:r>
      <w:proofErr w:type="gramStart"/>
      <w:r w:rsidRPr="00B72252">
        <w:rPr>
          <w:rFonts w:ascii="Arial" w:hAnsi="Arial" w:cs="Arial"/>
          <w:sz w:val="20"/>
          <w:szCs w:val="20"/>
        </w:rPr>
        <w:t>on the basis of</w:t>
      </w:r>
      <w:proofErr w:type="gramEnd"/>
      <w:r w:rsidRPr="00B72252">
        <w:rPr>
          <w:rFonts w:ascii="Arial" w:hAnsi="Arial" w:cs="Arial"/>
          <w:sz w:val="20"/>
          <w:szCs w:val="20"/>
        </w:rPr>
        <w:t xml:space="preserve"> race, color, or national origin (including LEP status). TCEQ should take into consideration other permitted facilities in the area, including whether these facilities are major or minor sources of pollution and contribute to community risk. An area with an above average number of sources, especially if those sources are large or </w:t>
      </w:r>
      <w:proofErr w:type="gramStart"/>
      <w:r w:rsidRPr="00B72252">
        <w:rPr>
          <w:rFonts w:ascii="Arial" w:hAnsi="Arial" w:cs="Arial"/>
          <w:sz w:val="20"/>
          <w:szCs w:val="20"/>
        </w:rPr>
        <w:t>in close proximity to</w:t>
      </w:r>
      <w:proofErr w:type="gramEnd"/>
      <w:r w:rsidRPr="00B72252">
        <w:rPr>
          <w:rFonts w:ascii="Arial" w:hAnsi="Arial" w:cs="Arial"/>
          <w:sz w:val="20"/>
          <w:szCs w:val="20"/>
        </w:rPr>
        <w:t xml:space="preserve"> residents, is a sign of concern.</w:t>
      </w:r>
    </w:p>
    <w:p w14:paraId="73DB00E1" w14:textId="77777777" w:rsidR="007B3EC2" w:rsidRPr="00B72252" w:rsidRDefault="007B3EC2" w:rsidP="007B3EC2">
      <w:pPr>
        <w:pStyle w:val="BodyText"/>
        <w:rPr>
          <w:rFonts w:ascii="Arial" w:hAnsi="Arial" w:cs="Arial"/>
          <w:sz w:val="20"/>
          <w:szCs w:val="20"/>
        </w:rPr>
      </w:pPr>
    </w:p>
    <w:p w14:paraId="7896C5F9" w14:textId="77777777" w:rsidR="00217583" w:rsidRDefault="007B3EC2" w:rsidP="00217583">
      <w:pPr>
        <w:rPr>
          <w:rStyle w:val="Strong"/>
        </w:rPr>
      </w:pPr>
      <w:r w:rsidRPr="00B72252">
        <w:rPr>
          <w:rFonts w:cs="Arial"/>
          <w:szCs w:val="20"/>
        </w:rPr>
        <w:t>Finally, the EPA notes that civil rights regulations prohibit state, local, or other entities that receive federal financial assistance, either directly or indirectly from EPA (recipients) from taking actions that are intentionally discriminatory as well as practices that have an unjustified discriminatory effect, including on the bases of race, color, or national origin. EJ and civil rights compliance are complementary. Integrating environmental justice in decision making and ensuring compliance with civil rights laws can, together, address the strong correlation between the distribution of environmental</w:t>
      </w:r>
      <w:r w:rsidRPr="00B72252">
        <w:rPr>
          <w:rFonts w:cs="Arial"/>
          <w:spacing w:val="-3"/>
          <w:szCs w:val="20"/>
        </w:rPr>
        <w:t xml:space="preserve"> </w:t>
      </w:r>
      <w:r w:rsidRPr="00B72252">
        <w:rPr>
          <w:rFonts w:cs="Arial"/>
          <w:szCs w:val="20"/>
        </w:rPr>
        <w:t>burdens</w:t>
      </w:r>
      <w:r w:rsidRPr="00B72252">
        <w:rPr>
          <w:rFonts w:cs="Arial"/>
          <w:spacing w:val="-1"/>
          <w:szCs w:val="20"/>
        </w:rPr>
        <w:t xml:space="preserve"> </w:t>
      </w:r>
      <w:r w:rsidRPr="00B72252">
        <w:rPr>
          <w:rFonts w:cs="Arial"/>
          <w:szCs w:val="20"/>
        </w:rPr>
        <w:t>and</w:t>
      </w:r>
      <w:r w:rsidRPr="00B72252">
        <w:rPr>
          <w:rFonts w:cs="Arial"/>
          <w:spacing w:val="-3"/>
          <w:szCs w:val="20"/>
        </w:rPr>
        <w:t xml:space="preserve"> </w:t>
      </w:r>
      <w:r w:rsidRPr="00B72252">
        <w:rPr>
          <w:rFonts w:cs="Arial"/>
          <w:szCs w:val="20"/>
        </w:rPr>
        <w:t>benefits</w:t>
      </w:r>
      <w:r w:rsidRPr="00B72252">
        <w:rPr>
          <w:rFonts w:cs="Arial"/>
          <w:spacing w:val="-3"/>
          <w:szCs w:val="20"/>
        </w:rPr>
        <w:t xml:space="preserve"> </w:t>
      </w:r>
      <w:r w:rsidRPr="00B72252">
        <w:rPr>
          <w:rFonts w:cs="Arial"/>
          <w:szCs w:val="20"/>
        </w:rPr>
        <w:t>and</w:t>
      </w:r>
      <w:r w:rsidRPr="00B72252">
        <w:rPr>
          <w:rFonts w:cs="Arial"/>
          <w:spacing w:val="-3"/>
          <w:szCs w:val="20"/>
        </w:rPr>
        <w:t xml:space="preserve"> </w:t>
      </w:r>
      <w:r w:rsidRPr="00B72252">
        <w:rPr>
          <w:rFonts w:cs="Arial"/>
          <w:szCs w:val="20"/>
        </w:rPr>
        <w:t>the</w:t>
      </w:r>
      <w:r w:rsidRPr="00B72252">
        <w:rPr>
          <w:rFonts w:cs="Arial"/>
          <w:spacing w:val="-4"/>
          <w:szCs w:val="20"/>
        </w:rPr>
        <w:t xml:space="preserve"> </w:t>
      </w:r>
      <w:r w:rsidRPr="00B72252">
        <w:rPr>
          <w:rFonts w:cs="Arial"/>
          <w:szCs w:val="20"/>
        </w:rPr>
        <w:t>racial</w:t>
      </w:r>
      <w:r w:rsidRPr="00B72252">
        <w:rPr>
          <w:rFonts w:cs="Arial"/>
          <w:spacing w:val="-1"/>
          <w:szCs w:val="20"/>
        </w:rPr>
        <w:t xml:space="preserve"> </w:t>
      </w:r>
      <w:r w:rsidRPr="00B72252">
        <w:rPr>
          <w:rFonts w:cs="Arial"/>
          <w:szCs w:val="20"/>
        </w:rPr>
        <w:t>and</w:t>
      </w:r>
      <w:r w:rsidRPr="00B72252">
        <w:rPr>
          <w:rFonts w:cs="Arial"/>
          <w:spacing w:val="-3"/>
          <w:szCs w:val="20"/>
        </w:rPr>
        <w:t xml:space="preserve"> </w:t>
      </w:r>
      <w:r w:rsidRPr="00B72252">
        <w:rPr>
          <w:rFonts w:cs="Arial"/>
          <w:szCs w:val="20"/>
        </w:rPr>
        <w:t>ethnic</w:t>
      </w:r>
      <w:r w:rsidRPr="00B72252">
        <w:rPr>
          <w:rFonts w:cs="Arial"/>
          <w:spacing w:val="-4"/>
          <w:szCs w:val="20"/>
        </w:rPr>
        <w:t xml:space="preserve"> </w:t>
      </w:r>
      <w:r w:rsidRPr="00B72252">
        <w:rPr>
          <w:rFonts w:cs="Arial"/>
          <w:szCs w:val="20"/>
        </w:rPr>
        <w:t>composition,</w:t>
      </w:r>
      <w:r w:rsidRPr="00B72252">
        <w:rPr>
          <w:rFonts w:cs="Arial"/>
          <w:spacing w:val="-3"/>
          <w:szCs w:val="20"/>
        </w:rPr>
        <w:t xml:space="preserve"> </w:t>
      </w:r>
      <w:r w:rsidRPr="00B72252">
        <w:rPr>
          <w:rFonts w:cs="Arial"/>
          <w:szCs w:val="20"/>
        </w:rPr>
        <w:t>as</w:t>
      </w:r>
      <w:r w:rsidRPr="00B72252">
        <w:rPr>
          <w:rFonts w:cs="Arial"/>
          <w:spacing w:val="-3"/>
          <w:szCs w:val="20"/>
        </w:rPr>
        <w:t xml:space="preserve"> </w:t>
      </w:r>
      <w:r w:rsidRPr="00B72252">
        <w:rPr>
          <w:rFonts w:cs="Arial"/>
          <w:szCs w:val="20"/>
        </w:rPr>
        <w:t>well</w:t>
      </w:r>
      <w:r w:rsidRPr="00B72252">
        <w:rPr>
          <w:rFonts w:cs="Arial"/>
          <w:spacing w:val="-3"/>
          <w:szCs w:val="20"/>
        </w:rPr>
        <w:t xml:space="preserve"> </w:t>
      </w:r>
      <w:r w:rsidRPr="00B72252">
        <w:rPr>
          <w:rFonts w:cs="Arial"/>
          <w:szCs w:val="20"/>
        </w:rPr>
        <w:t>as</w:t>
      </w:r>
      <w:r w:rsidRPr="00B72252">
        <w:rPr>
          <w:rFonts w:cs="Arial"/>
          <w:spacing w:val="-3"/>
          <w:szCs w:val="20"/>
        </w:rPr>
        <w:t xml:space="preserve"> </w:t>
      </w:r>
      <w:r w:rsidRPr="00B72252">
        <w:rPr>
          <w:rFonts w:cs="Arial"/>
          <w:szCs w:val="20"/>
        </w:rPr>
        <w:t>income</w:t>
      </w:r>
      <w:r w:rsidRPr="00B72252">
        <w:rPr>
          <w:rFonts w:cs="Arial"/>
          <w:spacing w:val="-4"/>
          <w:szCs w:val="20"/>
        </w:rPr>
        <w:t xml:space="preserve"> </w:t>
      </w:r>
      <w:r w:rsidRPr="00B72252">
        <w:rPr>
          <w:rFonts w:cs="Arial"/>
          <w:szCs w:val="20"/>
        </w:rPr>
        <w:t>level</w:t>
      </w:r>
      <w:r w:rsidRPr="00B72252">
        <w:rPr>
          <w:rFonts w:cs="Arial"/>
          <w:spacing w:val="-3"/>
          <w:szCs w:val="20"/>
        </w:rPr>
        <w:t xml:space="preserve"> </w:t>
      </w:r>
      <w:r w:rsidRPr="00B72252">
        <w:rPr>
          <w:rFonts w:cs="Arial"/>
          <w:szCs w:val="20"/>
        </w:rPr>
        <w:t>of communities. EPA is committed to advancing environmental justice and incorporating equity considerations</w:t>
      </w:r>
      <w:r w:rsidRPr="00B72252">
        <w:rPr>
          <w:rFonts w:cs="Arial"/>
          <w:spacing w:val="-2"/>
          <w:szCs w:val="20"/>
        </w:rPr>
        <w:t xml:space="preserve"> </w:t>
      </w:r>
      <w:r w:rsidRPr="00B72252">
        <w:rPr>
          <w:rFonts w:cs="Arial"/>
          <w:szCs w:val="20"/>
        </w:rPr>
        <w:t>into</w:t>
      </w:r>
      <w:r w:rsidRPr="00B72252">
        <w:rPr>
          <w:rFonts w:cs="Arial"/>
          <w:spacing w:val="-2"/>
          <w:szCs w:val="20"/>
        </w:rPr>
        <w:t xml:space="preserve"> </w:t>
      </w:r>
      <w:r w:rsidRPr="00B72252">
        <w:rPr>
          <w:rFonts w:cs="Arial"/>
          <w:szCs w:val="20"/>
        </w:rPr>
        <w:t>all</w:t>
      </w:r>
      <w:r w:rsidRPr="00B72252">
        <w:rPr>
          <w:rFonts w:cs="Arial"/>
          <w:spacing w:val="-2"/>
          <w:szCs w:val="20"/>
        </w:rPr>
        <w:t xml:space="preserve"> </w:t>
      </w:r>
      <w:r w:rsidRPr="00B72252">
        <w:rPr>
          <w:rFonts w:cs="Arial"/>
          <w:szCs w:val="20"/>
        </w:rPr>
        <w:t>aspects</w:t>
      </w:r>
      <w:r w:rsidRPr="00B72252">
        <w:rPr>
          <w:rFonts w:cs="Arial"/>
          <w:spacing w:val="-2"/>
          <w:szCs w:val="20"/>
        </w:rPr>
        <w:t xml:space="preserve"> </w:t>
      </w:r>
      <w:r w:rsidRPr="00B72252">
        <w:rPr>
          <w:rFonts w:cs="Arial"/>
          <w:szCs w:val="20"/>
        </w:rPr>
        <w:t>of</w:t>
      </w:r>
      <w:r w:rsidRPr="00B72252">
        <w:rPr>
          <w:rFonts w:cs="Arial"/>
          <w:spacing w:val="-3"/>
          <w:szCs w:val="20"/>
        </w:rPr>
        <w:t xml:space="preserve"> </w:t>
      </w:r>
      <w:r w:rsidRPr="00B72252">
        <w:rPr>
          <w:rFonts w:cs="Arial"/>
          <w:szCs w:val="20"/>
        </w:rPr>
        <w:t>our</w:t>
      </w:r>
      <w:r w:rsidRPr="00B72252">
        <w:rPr>
          <w:rFonts w:cs="Arial"/>
          <w:spacing w:val="-3"/>
          <w:szCs w:val="20"/>
        </w:rPr>
        <w:t xml:space="preserve"> </w:t>
      </w:r>
      <w:r w:rsidRPr="00B72252">
        <w:rPr>
          <w:rFonts w:cs="Arial"/>
          <w:szCs w:val="20"/>
        </w:rPr>
        <w:t>work.</w:t>
      </w:r>
      <w:r w:rsidRPr="00B72252">
        <w:rPr>
          <w:rFonts w:cs="Arial"/>
          <w:spacing w:val="-2"/>
          <w:szCs w:val="20"/>
        </w:rPr>
        <w:t xml:space="preserve"> </w:t>
      </w:r>
      <w:r w:rsidRPr="00B72252">
        <w:rPr>
          <w:rFonts w:cs="Arial"/>
          <w:szCs w:val="20"/>
        </w:rPr>
        <w:t>The</w:t>
      </w:r>
      <w:r w:rsidRPr="00B72252">
        <w:rPr>
          <w:rFonts w:cs="Arial"/>
          <w:spacing w:val="-3"/>
          <w:szCs w:val="20"/>
        </w:rPr>
        <w:t xml:space="preserve"> </w:t>
      </w:r>
      <w:r w:rsidRPr="00B72252">
        <w:rPr>
          <w:rFonts w:cs="Arial"/>
          <w:szCs w:val="20"/>
        </w:rPr>
        <w:t>title</w:t>
      </w:r>
      <w:r w:rsidRPr="00B72252">
        <w:rPr>
          <w:rFonts w:cs="Arial"/>
          <w:spacing w:val="-3"/>
          <w:szCs w:val="20"/>
        </w:rPr>
        <w:t xml:space="preserve"> </w:t>
      </w:r>
      <w:r w:rsidRPr="00B72252">
        <w:rPr>
          <w:rFonts w:cs="Arial"/>
          <w:szCs w:val="20"/>
        </w:rPr>
        <w:t>v</w:t>
      </w:r>
      <w:r w:rsidRPr="00B72252">
        <w:rPr>
          <w:rFonts w:cs="Arial"/>
          <w:spacing w:val="-2"/>
          <w:szCs w:val="20"/>
        </w:rPr>
        <w:t xml:space="preserve"> </w:t>
      </w:r>
      <w:r w:rsidRPr="00B72252">
        <w:rPr>
          <w:rFonts w:cs="Arial"/>
          <w:szCs w:val="20"/>
        </w:rPr>
        <w:t>process</w:t>
      </w:r>
      <w:r w:rsidRPr="00B72252">
        <w:rPr>
          <w:rFonts w:cs="Arial"/>
          <w:spacing w:val="-2"/>
          <w:szCs w:val="20"/>
        </w:rPr>
        <w:t xml:space="preserve"> </w:t>
      </w:r>
      <w:r w:rsidRPr="00B72252">
        <w:rPr>
          <w:rFonts w:cs="Arial"/>
          <w:szCs w:val="20"/>
        </w:rPr>
        <w:t>can</w:t>
      </w:r>
      <w:r w:rsidRPr="00B72252">
        <w:rPr>
          <w:rFonts w:cs="Arial"/>
          <w:spacing w:val="-2"/>
          <w:szCs w:val="20"/>
        </w:rPr>
        <w:t xml:space="preserve"> </w:t>
      </w:r>
      <w:r w:rsidRPr="00B72252">
        <w:rPr>
          <w:rFonts w:cs="Arial"/>
          <w:szCs w:val="20"/>
        </w:rPr>
        <w:t>allow</w:t>
      </w:r>
      <w:r w:rsidRPr="00B72252">
        <w:rPr>
          <w:rFonts w:cs="Arial"/>
          <w:spacing w:val="-3"/>
          <w:szCs w:val="20"/>
        </w:rPr>
        <w:t xml:space="preserve"> </w:t>
      </w:r>
      <w:r w:rsidRPr="00B72252">
        <w:rPr>
          <w:rFonts w:cs="Arial"/>
          <w:szCs w:val="20"/>
        </w:rPr>
        <w:t>public</w:t>
      </w:r>
      <w:r w:rsidRPr="00B72252">
        <w:rPr>
          <w:rFonts w:cs="Arial"/>
          <w:spacing w:val="-3"/>
          <w:szCs w:val="20"/>
        </w:rPr>
        <w:t xml:space="preserve"> </w:t>
      </w:r>
      <w:r w:rsidRPr="00B72252">
        <w:rPr>
          <w:rFonts w:cs="Arial"/>
          <w:szCs w:val="20"/>
        </w:rPr>
        <w:t>participation</w:t>
      </w:r>
      <w:r w:rsidRPr="00B72252">
        <w:rPr>
          <w:rFonts w:cs="Arial"/>
          <w:spacing w:val="-2"/>
          <w:szCs w:val="20"/>
        </w:rPr>
        <w:t xml:space="preserve"> </w:t>
      </w:r>
      <w:r w:rsidRPr="00B72252">
        <w:rPr>
          <w:rFonts w:cs="Arial"/>
          <w:szCs w:val="20"/>
        </w:rPr>
        <w:t>to</w:t>
      </w:r>
      <w:r w:rsidRPr="00B72252">
        <w:rPr>
          <w:rFonts w:cs="Arial"/>
          <w:spacing w:val="-2"/>
          <w:szCs w:val="20"/>
        </w:rPr>
        <w:t xml:space="preserve"> </w:t>
      </w:r>
      <w:r w:rsidRPr="00B72252">
        <w:rPr>
          <w:rFonts w:cs="Arial"/>
          <w:szCs w:val="20"/>
        </w:rPr>
        <w:t xml:space="preserve">serve as a motivating factor for applying closer scrutiny to a title v source’s compliance with applicable CAA requirements. Communities can use the title v process to help ensure that each title v permit contains </w:t>
      </w:r>
      <w:proofErr w:type="gramStart"/>
      <w:r w:rsidRPr="00B72252">
        <w:rPr>
          <w:rFonts w:cs="Arial"/>
          <w:szCs w:val="20"/>
        </w:rPr>
        <w:t>all of</w:t>
      </w:r>
      <w:proofErr w:type="gramEnd"/>
      <w:r w:rsidRPr="00B72252">
        <w:rPr>
          <w:rFonts w:cs="Arial"/>
          <w:szCs w:val="20"/>
        </w:rPr>
        <w:t xml:space="preserve"> a source’s applicable requirements, and other conditions necessary to assure the source’s compliance with those requirements. When TCEQ responds to this EPA objection, please consider utilizing some form of enhanced public outreach to notify the public of the Executive Director’s response to comments and opportunity to petition the EPA to object to the proposed </w:t>
      </w:r>
      <w:r w:rsidRPr="00B72252">
        <w:rPr>
          <w:rFonts w:cs="Arial"/>
          <w:spacing w:val="-2"/>
          <w:szCs w:val="20"/>
        </w:rPr>
        <w:t>permit.</w:t>
      </w:r>
      <w:r w:rsidR="00217583" w:rsidRPr="00217583">
        <w:rPr>
          <w:rStyle w:val="Strong"/>
        </w:rPr>
        <w:t xml:space="preserve"> </w:t>
      </w:r>
    </w:p>
    <w:p w14:paraId="6BFC8F47" w14:textId="77777777" w:rsidR="00217583" w:rsidRDefault="00217583" w:rsidP="00217583">
      <w:pPr>
        <w:rPr>
          <w:rStyle w:val="Strong"/>
        </w:rPr>
      </w:pPr>
    </w:p>
    <w:p w14:paraId="6C1D1339" w14:textId="59C2595D" w:rsidR="00B76C59" w:rsidRDefault="00217583" w:rsidP="00B76C59">
      <w:pPr>
        <w:widowControl w:val="0"/>
        <w:numPr>
          <w:ilvl w:val="12"/>
          <w:numId w:val="0"/>
        </w:numPr>
        <w:rPr>
          <w:rStyle w:val="Strong"/>
          <w:rFonts w:cs="Arial"/>
          <w:b w:val="0"/>
          <w:bCs w:val="0"/>
          <w:szCs w:val="20"/>
        </w:rPr>
      </w:pPr>
      <w:r w:rsidRPr="00725612">
        <w:rPr>
          <w:rStyle w:val="Strong"/>
        </w:rPr>
        <w:t>TCEQ R</w:t>
      </w:r>
      <w:r>
        <w:rPr>
          <w:rStyle w:val="Strong"/>
        </w:rPr>
        <w:t>esponse</w:t>
      </w:r>
      <w:r w:rsidR="00B76C59" w:rsidRPr="00B76C59">
        <w:rPr>
          <w:b/>
          <w:bCs/>
        </w:rPr>
        <w:t xml:space="preserve"> </w:t>
      </w:r>
      <w:r w:rsidR="00B76C59" w:rsidRPr="0064064C">
        <w:rPr>
          <w:b/>
          <w:bCs/>
        </w:rPr>
        <w:t>to EPA’s</w:t>
      </w:r>
      <w:r w:rsidR="00B76C59">
        <w:t xml:space="preserve"> </w:t>
      </w:r>
      <w:r w:rsidR="00B76C59" w:rsidRPr="001B3816">
        <w:rPr>
          <w:b/>
          <w:bCs/>
        </w:rPr>
        <w:t>EJ Concerns</w:t>
      </w:r>
      <w:r w:rsidR="00B76C59">
        <w:t xml:space="preserve">: </w:t>
      </w:r>
      <w:r w:rsidR="00B76C59" w:rsidRPr="0064064C">
        <w:rPr>
          <w:rStyle w:val="Strong"/>
          <w:rFonts w:cs="Arial"/>
          <w:b w:val="0"/>
          <w:bCs w:val="0"/>
          <w:szCs w:val="20"/>
        </w:rPr>
        <w:t xml:space="preserve">TCEQ is fully committed to protecting the health of all the citizens of Texas and its environment, regardless of race or socioeconomic status. TCEQ ensures its permits comply with all federal and state permitting requirements. Permits that meet those requirements are protective of human health and the environment and thus comply with the requirements under Title VI. Additional information about Title VI Compliance at TCEQ is available at </w:t>
      </w:r>
      <w:hyperlink r:id="rId17" w:history="1">
        <w:r w:rsidR="00B76C59" w:rsidRPr="0064064C">
          <w:rPr>
            <w:rStyle w:val="Hyperlink"/>
            <w:rFonts w:cs="Arial"/>
            <w:szCs w:val="20"/>
          </w:rPr>
          <w:t>https://www.tceq.texas.gov/agency/decisions/participation/title-vi-compliance</w:t>
        </w:r>
      </w:hyperlink>
      <w:r w:rsidR="00B76C59" w:rsidRPr="0064064C">
        <w:rPr>
          <w:rStyle w:val="Strong"/>
          <w:rFonts w:cs="Arial"/>
          <w:b w:val="0"/>
          <w:bCs w:val="0"/>
          <w:szCs w:val="20"/>
        </w:rPr>
        <w:t xml:space="preserve">. </w:t>
      </w:r>
    </w:p>
    <w:p w14:paraId="327767A5" w14:textId="77777777" w:rsidR="00B76C59" w:rsidRDefault="00B76C59" w:rsidP="00B76C59">
      <w:pPr>
        <w:widowControl w:val="0"/>
        <w:numPr>
          <w:ilvl w:val="12"/>
          <w:numId w:val="0"/>
        </w:numPr>
        <w:rPr>
          <w:rStyle w:val="Strong"/>
          <w:rFonts w:cs="Arial"/>
          <w:b w:val="0"/>
          <w:bCs w:val="0"/>
          <w:szCs w:val="20"/>
        </w:rPr>
      </w:pPr>
    </w:p>
    <w:p w14:paraId="04C09B1B" w14:textId="4B8876C5" w:rsidR="00217583" w:rsidRPr="007736AA" w:rsidRDefault="00B76C59" w:rsidP="007736AA">
      <w:pPr>
        <w:widowControl w:val="0"/>
        <w:numPr>
          <w:ilvl w:val="12"/>
          <w:numId w:val="0"/>
        </w:numPr>
        <w:rPr>
          <w:rFonts w:cs="Arial"/>
          <w:szCs w:val="20"/>
        </w:rPr>
      </w:pPr>
      <w:proofErr w:type="gramStart"/>
      <w:r>
        <w:rPr>
          <w:rStyle w:val="Strong"/>
          <w:rFonts w:cs="Arial"/>
          <w:b w:val="0"/>
          <w:bCs w:val="0"/>
          <w:szCs w:val="20"/>
        </w:rPr>
        <w:t>In regard to</w:t>
      </w:r>
      <w:proofErr w:type="gramEnd"/>
      <w:r>
        <w:rPr>
          <w:rStyle w:val="Strong"/>
          <w:rFonts w:cs="Arial"/>
          <w:b w:val="0"/>
          <w:bCs w:val="0"/>
          <w:szCs w:val="20"/>
        </w:rPr>
        <w:t xml:space="preserve"> providing an </w:t>
      </w:r>
      <w:r w:rsidRPr="001B3816">
        <w:t xml:space="preserve">opportunity </w:t>
      </w:r>
      <w:r>
        <w:t xml:space="preserve">to the public </w:t>
      </w:r>
      <w:r w:rsidRPr="001B3816">
        <w:t>to petition the EPA to object to the proposed permit</w:t>
      </w:r>
      <w:r>
        <w:t>, TCEQ notes that the final action letter issued for each FOP contains the following information “</w:t>
      </w:r>
      <w:r w:rsidRPr="004329B6">
        <w:rPr>
          <w:rStyle w:val="Strong"/>
          <w:rFonts w:cs="Arial"/>
          <w:b w:val="0"/>
          <w:bCs w:val="0"/>
          <w:szCs w:val="20"/>
        </w:rPr>
        <w:t xml:space="preserve">All site operating permits are subject to public petition for 60 days following the expiration of the 45-day U.S. Environmental Protection Agency (EPA) review.  The public petition period for the FOP extends from </w:t>
      </w:r>
      <w:r>
        <w:rPr>
          <w:rStyle w:val="Strong"/>
          <w:rFonts w:cs="Arial"/>
          <w:b w:val="0"/>
          <w:bCs w:val="0"/>
          <w:szCs w:val="20"/>
        </w:rPr>
        <w:t>Month</w:t>
      </w:r>
      <w:r w:rsidRPr="004329B6">
        <w:rPr>
          <w:rStyle w:val="Strong"/>
          <w:rFonts w:cs="Arial"/>
          <w:b w:val="0"/>
          <w:bCs w:val="0"/>
          <w:szCs w:val="20"/>
        </w:rPr>
        <w:t xml:space="preserve"> </w:t>
      </w:r>
      <w:r>
        <w:rPr>
          <w:rStyle w:val="Strong"/>
          <w:rFonts w:cs="Arial"/>
          <w:b w:val="0"/>
          <w:bCs w:val="0"/>
          <w:szCs w:val="20"/>
        </w:rPr>
        <w:t xml:space="preserve">DD, YYYY </w:t>
      </w:r>
      <w:r w:rsidRPr="004329B6">
        <w:rPr>
          <w:rStyle w:val="Strong"/>
          <w:rFonts w:cs="Arial"/>
          <w:b w:val="0"/>
          <w:bCs w:val="0"/>
          <w:szCs w:val="20"/>
        </w:rPr>
        <w:t xml:space="preserve">until </w:t>
      </w:r>
      <w:r>
        <w:rPr>
          <w:rStyle w:val="Strong"/>
          <w:rFonts w:cs="Arial"/>
          <w:b w:val="0"/>
          <w:bCs w:val="0"/>
          <w:szCs w:val="20"/>
        </w:rPr>
        <w:t>Month</w:t>
      </w:r>
      <w:r w:rsidRPr="004329B6">
        <w:rPr>
          <w:rStyle w:val="Strong"/>
          <w:rFonts w:cs="Arial"/>
          <w:b w:val="0"/>
          <w:bCs w:val="0"/>
          <w:szCs w:val="20"/>
        </w:rPr>
        <w:t xml:space="preserve"> </w:t>
      </w:r>
      <w:r>
        <w:rPr>
          <w:rStyle w:val="Strong"/>
          <w:rFonts w:cs="Arial"/>
          <w:b w:val="0"/>
          <w:bCs w:val="0"/>
          <w:szCs w:val="20"/>
        </w:rPr>
        <w:t>DD, YYYY</w:t>
      </w:r>
      <w:r w:rsidRPr="004329B6">
        <w:rPr>
          <w:rStyle w:val="Strong"/>
          <w:rFonts w:cs="Arial"/>
          <w:b w:val="0"/>
          <w:bCs w:val="0"/>
          <w:szCs w:val="20"/>
        </w:rPr>
        <w:t>.  If the EPA receives a valid petition and objects to the above-referenced permit, you will be notified promptly by the Texas Commission on Environmental Quality (TCEQ).</w:t>
      </w:r>
      <w:r>
        <w:rPr>
          <w:rStyle w:val="Strong"/>
          <w:rFonts w:cs="Arial"/>
          <w:b w:val="0"/>
          <w:bCs w:val="0"/>
          <w:szCs w:val="20"/>
        </w:rPr>
        <w:t>”</w:t>
      </w:r>
    </w:p>
    <w:p w14:paraId="7086FAA2" w14:textId="6C0B0C7C" w:rsidR="007B3EC2" w:rsidRDefault="007B3EC2" w:rsidP="007B3EC2"/>
    <w:sectPr w:rsidR="007B3EC2"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F0947" w14:textId="77777777" w:rsidR="00913FE4" w:rsidRDefault="00913FE4">
      <w:r>
        <w:separator/>
      </w:r>
    </w:p>
  </w:endnote>
  <w:endnote w:type="continuationSeparator" w:id="0">
    <w:p w14:paraId="10F5004F" w14:textId="77777777" w:rsidR="00913FE4" w:rsidRDefault="00913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D2A22" w14:textId="77777777" w:rsidR="00A0467D" w:rsidRPr="00095CE7" w:rsidRDefault="00A0467D" w:rsidP="00095CE7">
    <w:pPr>
      <w:pStyle w:val="AgencyFooter"/>
    </w:pPr>
    <w:r w:rsidRPr="00095CE7">
      <w:t xml:space="preserve">P.O. Box 13087   </w:t>
    </w:r>
    <w:r w:rsidRPr="00BB479B">
      <w:rPr>
        <w:rFonts w:ascii="Arial" w:hAnsi="Arial" w:cs="Arial"/>
        <w:sz w:val="20"/>
      </w:rPr>
      <w:t>•</w:t>
    </w:r>
    <w:r w:rsidRPr="00095CE7">
      <w:t xml:space="preserve">   Austin, Texas 78711-3087   </w:t>
    </w:r>
    <w:r w:rsidRPr="00CA559D">
      <w:rPr>
        <w:rFonts w:ascii="Arial" w:hAnsi="Arial" w:cs="Arial"/>
        <w:sz w:val="20"/>
      </w:rPr>
      <w:t>•</w:t>
    </w:r>
    <w:r w:rsidRPr="00095CE7">
      <w:t xml:space="preserve">   512-239-1000   </w:t>
    </w:r>
    <w:r w:rsidRPr="00BB479B">
      <w:rPr>
        <w:rFonts w:ascii="Arial" w:hAnsi="Arial" w:cs="Arial"/>
        <w:sz w:val="20"/>
      </w:rPr>
      <w:t>•</w:t>
    </w:r>
    <w:r w:rsidRPr="00095CE7">
      <w:t xml:space="preserve">   tceq.texas.gov</w:t>
    </w:r>
  </w:p>
  <w:p w14:paraId="51563E61" w14:textId="77777777" w:rsidR="00A0467D" w:rsidRPr="00095CE7" w:rsidRDefault="00A0467D" w:rsidP="00095CE7">
    <w:pPr>
      <w:pStyle w:val="AgencyFooter2"/>
    </w:pPr>
    <w:r w:rsidRPr="00095CE7">
      <w:t>How is our customer service?     tceq.texas.gov/</w:t>
    </w:r>
    <w:proofErr w:type="spellStart"/>
    <w:r w:rsidRPr="00095CE7">
      <w:t>customersurvey</w:t>
    </w:r>
    <w:proofErr w:type="spellEnd"/>
  </w:p>
  <w:p w14:paraId="74A3FBE2" w14:textId="77777777" w:rsidR="00A0467D" w:rsidRPr="00095CE7" w:rsidRDefault="00A0467D" w:rsidP="00095CE7">
    <w:pPr>
      <w:pStyle w:val="AgencyFooter3"/>
    </w:pPr>
    <w:r w:rsidRPr="00095CE7">
      <w:t xml:space="preserve">printed on recycled </w:t>
    </w:r>
    <w:proofErr w:type="gramStart"/>
    <w:r w:rsidRPr="00095CE7">
      <w:t>paper</w:t>
    </w:r>
    <w:proofErr w:type="gramEnd"/>
  </w:p>
  <w:p w14:paraId="5202F57A"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916B4" w14:textId="77777777" w:rsidR="00A0467D" w:rsidRPr="00095CE7" w:rsidRDefault="00D42A8F" w:rsidP="00095CE7">
    <w:pPr>
      <w:pStyle w:val="AgencyFooter"/>
    </w:pPr>
    <w:r>
      <w:fldChar w:fldCharType="begin"/>
    </w:r>
    <w:r>
      <w:instrText xml:space="preserve"> INCLUDETEXT X:\\Macros\\Misc\\LetterHeadFooter.doc  \* MERGEFORMAT </w:instrText>
    </w:r>
    <w:r>
      <w:fldChar w:fldCharType="separate"/>
    </w:r>
    <w:r w:rsidR="00A0467D" w:rsidRPr="00095CE7">
      <w:t xml:space="preserve">P.O. Box 13087   </w:t>
    </w:r>
    <w:r w:rsidR="00A0467D" w:rsidRPr="00A0467D">
      <w:t>•</w:t>
    </w:r>
    <w:r w:rsidR="00A0467D" w:rsidRPr="00095CE7">
      <w:t xml:space="preserve">   Austin, Texas 78711-3087   </w:t>
    </w:r>
    <w:r w:rsidR="00A0467D" w:rsidRPr="00A0467D">
      <w:t>•</w:t>
    </w:r>
    <w:r w:rsidR="00A0467D" w:rsidRPr="00095CE7">
      <w:t xml:space="preserve">   512-239-1000   </w:t>
    </w:r>
    <w:r w:rsidR="00A0467D" w:rsidRPr="00A0467D">
      <w:t>•</w:t>
    </w:r>
    <w:r w:rsidR="00A0467D" w:rsidRPr="00095CE7">
      <w:t xml:space="preserve">   </w:t>
    </w:r>
    <w:hyperlink r:id="rId1" w:history="1">
      <w:r w:rsidR="00A0467D" w:rsidRPr="00095CE7">
        <w:t>tceq.texas.gov</w:t>
      </w:r>
    </w:hyperlink>
  </w:p>
  <w:p w14:paraId="54F90408" w14:textId="77777777" w:rsidR="00A0467D" w:rsidRPr="00095CE7" w:rsidRDefault="00A0467D" w:rsidP="00A0467D">
    <w:pPr>
      <w:pStyle w:val="AgencyFooter"/>
    </w:pPr>
    <w:r w:rsidRPr="00095CE7">
      <w:t>How is our customer service?     tceq.texas.gov/</w:t>
    </w:r>
    <w:proofErr w:type="spellStart"/>
    <w:r w:rsidRPr="00095CE7">
      <w:t>customersurvey</w:t>
    </w:r>
    <w:proofErr w:type="spellEnd"/>
  </w:p>
  <w:p w14:paraId="701C7E7F" w14:textId="77777777" w:rsidR="00A0467D" w:rsidRPr="00095CE7" w:rsidRDefault="00A0467D" w:rsidP="00A0467D">
    <w:pPr>
      <w:pStyle w:val="AgencyFooter"/>
    </w:pPr>
    <w:r w:rsidRPr="00095CE7">
      <w:t xml:space="preserve">printed on recycled </w:t>
    </w:r>
    <w:proofErr w:type="gramStart"/>
    <w:r w:rsidRPr="00095CE7">
      <w:t>paper</w:t>
    </w:r>
    <w:proofErr w:type="gramEnd"/>
  </w:p>
  <w:p w14:paraId="102DB4F1"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946E4"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810F0"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CF207" w14:textId="77777777" w:rsidR="00913FE4" w:rsidRDefault="00913FE4">
      <w:r>
        <w:separator/>
      </w:r>
    </w:p>
  </w:footnote>
  <w:footnote w:type="continuationSeparator" w:id="0">
    <w:p w14:paraId="63A6C9C5" w14:textId="77777777" w:rsidR="00913FE4" w:rsidRDefault="00913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FBEF0" w14:textId="77777777" w:rsidR="00A0467D" w:rsidRPr="00A85FC2" w:rsidRDefault="00BE582C" w:rsidP="00DF682A">
    <w:pPr>
      <w:pStyle w:val="LetterheadNames"/>
    </w:pPr>
    <w:r>
      <w:pict w14:anchorId="117E37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6" type="#_x0000_t75" alt="TX-SEAL" style="position:absolute;left:0;text-align:left;margin-left:199.85pt;margin-top:-11.6pt;width:67.7pt;height:69.2pt;z-index:251867136;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76ECFB4A"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7C713A9E" w14:textId="77777777" w:rsidR="00A0467D" w:rsidRPr="00A85FC2" w:rsidRDefault="00A0467D" w:rsidP="00DF682A">
    <w:pPr>
      <w:pStyle w:val="LetterheadNames"/>
    </w:pPr>
    <w:r w:rsidRPr="002F0C19">
      <w:t xml:space="preserve">Bobby Janecka, </w:t>
    </w:r>
    <w:r w:rsidRPr="00DC1939">
      <w:rPr>
        <w:i/>
      </w:rPr>
      <w:t>Commissioner</w:t>
    </w:r>
  </w:p>
  <w:p w14:paraId="1EE2BF9A" w14:textId="77777777" w:rsidR="00A0467D" w:rsidRPr="00A85FC2" w:rsidRDefault="00A0467D" w:rsidP="00DF682A">
    <w:pPr>
      <w:pStyle w:val="LetterheadNames"/>
    </w:pPr>
    <w:r w:rsidRPr="004840BF">
      <w:t>Erin E. Chancellor</w:t>
    </w:r>
    <w:r w:rsidRPr="00A85FC2">
      <w:t xml:space="preserve">, </w:t>
    </w:r>
    <w:r w:rsidRPr="004840BF">
      <w:rPr>
        <w:rStyle w:val="LetterheadNameTitleChar"/>
      </w:rPr>
      <w:t>Interim Executive Director</w:t>
    </w:r>
  </w:p>
  <w:p w14:paraId="7BDD48B0" w14:textId="77777777" w:rsidR="00A0467D" w:rsidRPr="003079D9" w:rsidRDefault="00A0467D" w:rsidP="00DF682A">
    <w:pPr>
      <w:pStyle w:val="LetterHeadTitle"/>
    </w:pPr>
    <w:r w:rsidRPr="003079D9">
      <w:t>Texas Commission on Environmental Quality</w:t>
    </w:r>
  </w:p>
  <w:p w14:paraId="733A8EA8" w14:textId="77777777" w:rsidR="00A0467D" w:rsidRDefault="00A0467D" w:rsidP="00DF682A">
    <w:pPr>
      <w:pStyle w:val="LetterheadSubheading"/>
    </w:pPr>
    <w:r w:rsidRPr="00E73ABD">
      <w:t xml:space="preserve">Protecting Texas by Reducing and Preventing </w:t>
    </w:r>
    <w:r w:rsidRPr="00B242EB">
      <w:t>Pollution</w:t>
    </w:r>
  </w:p>
  <w:p w14:paraId="287FB3A6"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9EBC1" w14:textId="77777777" w:rsidR="00A0467D" w:rsidRPr="00A85FC2" w:rsidRDefault="00D42A8F" w:rsidP="00DF682A">
    <w:pPr>
      <w:pStyle w:val="LetterheadNames"/>
    </w:pPr>
    <w:r>
      <w:fldChar w:fldCharType="begin"/>
    </w:r>
    <w:r>
      <w:instrText xml:space="preserve"> INCLUDETEXT X:\\Macros\\Misc\\LetterHeadHeader.doc  </w:instrText>
    </w:r>
    <w:r>
      <w:fldChar w:fldCharType="separate"/>
    </w:r>
    <w:r w:rsidR="00BE582C">
      <w:pict w14:anchorId="323324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alt="TX-SEAL" style="position:absolute;left:0;text-align:left;margin-left:199.85pt;margin-top:-11.6pt;width:67.7pt;height:69.2pt;z-index:251883520;visibility:visible;mso-position-horizontal-relative:text;mso-position-vertical-relative:text">
          <v:imagedata r:id="rId1" o:title="TX-SEAL"/>
        </v:shape>
      </w:pict>
    </w:r>
    <w:r w:rsidR="00A0467D" w:rsidRPr="00B7611F">
      <w:t xml:space="preserve">Jon </w:t>
    </w:r>
    <w:proofErr w:type="spellStart"/>
    <w:r w:rsidR="00A0467D" w:rsidRPr="00B7611F">
      <w:t>Niermann</w:t>
    </w:r>
    <w:proofErr w:type="spellEnd"/>
    <w:r w:rsidR="00A0467D" w:rsidRPr="00A85FC2">
      <w:t xml:space="preserve">, </w:t>
    </w:r>
    <w:r w:rsidR="00A0467D" w:rsidRPr="009A3E9D">
      <w:rPr>
        <w:rStyle w:val="LetterheadNameTitleChar"/>
      </w:rPr>
      <w:t>Chairman</w:t>
    </w:r>
  </w:p>
  <w:p w14:paraId="47663789" w14:textId="77777777" w:rsidR="00A0467D" w:rsidRDefault="00A0467D"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376D5651" w14:textId="77777777" w:rsidR="00A0467D" w:rsidRPr="00A85FC2" w:rsidRDefault="00A0467D" w:rsidP="00DF682A">
    <w:pPr>
      <w:pStyle w:val="LetterheadNames"/>
    </w:pPr>
    <w:r w:rsidRPr="002F0C19">
      <w:t xml:space="preserve">Bobby </w:t>
    </w:r>
    <w:proofErr w:type="spellStart"/>
    <w:r w:rsidRPr="002F0C19">
      <w:t>Janecka</w:t>
    </w:r>
    <w:proofErr w:type="spellEnd"/>
    <w:r w:rsidRPr="002F0C19">
      <w:t xml:space="preserve">, </w:t>
    </w:r>
    <w:r w:rsidRPr="00DC1939">
      <w:rPr>
        <w:i/>
      </w:rPr>
      <w:t>Commissioner</w:t>
    </w:r>
  </w:p>
  <w:p w14:paraId="78952934" w14:textId="77777777" w:rsidR="00A0467D" w:rsidRPr="00A85FC2" w:rsidRDefault="00A0467D" w:rsidP="00DF682A">
    <w:pPr>
      <w:pStyle w:val="LetterheadNames"/>
    </w:pPr>
    <w:r w:rsidRPr="004840BF">
      <w:t>Erin E. Chancellor</w:t>
    </w:r>
    <w:r w:rsidRPr="00A85FC2">
      <w:t xml:space="preserve">, </w:t>
    </w:r>
    <w:r w:rsidRPr="004840BF">
      <w:rPr>
        <w:rStyle w:val="LetterheadNameTitleChar"/>
      </w:rPr>
      <w:t>Interim Executive Director</w:t>
    </w:r>
  </w:p>
  <w:p w14:paraId="0D5AB08C" w14:textId="77777777" w:rsidR="00A0467D" w:rsidRPr="003079D9" w:rsidRDefault="00A0467D" w:rsidP="00DF682A">
    <w:pPr>
      <w:pStyle w:val="LetterHeadTitle"/>
    </w:pPr>
    <w:r w:rsidRPr="003079D9">
      <w:t>Texas Commission on Environmental Quality</w:t>
    </w:r>
  </w:p>
  <w:p w14:paraId="6B3399B0" w14:textId="77777777" w:rsidR="00A0467D" w:rsidRDefault="00A0467D" w:rsidP="00DF682A">
    <w:pPr>
      <w:pStyle w:val="LetterheadSubheading"/>
    </w:pPr>
    <w:r w:rsidRPr="00E73ABD">
      <w:t xml:space="preserve">Protecting Texas by Reducing and Preventing </w:t>
    </w:r>
    <w:r w:rsidRPr="00B242EB">
      <w:t>Pollution</w:t>
    </w:r>
  </w:p>
  <w:p w14:paraId="359BE2EF"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C913F" w14:textId="77777777" w:rsidR="00725612" w:rsidRDefault="00286734">
    <w:r w:rsidRPr="00286734">
      <w:rPr>
        <w:color w:val="000000"/>
      </w:rPr>
      <w:t>Mr. Jeffrey Robinson</w:t>
    </w:r>
  </w:p>
  <w:p w14:paraId="37ED0690"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1B2192B7" w14:textId="49B035A5" w:rsidR="00725612" w:rsidRDefault="003467DA">
    <w:r>
      <w:t>May 1</w:t>
    </w:r>
    <w:r w:rsidR="00844059">
      <w:t>9</w:t>
    </w:r>
    <w:r w:rsidR="00611DFB">
      <w:t>, 2023</w:t>
    </w:r>
  </w:p>
  <w:p w14:paraId="72062622"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C84A8"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E84C4" w14:textId="77777777" w:rsidR="00725612" w:rsidRDefault="00725612">
    <w:pPr>
      <w:rPr>
        <w:bCs/>
      </w:rPr>
    </w:pPr>
    <w:r w:rsidRPr="002C7CC9">
      <w:rPr>
        <w:bCs/>
      </w:rPr>
      <w:t>EXECUTIVE DIRECTOR’S RESPONSE TO EPA OBJECTION</w:t>
    </w:r>
  </w:p>
  <w:p w14:paraId="7AF84A56" w14:textId="77777777" w:rsidR="00725612" w:rsidRDefault="00725612">
    <w:pPr>
      <w:rPr>
        <w:bCs/>
      </w:rPr>
    </w:pPr>
    <w:r>
      <w:rPr>
        <w:bCs/>
      </w:rPr>
      <w:t xml:space="preserve">Permit Number </w:t>
    </w:r>
    <w:r w:rsidR="00611DFB">
      <w:rPr>
        <w:bCs/>
      </w:rPr>
      <w:t>O1602</w:t>
    </w:r>
  </w:p>
  <w:p w14:paraId="2248BE41"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5BB78493" w14:textId="77777777" w:rsidR="00725612" w:rsidRDefault="00725612"/>
  <w:p w14:paraId="2A65E7C0"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9E69AB"/>
    <w:multiLevelType w:val="hybridMultilevel"/>
    <w:tmpl w:val="495A7834"/>
    <w:lvl w:ilvl="0" w:tplc="465C99C6">
      <w:numFmt w:val="bullet"/>
      <w:lvlText w:val=""/>
      <w:lvlJc w:val="left"/>
      <w:pPr>
        <w:ind w:left="1080" w:hanging="360"/>
      </w:pPr>
      <w:rPr>
        <w:rFonts w:ascii="Symbol" w:eastAsia="Symbol" w:hAnsi="Symbol" w:cs="Symbol" w:hint="default"/>
        <w:b w:val="0"/>
        <w:bCs w:val="0"/>
        <w:i w:val="0"/>
        <w:iCs w:val="0"/>
        <w:w w:val="100"/>
        <w:sz w:val="24"/>
        <w:szCs w:val="24"/>
        <w:lang w:val="en-US" w:eastAsia="en-US" w:bidi="ar-SA"/>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46050E5"/>
    <w:multiLevelType w:val="hybridMultilevel"/>
    <w:tmpl w:val="0B1688D2"/>
    <w:lvl w:ilvl="0" w:tplc="FFFFFFFF">
      <w:start w:val="1"/>
      <w:numFmt w:val="decimal"/>
      <w:lvlText w:val="%1."/>
      <w:lvlJc w:val="left"/>
      <w:pPr>
        <w:ind w:left="740" w:hanging="360"/>
      </w:pPr>
      <w:rPr>
        <w:rFonts w:ascii="Times New Roman" w:eastAsia="Times New Roman" w:hAnsi="Times New Roman" w:cs="Times New Roman" w:hint="default"/>
        <w:b/>
        <w:bCs/>
        <w:i w:val="0"/>
        <w:iCs w:val="0"/>
        <w:w w:val="100"/>
        <w:sz w:val="24"/>
        <w:szCs w:val="24"/>
        <w:lang w:val="en-US" w:eastAsia="en-US" w:bidi="ar-SA"/>
      </w:rPr>
    </w:lvl>
    <w:lvl w:ilvl="1" w:tplc="FFFFFFFF">
      <w:numFmt w:val="bullet"/>
      <w:lvlText w:val=""/>
      <w:lvlJc w:val="left"/>
      <w:pPr>
        <w:ind w:left="1460" w:hanging="360"/>
      </w:pPr>
      <w:rPr>
        <w:rFonts w:ascii="Symbol" w:eastAsia="Symbol" w:hAnsi="Symbol" w:cs="Symbol" w:hint="default"/>
        <w:b w:val="0"/>
        <w:bCs w:val="0"/>
        <w:i w:val="0"/>
        <w:iCs w:val="0"/>
        <w:w w:val="100"/>
        <w:sz w:val="24"/>
        <w:szCs w:val="24"/>
        <w:lang w:val="en-US" w:eastAsia="en-US" w:bidi="ar-SA"/>
      </w:rPr>
    </w:lvl>
    <w:lvl w:ilvl="2" w:tplc="465C99C6">
      <w:numFmt w:val="bullet"/>
      <w:lvlText w:val=""/>
      <w:lvlJc w:val="left"/>
      <w:pPr>
        <w:ind w:left="1080" w:hanging="360"/>
      </w:pPr>
      <w:rPr>
        <w:rFonts w:ascii="Symbol" w:eastAsia="Symbol" w:hAnsi="Symbol" w:cs="Symbol" w:hint="default"/>
        <w:b w:val="0"/>
        <w:bCs w:val="0"/>
        <w:i w:val="0"/>
        <w:iCs w:val="0"/>
        <w:w w:val="100"/>
        <w:sz w:val="24"/>
        <w:szCs w:val="24"/>
        <w:lang w:val="en-US" w:eastAsia="en-US" w:bidi="ar-SA"/>
      </w:rPr>
    </w:lvl>
    <w:lvl w:ilvl="3" w:tplc="FFFFFFFF">
      <w:numFmt w:val="bullet"/>
      <w:lvlText w:val="•"/>
      <w:lvlJc w:val="left"/>
      <w:pPr>
        <w:ind w:left="2180" w:hanging="360"/>
      </w:pPr>
      <w:rPr>
        <w:rFonts w:hint="default"/>
        <w:lang w:val="en-US" w:eastAsia="en-US" w:bidi="ar-SA"/>
      </w:rPr>
    </w:lvl>
    <w:lvl w:ilvl="4" w:tplc="FFFFFFFF">
      <w:numFmt w:val="bullet"/>
      <w:lvlText w:val="•"/>
      <w:lvlJc w:val="left"/>
      <w:pPr>
        <w:ind w:left="3377" w:hanging="360"/>
      </w:pPr>
      <w:rPr>
        <w:rFonts w:hint="default"/>
        <w:lang w:val="en-US" w:eastAsia="en-US" w:bidi="ar-SA"/>
      </w:rPr>
    </w:lvl>
    <w:lvl w:ilvl="5" w:tplc="FFFFFFFF">
      <w:numFmt w:val="bullet"/>
      <w:lvlText w:val="•"/>
      <w:lvlJc w:val="left"/>
      <w:pPr>
        <w:ind w:left="4574" w:hanging="360"/>
      </w:pPr>
      <w:rPr>
        <w:rFonts w:hint="default"/>
        <w:lang w:val="en-US" w:eastAsia="en-US" w:bidi="ar-SA"/>
      </w:rPr>
    </w:lvl>
    <w:lvl w:ilvl="6" w:tplc="FFFFFFFF">
      <w:numFmt w:val="bullet"/>
      <w:lvlText w:val="•"/>
      <w:lvlJc w:val="left"/>
      <w:pPr>
        <w:ind w:left="5771" w:hanging="360"/>
      </w:pPr>
      <w:rPr>
        <w:rFonts w:hint="default"/>
        <w:lang w:val="en-US" w:eastAsia="en-US" w:bidi="ar-SA"/>
      </w:rPr>
    </w:lvl>
    <w:lvl w:ilvl="7" w:tplc="FFFFFFFF">
      <w:numFmt w:val="bullet"/>
      <w:lvlText w:val="•"/>
      <w:lvlJc w:val="left"/>
      <w:pPr>
        <w:ind w:left="6968" w:hanging="360"/>
      </w:pPr>
      <w:rPr>
        <w:rFonts w:hint="default"/>
        <w:lang w:val="en-US" w:eastAsia="en-US" w:bidi="ar-SA"/>
      </w:rPr>
    </w:lvl>
    <w:lvl w:ilvl="8" w:tplc="FFFFFFFF">
      <w:numFmt w:val="bullet"/>
      <w:lvlText w:val="•"/>
      <w:lvlJc w:val="left"/>
      <w:pPr>
        <w:ind w:left="8165" w:hanging="360"/>
      </w:pPr>
      <w:rPr>
        <w:rFonts w:hint="default"/>
        <w:lang w:val="en-US" w:eastAsia="en-US" w:bidi="ar-SA"/>
      </w:r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5BB412B"/>
    <w:multiLevelType w:val="hybridMultilevel"/>
    <w:tmpl w:val="D986859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39750A2D"/>
    <w:multiLevelType w:val="hybridMultilevel"/>
    <w:tmpl w:val="062AD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57E407E3"/>
    <w:multiLevelType w:val="hybridMultilevel"/>
    <w:tmpl w:val="84F64A3E"/>
    <w:lvl w:ilvl="0" w:tplc="7FBCBF02">
      <w:start w:val="1"/>
      <w:numFmt w:val="decimal"/>
      <w:lvlText w:val="%1."/>
      <w:lvlJc w:val="left"/>
      <w:pPr>
        <w:ind w:left="740" w:hanging="360"/>
      </w:pPr>
      <w:rPr>
        <w:rFonts w:ascii="Times New Roman" w:eastAsia="Times New Roman" w:hAnsi="Times New Roman" w:cs="Times New Roman" w:hint="default"/>
        <w:b/>
        <w:bCs/>
        <w:i w:val="0"/>
        <w:iCs w:val="0"/>
        <w:w w:val="100"/>
        <w:sz w:val="24"/>
        <w:szCs w:val="24"/>
        <w:lang w:val="en-US" w:eastAsia="en-US" w:bidi="ar-SA"/>
      </w:rPr>
    </w:lvl>
    <w:lvl w:ilvl="1" w:tplc="465C99C6">
      <w:numFmt w:val="bullet"/>
      <w:lvlText w:val=""/>
      <w:lvlJc w:val="left"/>
      <w:pPr>
        <w:ind w:left="1460" w:hanging="360"/>
      </w:pPr>
      <w:rPr>
        <w:rFonts w:ascii="Symbol" w:eastAsia="Symbol" w:hAnsi="Symbol" w:cs="Symbol" w:hint="default"/>
        <w:b w:val="0"/>
        <w:bCs w:val="0"/>
        <w:i w:val="0"/>
        <w:iCs w:val="0"/>
        <w:w w:val="100"/>
        <w:sz w:val="24"/>
        <w:szCs w:val="24"/>
        <w:lang w:val="en-US" w:eastAsia="en-US" w:bidi="ar-SA"/>
      </w:rPr>
    </w:lvl>
    <w:lvl w:ilvl="2" w:tplc="C16264BA">
      <w:numFmt w:val="bullet"/>
      <w:lvlText w:val="o"/>
      <w:lvlJc w:val="left"/>
      <w:pPr>
        <w:ind w:left="2180" w:hanging="360"/>
      </w:pPr>
      <w:rPr>
        <w:rFonts w:ascii="Courier New" w:eastAsia="Courier New" w:hAnsi="Courier New" w:cs="Courier New" w:hint="default"/>
        <w:b w:val="0"/>
        <w:bCs w:val="0"/>
        <w:i w:val="0"/>
        <w:iCs w:val="0"/>
        <w:w w:val="100"/>
        <w:sz w:val="24"/>
        <w:szCs w:val="24"/>
        <w:lang w:val="en-US" w:eastAsia="en-US" w:bidi="ar-SA"/>
      </w:rPr>
    </w:lvl>
    <w:lvl w:ilvl="3" w:tplc="987E7F8A">
      <w:numFmt w:val="bullet"/>
      <w:lvlText w:val="•"/>
      <w:lvlJc w:val="left"/>
      <w:pPr>
        <w:ind w:left="2180" w:hanging="360"/>
      </w:pPr>
      <w:rPr>
        <w:rFonts w:hint="default"/>
        <w:lang w:val="en-US" w:eastAsia="en-US" w:bidi="ar-SA"/>
      </w:rPr>
    </w:lvl>
    <w:lvl w:ilvl="4" w:tplc="4C54996A">
      <w:numFmt w:val="bullet"/>
      <w:lvlText w:val="•"/>
      <w:lvlJc w:val="left"/>
      <w:pPr>
        <w:ind w:left="3377" w:hanging="360"/>
      </w:pPr>
      <w:rPr>
        <w:rFonts w:hint="default"/>
        <w:lang w:val="en-US" w:eastAsia="en-US" w:bidi="ar-SA"/>
      </w:rPr>
    </w:lvl>
    <w:lvl w:ilvl="5" w:tplc="EBF0EDA2">
      <w:numFmt w:val="bullet"/>
      <w:lvlText w:val="•"/>
      <w:lvlJc w:val="left"/>
      <w:pPr>
        <w:ind w:left="4574" w:hanging="360"/>
      </w:pPr>
      <w:rPr>
        <w:rFonts w:hint="default"/>
        <w:lang w:val="en-US" w:eastAsia="en-US" w:bidi="ar-SA"/>
      </w:rPr>
    </w:lvl>
    <w:lvl w:ilvl="6" w:tplc="F0A8E35A">
      <w:numFmt w:val="bullet"/>
      <w:lvlText w:val="•"/>
      <w:lvlJc w:val="left"/>
      <w:pPr>
        <w:ind w:left="5771" w:hanging="360"/>
      </w:pPr>
      <w:rPr>
        <w:rFonts w:hint="default"/>
        <w:lang w:val="en-US" w:eastAsia="en-US" w:bidi="ar-SA"/>
      </w:rPr>
    </w:lvl>
    <w:lvl w:ilvl="7" w:tplc="9D16FE24">
      <w:numFmt w:val="bullet"/>
      <w:lvlText w:val="•"/>
      <w:lvlJc w:val="left"/>
      <w:pPr>
        <w:ind w:left="6968" w:hanging="360"/>
      </w:pPr>
      <w:rPr>
        <w:rFonts w:hint="default"/>
        <w:lang w:val="en-US" w:eastAsia="en-US" w:bidi="ar-SA"/>
      </w:rPr>
    </w:lvl>
    <w:lvl w:ilvl="8" w:tplc="2ED4F304">
      <w:numFmt w:val="bullet"/>
      <w:lvlText w:val="•"/>
      <w:lvlJc w:val="left"/>
      <w:pPr>
        <w:ind w:left="8165" w:hanging="360"/>
      </w:pPr>
      <w:rPr>
        <w:rFonts w:hint="default"/>
        <w:lang w:val="en-US" w:eastAsia="en-US" w:bidi="ar-SA"/>
      </w:rPr>
    </w:lvl>
  </w:abstractNum>
  <w:abstractNum w:abstractNumId="20"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968315404">
    <w:abstractNumId w:val="12"/>
  </w:num>
  <w:num w:numId="2" w16cid:durableId="2102096729">
    <w:abstractNumId w:val="15"/>
  </w:num>
  <w:num w:numId="3" w16cid:durableId="243539406">
    <w:abstractNumId w:val="14"/>
  </w:num>
  <w:num w:numId="4" w16cid:durableId="729767322">
    <w:abstractNumId w:val="18"/>
  </w:num>
  <w:num w:numId="5" w16cid:durableId="1551527152">
    <w:abstractNumId w:val="20"/>
  </w:num>
  <w:num w:numId="6" w16cid:durableId="1692488469">
    <w:abstractNumId w:val="16"/>
  </w:num>
  <w:num w:numId="7" w16cid:durableId="1098988667">
    <w:abstractNumId w:val="9"/>
  </w:num>
  <w:num w:numId="8" w16cid:durableId="672300308">
    <w:abstractNumId w:val="7"/>
  </w:num>
  <w:num w:numId="9" w16cid:durableId="1203136363">
    <w:abstractNumId w:val="6"/>
  </w:num>
  <w:num w:numId="10" w16cid:durableId="581334252">
    <w:abstractNumId w:val="5"/>
  </w:num>
  <w:num w:numId="11" w16cid:durableId="1060515048">
    <w:abstractNumId w:val="4"/>
  </w:num>
  <w:num w:numId="12" w16cid:durableId="414477231">
    <w:abstractNumId w:val="8"/>
  </w:num>
  <w:num w:numId="13" w16cid:durableId="1016544903">
    <w:abstractNumId w:val="3"/>
  </w:num>
  <w:num w:numId="14" w16cid:durableId="282544347">
    <w:abstractNumId w:val="2"/>
  </w:num>
  <w:num w:numId="15" w16cid:durableId="258487279">
    <w:abstractNumId w:val="1"/>
  </w:num>
  <w:num w:numId="16" w16cid:durableId="1090084820">
    <w:abstractNumId w:val="0"/>
  </w:num>
  <w:num w:numId="17" w16cid:durableId="361974401">
    <w:abstractNumId w:val="17"/>
  </w:num>
  <w:num w:numId="18" w16cid:durableId="417867738">
    <w:abstractNumId w:val="19"/>
  </w:num>
  <w:num w:numId="19" w16cid:durableId="1802724075">
    <w:abstractNumId w:val="10"/>
  </w:num>
  <w:num w:numId="20" w16cid:durableId="843788047">
    <w:abstractNumId w:val="11"/>
  </w:num>
  <w:num w:numId="21" w16cid:durableId="87597018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DFB"/>
    <w:rsid w:val="00001360"/>
    <w:rsid w:val="0000201B"/>
    <w:rsid w:val="000037EF"/>
    <w:rsid w:val="00004BC2"/>
    <w:rsid w:val="00005845"/>
    <w:rsid w:val="00005EC5"/>
    <w:rsid w:val="00006829"/>
    <w:rsid w:val="00006A7B"/>
    <w:rsid w:val="00007D4E"/>
    <w:rsid w:val="00010F20"/>
    <w:rsid w:val="000164A9"/>
    <w:rsid w:val="00016871"/>
    <w:rsid w:val="00020EAA"/>
    <w:rsid w:val="000266E0"/>
    <w:rsid w:val="000303A6"/>
    <w:rsid w:val="000305C2"/>
    <w:rsid w:val="000307AE"/>
    <w:rsid w:val="00037C5C"/>
    <w:rsid w:val="00043A9C"/>
    <w:rsid w:val="00043F07"/>
    <w:rsid w:val="00045620"/>
    <w:rsid w:val="00056D1D"/>
    <w:rsid w:val="0006529B"/>
    <w:rsid w:val="00071065"/>
    <w:rsid w:val="00072817"/>
    <w:rsid w:val="0007348A"/>
    <w:rsid w:val="0008015C"/>
    <w:rsid w:val="00084CA0"/>
    <w:rsid w:val="00091318"/>
    <w:rsid w:val="00094A5D"/>
    <w:rsid w:val="00094B6E"/>
    <w:rsid w:val="00094F7E"/>
    <w:rsid w:val="00097BAC"/>
    <w:rsid w:val="000A3D0D"/>
    <w:rsid w:val="000A4DA5"/>
    <w:rsid w:val="000A7048"/>
    <w:rsid w:val="000B0B8A"/>
    <w:rsid w:val="000B0F21"/>
    <w:rsid w:val="000C00DF"/>
    <w:rsid w:val="000D073C"/>
    <w:rsid w:val="000D0956"/>
    <w:rsid w:val="000E5CDB"/>
    <w:rsid w:val="000F4FF6"/>
    <w:rsid w:val="0010000F"/>
    <w:rsid w:val="0011410A"/>
    <w:rsid w:val="001207D8"/>
    <w:rsid w:val="00120988"/>
    <w:rsid w:val="00121AE9"/>
    <w:rsid w:val="00122659"/>
    <w:rsid w:val="00122ADD"/>
    <w:rsid w:val="0012541A"/>
    <w:rsid w:val="0013073E"/>
    <w:rsid w:val="00136B69"/>
    <w:rsid w:val="00144203"/>
    <w:rsid w:val="0014747F"/>
    <w:rsid w:val="001569E6"/>
    <w:rsid w:val="0016507E"/>
    <w:rsid w:val="00166D19"/>
    <w:rsid w:val="001767E4"/>
    <w:rsid w:val="001848E5"/>
    <w:rsid w:val="00192543"/>
    <w:rsid w:val="0019444E"/>
    <w:rsid w:val="001A27E0"/>
    <w:rsid w:val="001A36F1"/>
    <w:rsid w:val="001B1E9E"/>
    <w:rsid w:val="001B2155"/>
    <w:rsid w:val="001B693E"/>
    <w:rsid w:val="001B69CA"/>
    <w:rsid w:val="001B7B61"/>
    <w:rsid w:val="001C1776"/>
    <w:rsid w:val="001C34CD"/>
    <w:rsid w:val="001C3884"/>
    <w:rsid w:val="001D0A4F"/>
    <w:rsid w:val="001E2CE5"/>
    <w:rsid w:val="001F020D"/>
    <w:rsid w:val="001F1EF4"/>
    <w:rsid w:val="001F59B8"/>
    <w:rsid w:val="001F78E0"/>
    <w:rsid w:val="002043BC"/>
    <w:rsid w:val="0021057B"/>
    <w:rsid w:val="0021143F"/>
    <w:rsid w:val="002164CE"/>
    <w:rsid w:val="002174A5"/>
    <w:rsid w:val="00217583"/>
    <w:rsid w:val="0022087E"/>
    <w:rsid w:val="00220DC2"/>
    <w:rsid w:val="00235B59"/>
    <w:rsid w:val="0024486E"/>
    <w:rsid w:val="00244C20"/>
    <w:rsid w:val="00254FA9"/>
    <w:rsid w:val="0025716D"/>
    <w:rsid w:val="0028041B"/>
    <w:rsid w:val="00283B9A"/>
    <w:rsid w:val="0028672F"/>
    <w:rsid w:val="00286734"/>
    <w:rsid w:val="0029305F"/>
    <w:rsid w:val="00295012"/>
    <w:rsid w:val="0029718B"/>
    <w:rsid w:val="00297443"/>
    <w:rsid w:val="002A03C6"/>
    <w:rsid w:val="002A09E3"/>
    <w:rsid w:val="002A602F"/>
    <w:rsid w:val="002A6CF8"/>
    <w:rsid w:val="002A6F7E"/>
    <w:rsid w:val="002B2996"/>
    <w:rsid w:val="002C1E6A"/>
    <w:rsid w:val="002C271F"/>
    <w:rsid w:val="002C7BAB"/>
    <w:rsid w:val="002C7CC9"/>
    <w:rsid w:val="002E0FEB"/>
    <w:rsid w:val="002E3EBB"/>
    <w:rsid w:val="002E4A5F"/>
    <w:rsid w:val="002E54F4"/>
    <w:rsid w:val="002E6524"/>
    <w:rsid w:val="002F38EB"/>
    <w:rsid w:val="00307909"/>
    <w:rsid w:val="00307FF9"/>
    <w:rsid w:val="00324345"/>
    <w:rsid w:val="00343734"/>
    <w:rsid w:val="003467DA"/>
    <w:rsid w:val="00346BE6"/>
    <w:rsid w:val="00347D96"/>
    <w:rsid w:val="00356B34"/>
    <w:rsid w:val="00365BEC"/>
    <w:rsid w:val="00366088"/>
    <w:rsid w:val="003663C5"/>
    <w:rsid w:val="00370488"/>
    <w:rsid w:val="00371E1C"/>
    <w:rsid w:val="00372DE1"/>
    <w:rsid w:val="00373788"/>
    <w:rsid w:val="00374655"/>
    <w:rsid w:val="00377EE4"/>
    <w:rsid w:val="00383EE1"/>
    <w:rsid w:val="0039132E"/>
    <w:rsid w:val="00391448"/>
    <w:rsid w:val="003935D7"/>
    <w:rsid w:val="00395D5A"/>
    <w:rsid w:val="003B0176"/>
    <w:rsid w:val="003B042B"/>
    <w:rsid w:val="003B3C14"/>
    <w:rsid w:val="003B432A"/>
    <w:rsid w:val="003D3FB5"/>
    <w:rsid w:val="003E2511"/>
    <w:rsid w:val="003E5C67"/>
    <w:rsid w:val="003F0843"/>
    <w:rsid w:val="003F540F"/>
    <w:rsid w:val="003F591E"/>
    <w:rsid w:val="00400D50"/>
    <w:rsid w:val="00414F82"/>
    <w:rsid w:val="00422165"/>
    <w:rsid w:val="004274AD"/>
    <w:rsid w:val="00430FC5"/>
    <w:rsid w:val="004363F4"/>
    <w:rsid w:val="00440D78"/>
    <w:rsid w:val="00441847"/>
    <w:rsid w:val="00443CC0"/>
    <w:rsid w:val="004445BE"/>
    <w:rsid w:val="0044637B"/>
    <w:rsid w:val="00447066"/>
    <w:rsid w:val="004522A1"/>
    <w:rsid w:val="004535E5"/>
    <w:rsid w:val="00455B15"/>
    <w:rsid w:val="00456EDA"/>
    <w:rsid w:val="00457F2D"/>
    <w:rsid w:val="004641F1"/>
    <w:rsid w:val="00467238"/>
    <w:rsid w:val="00472C1C"/>
    <w:rsid w:val="0047414E"/>
    <w:rsid w:val="00476AD9"/>
    <w:rsid w:val="00480163"/>
    <w:rsid w:val="00485DDD"/>
    <w:rsid w:val="00486E73"/>
    <w:rsid w:val="0049517B"/>
    <w:rsid w:val="00495BF6"/>
    <w:rsid w:val="00497C1C"/>
    <w:rsid w:val="004A33E2"/>
    <w:rsid w:val="004B1792"/>
    <w:rsid w:val="004C1A1F"/>
    <w:rsid w:val="004C79B1"/>
    <w:rsid w:val="004C7D7C"/>
    <w:rsid w:val="004D09DA"/>
    <w:rsid w:val="004D7AA4"/>
    <w:rsid w:val="004D7E20"/>
    <w:rsid w:val="004E4BD7"/>
    <w:rsid w:val="004E6A7D"/>
    <w:rsid w:val="004F3640"/>
    <w:rsid w:val="004F4F76"/>
    <w:rsid w:val="004F57C8"/>
    <w:rsid w:val="0050063A"/>
    <w:rsid w:val="00505576"/>
    <w:rsid w:val="00505B63"/>
    <w:rsid w:val="005071BF"/>
    <w:rsid w:val="00515277"/>
    <w:rsid w:val="005157B4"/>
    <w:rsid w:val="00521E39"/>
    <w:rsid w:val="00525BBE"/>
    <w:rsid w:val="00527028"/>
    <w:rsid w:val="00527797"/>
    <w:rsid w:val="0053074E"/>
    <w:rsid w:val="00532ECC"/>
    <w:rsid w:val="00543C83"/>
    <w:rsid w:val="00555259"/>
    <w:rsid w:val="00560966"/>
    <w:rsid w:val="005610B3"/>
    <w:rsid w:val="00565712"/>
    <w:rsid w:val="00572EEF"/>
    <w:rsid w:val="00582DA2"/>
    <w:rsid w:val="00586DB4"/>
    <w:rsid w:val="0058728B"/>
    <w:rsid w:val="0059613A"/>
    <w:rsid w:val="0059704F"/>
    <w:rsid w:val="005B00BF"/>
    <w:rsid w:val="005B5105"/>
    <w:rsid w:val="005B6DD7"/>
    <w:rsid w:val="005C495D"/>
    <w:rsid w:val="005C7AB8"/>
    <w:rsid w:val="005D1239"/>
    <w:rsid w:val="005D3AE5"/>
    <w:rsid w:val="005D7725"/>
    <w:rsid w:val="005D7754"/>
    <w:rsid w:val="005D7AD3"/>
    <w:rsid w:val="005E0AB3"/>
    <w:rsid w:val="005E171F"/>
    <w:rsid w:val="005E2990"/>
    <w:rsid w:val="005E31F8"/>
    <w:rsid w:val="006041F7"/>
    <w:rsid w:val="00604CFD"/>
    <w:rsid w:val="00611D2E"/>
    <w:rsid w:val="00611DFB"/>
    <w:rsid w:val="0061318A"/>
    <w:rsid w:val="006242B2"/>
    <w:rsid w:val="0063197D"/>
    <w:rsid w:val="00632F4A"/>
    <w:rsid w:val="006353A7"/>
    <w:rsid w:val="00636E12"/>
    <w:rsid w:val="00640FB9"/>
    <w:rsid w:val="00643290"/>
    <w:rsid w:val="00656AED"/>
    <w:rsid w:val="0065730C"/>
    <w:rsid w:val="00657CD8"/>
    <w:rsid w:val="00670B0B"/>
    <w:rsid w:val="00672B10"/>
    <w:rsid w:val="00680BBF"/>
    <w:rsid w:val="006821E5"/>
    <w:rsid w:val="00687335"/>
    <w:rsid w:val="00692798"/>
    <w:rsid w:val="00693046"/>
    <w:rsid w:val="006930B6"/>
    <w:rsid w:val="00694087"/>
    <w:rsid w:val="006B4181"/>
    <w:rsid w:val="006B588D"/>
    <w:rsid w:val="006B63AE"/>
    <w:rsid w:val="006F716D"/>
    <w:rsid w:val="00700C8D"/>
    <w:rsid w:val="00704CA5"/>
    <w:rsid w:val="00707021"/>
    <w:rsid w:val="00707DB9"/>
    <w:rsid w:val="00713ACC"/>
    <w:rsid w:val="00713E90"/>
    <w:rsid w:val="00715D6D"/>
    <w:rsid w:val="00722D15"/>
    <w:rsid w:val="00724059"/>
    <w:rsid w:val="00725138"/>
    <w:rsid w:val="00725612"/>
    <w:rsid w:val="00726BA2"/>
    <w:rsid w:val="00727BCB"/>
    <w:rsid w:val="00735862"/>
    <w:rsid w:val="00742207"/>
    <w:rsid w:val="00750BAE"/>
    <w:rsid w:val="007558B9"/>
    <w:rsid w:val="00762145"/>
    <w:rsid w:val="00771094"/>
    <w:rsid w:val="007736AA"/>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7829"/>
    <w:rsid w:val="007B3EC2"/>
    <w:rsid w:val="007B59B5"/>
    <w:rsid w:val="007C290A"/>
    <w:rsid w:val="007D4986"/>
    <w:rsid w:val="007D4D5C"/>
    <w:rsid w:val="007D611D"/>
    <w:rsid w:val="007E22B2"/>
    <w:rsid w:val="007E5CAD"/>
    <w:rsid w:val="007E7B3C"/>
    <w:rsid w:val="007E7D5B"/>
    <w:rsid w:val="007F0660"/>
    <w:rsid w:val="007F65B7"/>
    <w:rsid w:val="008025DA"/>
    <w:rsid w:val="008072D6"/>
    <w:rsid w:val="008100B7"/>
    <w:rsid w:val="00812E13"/>
    <w:rsid w:val="00813C0A"/>
    <w:rsid w:val="00817FE6"/>
    <w:rsid w:val="008217B5"/>
    <w:rsid w:val="00824453"/>
    <w:rsid w:val="00827C2F"/>
    <w:rsid w:val="00831240"/>
    <w:rsid w:val="008330ED"/>
    <w:rsid w:val="00836359"/>
    <w:rsid w:val="008370B2"/>
    <w:rsid w:val="00840A20"/>
    <w:rsid w:val="00841B88"/>
    <w:rsid w:val="0084399C"/>
    <w:rsid w:val="00844059"/>
    <w:rsid w:val="00851F49"/>
    <w:rsid w:val="008523E2"/>
    <w:rsid w:val="00855845"/>
    <w:rsid w:val="00855BB2"/>
    <w:rsid w:val="00863C52"/>
    <w:rsid w:val="00864539"/>
    <w:rsid w:val="00885087"/>
    <w:rsid w:val="008918C9"/>
    <w:rsid w:val="008927FA"/>
    <w:rsid w:val="0089546D"/>
    <w:rsid w:val="008A2873"/>
    <w:rsid w:val="008A35DA"/>
    <w:rsid w:val="008A3AFA"/>
    <w:rsid w:val="008A4F9E"/>
    <w:rsid w:val="008A58D1"/>
    <w:rsid w:val="008A6A11"/>
    <w:rsid w:val="008B5FCC"/>
    <w:rsid w:val="008C2D92"/>
    <w:rsid w:val="008D4E75"/>
    <w:rsid w:val="008E2C95"/>
    <w:rsid w:val="008E4217"/>
    <w:rsid w:val="008E5FDC"/>
    <w:rsid w:val="008E6534"/>
    <w:rsid w:val="008E711B"/>
    <w:rsid w:val="008F1956"/>
    <w:rsid w:val="008F4EAC"/>
    <w:rsid w:val="00902089"/>
    <w:rsid w:val="0090780B"/>
    <w:rsid w:val="00913FE4"/>
    <w:rsid w:val="00916409"/>
    <w:rsid w:val="00917B86"/>
    <w:rsid w:val="00922CE2"/>
    <w:rsid w:val="00923142"/>
    <w:rsid w:val="009276B2"/>
    <w:rsid w:val="00931153"/>
    <w:rsid w:val="009330A2"/>
    <w:rsid w:val="00937E9E"/>
    <w:rsid w:val="00940B10"/>
    <w:rsid w:val="009458A8"/>
    <w:rsid w:val="00951375"/>
    <w:rsid w:val="009629A7"/>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65A4"/>
    <w:rsid w:val="009D151B"/>
    <w:rsid w:val="009D49F0"/>
    <w:rsid w:val="009E1BC1"/>
    <w:rsid w:val="009E235D"/>
    <w:rsid w:val="009E34BB"/>
    <w:rsid w:val="009E58E2"/>
    <w:rsid w:val="009E681C"/>
    <w:rsid w:val="009F077D"/>
    <w:rsid w:val="009F4248"/>
    <w:rsid w:val="009F5379"/>
    <w:rsid w:val="00A007B1"/>
    <w:rsid w:val="00A01245"/>
    <w:rsid w:val="00A023D2"/>
    <w:rsid w:val="00A0467D"/>
    <w:rsid w:val="00A1009D"/>
    <w:rsid w:val="00A10D30"/>
    <w:rsid w:val="00A1268D"/>
    <w:rsid w:val="00A14443"/>
    <w:rsid w:val="00A15F29"/>
    <w:rsid w:val="00A16C13"/>
    <w:rsid w:val="00A20C27"/>
    <w:rsid w:val="00A256A1"/>
    <w:rsid w:val="00A25AAD"/>
    <w:rsid w:val="00A3047A"/>
    <w:rsid w:val="00A36D27"/>
    <w:rsid w:val="00A41561"/>
    <w:rsid w:val="00A536BE"/>
    <w:rsid w:val="00A65594"/>
    <w:rsid w:val="00A67ED7"/>
    <w:rsid w:val="00A76226"/>
    <w:rsid w:val="00A82EB6"/>
    <w:rsid w:val="00A90FE1"/>
    <w:rsid w:val="00A9169B"/>
    <w:rsid w:val="00A95C9A"/>
    <w:rsid w:val="00AB22E8"/>
    <w:rsid w:val="00AB2A16"/>
    <w:rsid w:val="00AB4D35"/>
    <w:rsid w:val="00AC02DF"/>
    <w:rsid w:val="00AD1CA2"/>
    <w:rsid w:val="00AD1CDB"/>
    <w:rsid w:val="00AE0188"/>
    <w:rsid w:val="00AE4720"/>
    <w:rsid w:val="00AE4911"/>
    <w:rsid w:val="00AF2F95"/>
    <w:rsid w:val="00AF4573"/>
    <w:rsid w:val="00AF5033"/>
    <w:rsid w:val="00AF62A5"/>
    <w:rsid w:val="00B01DA0"/>
    <w:rsid w:val="00B044C2"/>
    <w:rsid w:val="00B045CF"/>
    <w:rsid w:val="00B13DE7"/>
    <w:rsid w:val="00B147E4"/>
    <w:rsid w:val="00B260C4"/>
    <w:rsid w:val="00B26D25"/>
    <w:rsid w:val="00B333D0"/>
    <w:rsid w:val="00B43997"/>
    <w:rsid w:val="00B47C25"/>
    <w:rsid w:val="00B53884"/>
    <w:rsid w:val="00B60C19"/>
    <w:rsid w:val="00B71E9D"/>
    <w:rsid w:val="00B735A0"/>
    <w:rsid w:val="00B7451E"/>
    <w:rsid w:val="00B76C59"/>
    <w:rsid w:val="00B812F1"/>
    <w:rsid w:val="00B81F0F"/>
    <w:rsid w:val="00B82213"/>
    <w:rsid w:val="00B82781"/>
    <w:rsid w:val="00B8447A"/>
    <w:rsid w:val="00B84C8F"/>
    <w:rsid w:val="00B866C7"/>
    <w:rsid w:val="00B924FC"/>
    <w:rsid w:val="00B96A90"/>
    <w:rsid w:val="00B97AEA"/>
    <w:rsid w:val="00BB4187"/>
    <w:rsid w:val="00BB61A5"/>
    <w:rsid w:val="00BB74F1"/>
    <w:rsid w:val="00BC0B64"/>
    <w:rsid w:val="00BC137E"/>
    <w:rsid w:val="00BC1F1E"/>
    <w:rsid w:val="00BD1E3B"/>
    <w:rsid w:val="00BD3616"/>
    <w:rsid w:val="00BD7424"/>
    <w:rsid w:val="00BE0D9A"/>
    <w:rsid w:val="00BE2C7A"/>
    <w:rsid w:val="00BE582C"/>
    <w:rsid w:val="00BF0C59"/>
    <w:rsid w:val="00BF25C6"/>
    <w:rsid w:val="00BF5989"/>
    <w:rsid w:val="00BF65A0"/>
    <w:rsid w:val="00C00448"/>
    <w:rsid w:val="00C03A90"/>
    <w:rsid w:val="00C0453D"/>
    <w:rsid w:val="00C04EA2"/>
    <w:rsid w:val="00C07B6D"/>
    <w:rsid w:val="00C11B26"/>
    <w:rsid w:val="00C12FC2"/>
    <w:rsid w:val="00C3122D"/>
    <w:rsid w:val="00C31467"/>
    <w:rsid w:val="00C45D0D"/>
    <w:rsid w:val="00C4738D"/>
    <w:rsid w:val="00C4740A"/>
    <w:rsid w:val="00C51607"/>
    <w:rsid w:val="00C53AF2"/>
    <w:rsid w:val="00C55326"/>
    <w:rsid w:val="00C6567D"/>
    <w:rsid w:val="00C65695"/>
    <w:rsid w:val="00C76D42"/>
    <w:rsid w:val="00C7775F"/>
    <w:rsid w:val="00C90321"/>
    <w:rsid w:val="00C95418"/>
    <w:rsid w:val="00C9744B"/>
    <w:rsid w:val="00CC27C3"/>
    <w:rsid w:val="00CC73E1"/>
    <w:rsid w:val="00CD132C"/>
    <w:rsid w:val="00CD6DAE"/>
    <w:rsid w:val="00CD7081"/>
    <w:rsid w:val="00CE4ABC"/>
    <w:rsid w:val="00CF1385"/>
    <w:rsid w:val="00CF20A1"/>
    <w:rsid w:val="00CF3DED"/>
    <w:rsid w:val="00CF3FCD"/>
    <w:rsid w:val="00D0059E"/>
    <w:rsid w:val="00D011A4"/>
    <w:rsid w:val="00D0502A"/>
    <w:rsid w:val="00D052ED"/>
    <w:rsid w:val="00D05924"/>
    <w:rsid w:val="00D10838"/>
    <w:rsid w:val="00D11D24"/>
    <w:rsid w:val="00D1524F"/>
    <w:rsid w:val="00D209C0"/>
    <w:rsid w:val="00D22DC2"/>
    <w:rsid w:val="00D2553E"/>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91F37"/>
    <w:rsid w:val="00D924CF"/>
    <w:rsid w:val="00D93201"/>
    <w:rsid w:val="00D9621D"/>
    <w:rsid w:val="00DA6209"/>
    <w:rsid w:val="00DA76A1"/>
    <w:rsid w:val="00DB052E"/>
    <w:rsid w:val="00DC21C3"/>
    <w:rsid w:val="00DC41BB"/>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4725"/>
    <w:rsid w:val="00E356CF"/>
    <w:rsid w:val="00E50621"/>
    <w:rsid w:val="00E55C0E"/>
    <w:rsid w:val="00E5754F"/>
    <w:rsid w:val="00E63063"/>
    <w:rsid w:val="00E675F3"/>
    <w:rsid w:val="00E71778"/>
    <w:rsid w:val="00E86085"/>
    <w:rsid w:val="00E90A8C"/>
    <w:rsid w:val="00E9110E"/>
    <w:rsid w:val="00E95305"/>
    <w:rsid w:val="00E97313"/>
    <w:rsid w:val="00EA1230"/>
    <w:rsid w:val="00EB1789"/>
    <w:rsid w:val="00EB3691"/>
    <w:rsid w:val="00EB40EC"/>
    <w:rsid w:val="00EC0FC8"/>
    <w:rsid w:val="00EC1374"/>
    <w:rsid w:val="00EC31DE"/>
    <w:rsid w:val="00EC6896"/>
    <w:rsid w:val="00ED2116"/>
    <w:rsid w:val="00ED5FE5"/>
    <w:rsid w:val="00EE119E"/>
    <w:rsid w:val="00EE3008"/>
    <w:rsid w:val="00EF0A63"/>
    <w:rsid w:val="00EF4033"/>
    <w:rsid w:val="00EF58B3"/>
    <w:rsid w:val="00F011AB"/>
    <w:rsid w:val="00F0608F"/>
    <w:rsid w:val="00F0672E"/>
    <w:rsid w:val="00F06EAC"/>
    <w:rsid w:val="00F21A29"/>
    <w:rsid w:val="00F23FA5"/>
    <w:rsid w:val="00F248D0"/>
    <w:rsid w:val="00F263F1"/>
    <w:rsid w:val="00F32BD3"/>
    <w:rsid w:val="00F338F5"/>
    <w:rsid w:val="00F4070E"/>
    <w:rsid w:val="00F40DF7"/>
    <w:rsid w:val="00F435F5"/>
    <w:rsid w:val="00F55101"/>
    <w:rsid w:val="00F629EF"/>
    <w:rsid w:val="00F62FBE"/>
    <w:rsid w:val="00F668F4"/>
    <w:rsid w:val="00F7414D"/>
    <w:rsid w:val="00F769B4"/>
    <w:rsid w:val="00F80038"/>
    <w:rsid w:val="00F80DAF"/>
    <w:rsid w:val="00F95E47"/>
    <w:rsid w:val="00F95F69"/>
    <w:rsid w:val="00F97449"/>
    <w:rsid w:val="00FA52E3"/>
    <w:rsid w:val="00FB333F"/>
    <w:rsid w:val="00FB437C"/>
    <w:rsid w:val="00FC2FA2"/>
    <w:rsid w:val="00FD5AEA"/>
    <w:rsid w:val="00FD67EE"/>
    <w:rsid w:val="00FD7E00"/>
    <w:rsid w:val="00FE1A5A"/>
    <w:rsid w:val="00FE53FD"/>
    <w:rsid w:val="00FF05A4"/>
    <w:rsid w:val="00FF05F6"/>
    <w:rsid w:val="00FF2C3A"/>
    <w:rsid w:val="00FF466F"/>
    <w:rsid w:val="00FF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F42A173"/>
  <w15:docId w15:val="{B2A16A83-058F-4137-9757-58C42E82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1"/>
    <w:qFormat/>
    <w:rsid w:val="00632F4A"/>
    <w:pPr>
      <w:ind w:left="720"/>
      <w:contextualSpacing/>
    </w:pPr>
  </w:style>
  <w:style w:type="paragraph" w:styleId="BodyText">
    <w:name w:val="Body Text"/>
    <w:basedOn w:val="Normal"/>
    <w:link w:val="BodyTextChar"/>
    <w:uiPriority w:val="1"/>
    <w:qFormat/>
    <w:rsid w:val="003F0843"/>
    <w:pPr>
      <w:widowControl w:val="0"/>
      <w:adjustRightInd/>
    </w:pPr>
    <w:rPr>
      <w:rFonts w:ascii="Times New Roman" w:hAnsi="Times New Roman"/>
      <w:sz w:val="24"/>
    </w:rPr>
  </w:style>
  <w:style w:type="character" w:customStyle="1" w:styleId="BodyTextChar">
    <w:name w:val="Body Text Char"/>
    <w:basedOn w:val="DefaultParagraphFont"/>
    <w:link w:val="BodyText"/>
    <w:uiPriority w:val="1"/>
    <w:rsid w:val="003F0843"/>
    <w:rPr>
      <w:rFonts w:ascii="Times New Roman" w:hAnsi="Times New Roman"/>
      <w:sz w:val="24"/>
      <w:szCs w:val="24"/>
    </w:rPr>
  </w:style>
  <w:style w:type="paragraph" w:customStyle="1" w:styleId="SOPTable1">
    <w:name w:val="SOP Table 1"/>
    <w:basedOn w:val="Normal"/>
    <w:qFormat/>
    <w:rsid w:val="00582DA2"/>
    <w:pPr>
      <w:widowControl w:val="0"/>
    </w:pPr>
    <w:rPr>
      <w:szCs w:val="22"/>
    </w:rPr>
  </w:style>
  <w:style w:type="character" w:styleId="Hyperlink">
    <w:name w:val="Hyperlink"/>
    <w:basedOn w:val="DefaultParagraphFont"/>
    <w:rsid w:val="00B76C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www.tceq.texas.gov/agency/decisions/participation/title-vi-compliance"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4" ma:contentTypeDescription="Create a new document." ma:contentTypeScope="" ma:versionID="977bb0adfd7c3204bbf2d46773c252d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90a05ff09342910b93163a8dae7105f4"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DAE0CF-C53C-40EF-B31F-2913B8A9A085}"/>
</file>

<file path=customXml/itemProps2.xml><?xml version="1.0" encoding="utf-8"?>
<ds:datastoreItem xmlns:ds="http://schemas.openxmlformats.org/officeDocument/2006/customXml" ds:itemID="{9573CB50-7A65-4F40-BBEB-3E3DD6847625}"/>
</file>

<file path=docProps/app.xml><?xml version="1.0" encoding="utf-8"?>
<Properties xmlns="http://schemas.openxmlformats.org/officeDocument/2006/extended-properties" xmlns:vt="http://schemas.openxmlformats.org/officeDocument/2006/docPropsVTypes">
  <Template>Normal.dotm</Template>
  <TotalTime>2</TotalTime>
  <Pages>7</Pages>
  <Words>2792</Words>
  <Characters>15526</Characters>
  <Application>Microsoft Office Word</Application>
  <DocSecurity>4</DocSecurity>
  <Lines>1109</Lines>
  <Paragraphs>732</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17586</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Emily Knodell</cp:lastModifiedBy>
  <cp:revision>2</cp:revision>
  <dcterms:created xsi:type="dcterms:W3CDTF">2023-05-17T18:45:00Z</dcterms:created>
  <dcterms:modified xsi:type="dcterms:W3CDTF">2023-05-17T18:45:00Z</dcterms:modified>
</cp:coreProperties>
</file>