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B77D34" w14:textId="1E89F0A2" w:rsidR="00ED2116" w:rsidRPr="00F927C4" w:rsidRDefault="00411F2B" w:rsidP="007E33EE">
      <w:pPr>
        <w:jc w:val="right"/>
      </w:pPr>
      <w:r>
        <w:t xml:space="preserve">May 5, </w:t>
      </w:r>
      <w:r w:rsidR="00060C4C">
        <w:t>2023</w:t>
      </w:r>
    </w:p>
    <w:p w14:paraId="7A4B1C90" w14:textId="77777777" w:rsidR="00286734" w:rsidRDefault="00286734" w:rsidP="007E33EE">
      <w:r>
        <w:t>MR JEFFREY ROBINSON</w:t>
      </w:r>
    </w:p>
    <w:p w14:paraId="2E93B700" w14:textId="77777777" w:rsidR="00286734" w:rsidRDefault="00286734" w:rsidP="007E33EE">
      <w:r>
        <w:t>BRANCH CHIEF AIR PERMITS AND MONITORING</w:t>
      </w:r>
    </w:p>
    <w:p w14:paraId="73E04A0C" w14:textId="77777777" w:rsidR="00286734" w:rsidRDefault="00286734" w:rsidP="007E33EE">
      <w:r>
        <w:t>US ENVIRONMENTAL PROTECTION AGENCY REGION 6</w:t>
      </w:r>
    </w:p>
    <w:p w14:paraId="7E85A066" w14:textId="77777777" w:rsidR="00286734" w:rsidRDefault="00286734" w:rsidP="007E33EE">
      <w:r>
        <w:t>1201 ELM ST STE 500</w:t>
      </w:r>
    </w:p>
    <w:p w14:paraId="67675493" w14:textId="77777777" w:rsidR="002A602F" w:rsidRDefault="00286734" w:rsidP="007E33EE">
      <w:r>
        <w:t>DALLAS TX  75270</w:t>
      </w:r>
    </w:p>
    <w:p w14:paraId="02247E6C" w14:textId="77777777" w:rsidR="00286734" w:rsidRDefault="00286734" w:rsidP="007E33EE"/>
    <w:p w14:paraId="4D12A1BE" w14:textId="77777777" w:rsidR="00BD7424" w:rsidRPr="00C04EA2" w:rsidRDefault="00BD7424" w:rsidP="007E33EE"/>
    <w:p w14:paraId="5ED3CBD1" w14:textId="77777777" w:rsidR="00C4738D" w:rsidRPr="00C04EA2" w:rsidRDefault="00C4738D" w:rsidP="007E33EE">
      <w:pPr>
        <w:tabs>
          <w:tab w:val="left" w:pos="446"/>
        </w:tabs>
        <w:outlineLvl w:val="0"/>
      </w:pPr>
      <w:r w:rsidRPr="00C04EA2">
        <w:t>Re:</w:t>
      </w:r>
      <w:r w:rsidRPr="00C04EA2">
        <w:tab/>
      </w:r>
      <w:r w:rsidR="00C6567D" w:rsidRPr="00C04EA2">
        <w:t>Executive Director’s Response to EPA Objection</w:t>
      </w:r>
    </w:p>
    <w:p w14:paraId="7E3F00F1" w14:textId="77777777" w:rsidR="00C4738D" w:rsidRPr="00C04EA2" w:rsidRDefault="00A27E27" w:rsidP="007E33EE">
      <w:pPr>
        <w:ind w:left="446"/>
      </w:pPr>
      <w:r>
        <w:t>Minor Revision</w:t>
      </w:r>
    </w:p>
    <w:p w14:paraId="52140C98" w14:textId="77777777" w:rsidR="00C4738D" w:rsidRPr="00C04EA2" w:rsidRDefault="00D35BB8" w:rsidP="007E33EE">
      <w:pPr>
        <w:ind w:left="446"/>
      </w:pPr>
      <w:r w:rsidRPr="00C04EA2">
        <w:t xml:space="preserve">Permit Number:  </w:t>
      </w:r>
      <w:r w:rsidR="00A27E27">
        <w:t>O2942</w:t>
      </w:r>
    </w:p>
    <w:p w14:paraId="6634048C" w14:textId="77777777" w:rsidR="00C4738D" w:rsidRPr="00C04EA2" w:rsidRDefault="00A27E27" w:rsidP="007E33EE">
      <w:pPr>
        <w:ind w:left="446"/>
      </w:pPr>
      <w:r>
        <w:t>Oak Grove Management Company LLC</w:t>
      </w:r>
    </w:p>
    <w:p w14:paraId="749F6D30" w14:textId="77777777" w:rsidR="00C4738D" w:rsidRPr="00C04EA2" w:rsidRDefault="00A27E27" w:rsidP="007E33EE">
      <w:pPr>
        <w:ind w:left="446"/>
      </w:pPr>
      <w:r>
        <w:t>Oak Grove Steam Electric Station</w:t>
      </w:r>
    </w:p>
    <w:p w14:paraId="232CADB8" w14:textId="77777777" w:rsidR="00C4738D" w:rsidRPr="00C04EA2" w:rsidRDefault="00A27E27" w:rsidP="007E33EE">
      <w:pPr>
        <w:ind w:left="446"/>
      </w:pPr>
      <w:r>
        <w:t>Franklin, Robertson County</w:t>
      </w:r>
    </w:p>
    <w:p w14:paraId="04113940" w14:textId="77777777" w:rsidR="00C4738D" w:rsidRPr="00C04EA2" w:rsidRDefault="00C4738D" w:rsidP="007E33EE">
      <w:pPr>
        <w:ind w:left="446"/>
      </w:pPr>
      <w:r w:rsidRPr="00C04EA2">
        <w:t xml:space="preserve">Regulated Entity Number:  </w:t>
      </w:r>
      <w:r w:rsidR="00A27E27">
        <w:t>RN100216191</w:t>
      </w:r>
    </w:p>
    <w:p w14:paraId="23CDF1B7" w14:textId="77777777" w:rsidR="00C4738D" w:rsidRPr="00C04EA2" w:rsidRDefault="00C4738D" w:rsidP="007E33EE">
      <w:pPr>
        <w:ind w:left="446"/>
      </w:pPr>
      <w:r w:rsidRPr="00C04EA2">
        <w:t xml:space="preserve">Customer Reference Number:  </w:t>
      </w:r>
      <w:r w:rsidR="00A27E27">
        <w:t>CN602881955</w:t>
      </w:r>
    </w:p>
    <w:p w14:paraId="2EBECC6D" w14:textId="77777777" w:rsidR="00F263F1" w:rsidRPr="00C04EA2" w:rsidRDefault="00F263F1" w:rsidP="007E33EE">
      <w:pPr>
        <w:ind w:left="450"/>
      </w:pPr>
    </w:p>
    <w:p w14:paraId="68B54E5B" w14:textId="77777777" w:rsidR="00C4738D" w:rsidRPr="00C04EA2" w:rsidRDefault="00C4738D" w:rsidP="007E33EE">
      <w:r w:rsidRPr="00C04EA2">
        <w:t xml:space="preserve">Dear </w:t>
      </w:r>
      <w:r w:rsidR="00F06EAC" w:rsidRPr="00C04EA2">
        <w:t xml:space="preserve">Mr. </w:t>
      </w:r>
      <w:r w:rsidR="00286734" w:rsidRPr="00286734">
        <w:t>Robinson</w:t>
      </w:r>
      <w:r w:rsidRPr="00C04EA2">
        <w:t>:</w:t>
      </w:r>
    </w:p>
    <w:p w14:paraId="0E8BF452" w14:textId="77777777" w:rsidR="00AE0188" w:rsidRPr="00C04EA2" w:rsidRDefault="00AE0188" w:rsidP="007E33EE"/>
    <w:p w14:paraId="2A28998D" w14:textId="77777777" w:rsidR="00AE0188" w:rsidRPr="00C04EA2" w:rsidRDefault="00AE0188" w:rsidP="007E33EE">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72976CB1" w14:textId="0B4993CB" w:rsidR="00EC6896" w:rsidRPr="00C04EA2" w:rsidRDefault="00EC6896" w:rsidP="007E33EE">
      <w:r w:rsidRPr="00C04EA2">
        <w:t xml:space="preserve">On </w:t>
      </w:r>
      <w:r w:rsidR="00A27E27">
        <w:t>October 15, 2021</w:t>
      </w:r>
      <w:r w:rsidR="00984F02">
        <w:t>,</w:t>
      </w:r>
      <w:r w:rsidRPr="00C04EA2">
        <w:t xml:space="preserve"> the U.S. Environmental Pr</w:t>
      </w:r>
      <w:r w:rsidR="00F629EF">
        <w:t xml:space="preserve">otection Agency (EPA) </w:t>
      </w:r>
      <w:r w:rsidR="00522E8A">
        <w:t>Administrator</w:t>
      </w:r>
      <w:r w:rsidRPr="00C04EA2">
        <w:t xml:space="preserve"> signed a letter identifying objections to the issuance of the proposed federal operating permit </w:t>
      </w:r>
      <w:r w:rsidR="00287A91">
        <w:t xml:space="preserve">O2942 </w:t>
      </w:r>
      <w:r w:rsidRPr="00C04EA2">
        <w:t>for the above referenced site</w:t>
      </w:r>
      <w:r w:rsidR="00287A91">
        <w:t xml:space="preserve"> in response to a petition filed on </w:t>
      </w:r>
      <w:r w:rsidR="008D6819">
        <w:t xml:space="preserve">July </w:t>
      </w:r>
      <w:r w:rsidR="00296DBA" w:rsidRPr="008F4A6B">
        <w:t>25</w:t>
      </w:r>
      <w:r w:rsidR="00287A91" w:rsidRPr="008F4A6B">
        <w:t>, 2017</w:t>
      </w:r>
      <w:r w:rsidRPr="00C04EA2">
        <w:t xml:space="preserve">. </w:t>
      </w:r>
      <w:r w:rsidR="00287A91" w:rsidRPr="00C04EA2">
        <w:t>In</w:t>
      </w:r>
      <w:r w:rsidR="00287A91">
        <w:t xml:space="preserve"> accordance with Title </w:t>
      </w:r>
      <w:r w:rsidR="00287A91" w:rsidRPr="00C04EA2">
        <w:t>30 Texas Administrative Code</w:t>
      </w:r>
      <w:r w:rsidR="00287A91">
        <w:t xml:space="preserve"> </w:t>
      </w:r>
      <w:r w:rsidR="00287A91" w:rsidRPr="00C04EA2">
        <w:rPr>
          <w:bCs/>
        </w:rPr>
        <w:t>§</w:t>
      </w:r>
      <w:r w:rsidR="00287A91">
        <w:rPr>
          <w:bCs/>
        </w:rPr>
        <w:t> </w:t>
      </w:r>
      <w:r w:rsidR="00287A91" w:rsidRPr="00C04EA2">
        <w:rPr>
          <w:bCs/>
        </w:rPr>
        <w:t>122.3</w:t>
      </w:r>
      <w:r w:rsidR="00287A91">
        <w:rPr>
          <w:bCs/>
        </w:rPr>
        <w:t>6</w:t>
      </w:r>
      <w:r w:rsidR="00287A91" w:rsidRPr="00C04EA2">
        <w:rPr>
          <w:bCs/>
        </w:rPr>
        <w:t>0</w:t>
      </w:r>
      <w:r w:rsidR="00287A91">
        <w:rPr>
          <w:bCs/>
        </w:rPr>
        <w:t xml:space="preserve"> </w:t>
      </w:r>
      <w:r w:rsidR="00287A91" w:rsidRPr="00EE119E">
        <w:rPr>
          <w:bCs/>
        </w:rPr>
        <w:t>(30 TAC § 122.3</w:t>
      </w:r>
      <w:r w:rsidR="00287A91">
        <w:rPr>
          <w:bCs/>
        </w:rPr>
        <w:t>6</w:t>
      </w:r>
      <w:r w:rsidR="00287A91" w:rsidRPr="00EE119E">
        <w:rPr>
          <w:bCs/>
        </w:rPr>
        <w:t>0)</w:t>
      </w:r>
      <w:r w:rsidR="00287A91" w:rsidRPr="00C04EA2">
        <w:rPr>
          <w:bCs/>
        </w:rPr>
        <w:t xml:space="preserve">, the </w:t>
      </w:r>
      <w:r w:rsidR="00287A91" w:rsidRPr="00C04EA2">
        <w:t xml:space="preserve">Texas Commission on Environmental Quality (TCEQ) </w:t>
      </w:r>
      <w:r w:rsidR="00287A91">
        <w:t>shall resolve any objection and revise the permit if necessary.</w:t>
      </w:r>
      <w:r w:rsidR="00287A91" w:rsidRPr="00C04EA2">
        <w:t xml:space="preserve"> </w:t>
      </w:r>
    </w:p>
    <w:p w14:paraId="3631C487" w14:textId="77777777" w:rsidR="00EC6896" w:rsidRPr="00C04EA2" w:rsidRDefault="00EC6896" w:rsidP="007E33EE"/>
    <w:p w14:paraId="03E11CFE" w14:textId="439FD294" w:rsidR="00287A91" w:rsidRDefault="00484D06" w:rsidP="00287A91">
      <w:r w:rsidRPr="00484D06">
        <w:t xml:space="preserve">EPA objections are addressed in a pending minor permit revision application that was submitted on </w:t>
      </w:r>
      <w:r w:rsidR="00296DBA">
        <w:t>December 1, 2021</w:t>
      </w:r>
      <w:r w:rsidR="00287A91">
        <w:t xml:space="preserve">. </w:t>
      </w:r>
      <w:r w:rsidR="00287A91"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rsidR="00287A91">
        <w:t xml:space="preserve"> (SOB)</w:t>
      </w:r>
      <w:r w:rsidR="00287A91" w:rsidRPr="00C04EA2">
        <w:t xml:space="preserve">.  The revised proposed permit and </w:t>
      </w:r>
      <w:r w:rsidR="00287A91">
        <w:t>SOB</w:t>
      </w:r>
      <w:r w:rsidR="00287A91" w:rsidRPr="00C04EA2">
        <w:t xml:space="preserve"> are attached for your review</w:t>
      </w:r>
      <w:r w:rsidR="00AE5D95">
        <w:t>.</w:t>
      </w:r>
      <w:r w:rsidR="00287A91">
        <w:t xml:space="preserve"> </w:t>
      </w:r>
    </w:p>
    <w:p w14:paraId="6E2201E1" w14:textId="77777777" w:rsidR="00287A91" w:rsidRDefault="00287A91" w:rsidP="00287A91"/>
    <w:p w14:paraId="29AF0B20" w14:textId="0AA2E600" w:rsidR="00287A91" w:rsidRDefault="00287A91" w:rsidP="00287A91">
      <w:r>
        <w:t>The public announcement period will begin</w:t>
      </w:r>
      <w:r w:rsidR="00F927C4">
        <w:t xml:space="preserve"> </w:t>
      </w:r>
      <w:r w:rsidR="00BA711E">
        <w:t xml:space="preserve">May </w:t>
      </w:r>
      <w:r w:rsidR="00411F2B">
        <w:t>9</w:t>
      </w:r>
      <w:r w:rsidR="00BA711E">
        <w:t>, 2023</w:t>
      </w:r>
      <w:r w:rsidR="00F927C4" w:rsidRPr="00F927C4">
        <w:t xml:space="preserve">, and end </w:t>
      </w:r>
      <w:r w:rsidR="00BA711E">
        <w:t xml:space="preserve">June </w:t>
      </w:r>
      <w:r w:rsidR="00411F2B">
        <w:t>8</w:t>
      </w:r>
      <w:r w:rsidR="00BA711E">
        <w:t>, 2023</w:t>
      </w:r>
      <w:r w:rsidR="00F927C4">
        <w:t xml:space="preserve">. </w:t>
      </w:r>
      <w:r>
        <w:t xml:space="preserve">In addition, if no comments are received, the EPA review period will run concurrent with the announcement and will end on </w:t>
      </w:r>
      <w:r w:rsidR="00BA711E">
        <w:t xml:space="preserve">June </w:t>
      </w:r>
      <w:r w:rsidR="00411F2B">
        <w:t>23</w:t>
      </w:r>
      <w:r w:rsidR="00F927C4" w:rsidRPr="00F927C4">
        <w:t>, 202</w:t>
      </w:r>
      <w:r w:rsidR="00BA711E">
        <w:t>3</w:t>
      </w:r>
      <w:r>
        <w:t>.  If comments are received, you will be notified.</w:t>
      </w:r>
    </w:p>
    <w:p w14:paraId="3B4AA42A" w14:textId="77777777" w:rsidR="00287A91" w:rsidRDefault="00287A91" w:rsidP="00287A91"/>
    <w:p w14:paraId="3988BB6C" w14:textId="77777777" w:rsidR="00287A91" w:rsidRDefault="00287A91" w:rsidP="00287A91">
      <w:r w:rsidRPr="00C04EA2">
        <w:t xml:space="preserve">Consistent with 30 TAC </w:t>
      </w:r>
      <w:r w:rsidRPr="00C04EA2">
        <w:rPr>
          <w:bCs/>
        </w:rPr>
        <w:t>§122.350, please</w:t>
      </w:r>
      <w:r>
        <w:rPr>
          <w:bCs/>
        </w:rPr>
        <w:t xml:space="preserve"> notify the TCEQ that the EPA will not further object to the issuance of the permit and</w:t>
      </w:r>
      <w:r w:rsidRPr="00C04EA2">
        <w:rPr>
          <w:bCs/>
        </w:rPr>
        <w:t xml:space="preserve"> </w:t>
      </w:r>
      <w:r>
        <w:rPr>
          <w:bCs/>
        </w:rPr>
        <w:t xml:space="preserve">concurs </w:t>
      </w:r>
      <w:r w:rsidRPr="00C04EA2">
        <w:rPr>
          <w:bCs/>
        </w:rPr>
        <w:t xml:space="preserve">resolution </w:t>
      </w:r>
      <w:r>
        <w:rPr>
          <w:bCs/>
        </w:rPr>
        <w:t>of</w:t>
      </w:r>
      <w:r w:rsidRPr="00C04EA2">
        <w:rPr>
          <w:bCs/>
        </w:rPr>
        <w:t xml:space="preserve"> the </w:t>
      </w:r>
      <w:r>
        <w:rPr>
          <w:bCs/>
        </w:rPr>
        <w:t xml:space="preserve">prior </w:t>
      </w:r>
      <w:r w:rsidRPr="00C04EA2">
        <w:rPr>
          <w:bCs/>
        </w:rPr>
        <w:t>objections as soon as possible.</w:t>
      </w:r>
      <w:r>
        <w:rPr>
          <w:bCs/>
        </w:rPr>
        <w:t xml:space="preserve"> </w:t>
      </w:r>
      <w:r w:rsidRPr="00733A58">
        <w:t xml:space="preserve">If the EPA does not </w:t>
      </w:r>
      <w:r>
        <w:t xml:space="preserve">notify the TCEQ or file any further </w:t>
      </w:r>
      <w:r w:rsidRPr="00733A58">
        <w:t>objection</w:t>
      </w:r>
      <w:r>
        <w:t>s</w:t>
      </w:r>
      <w:r w:rsidRPr="00733A58">
        <w:t xml:space="preserve"> to the proposed FOP</w:t>
      </w:r>
      <w:r>
        <w:t xml:space="preserve"> during the 45-day review period</w:t>
      </w:r>
      <w:r w:rsidRPr="00733A58">
        <w:t>, the TCEQ will</w:t>
      </w:r>
      <w:r>
        <w:t xml:space="preserve"> consider the objections resolved and</w:t>
      </w:r>
      <w:r w:rsidRPr="00733A58">
        <w:t xml:space="preserve"> issue the FOP. </w:t>
      </w:r>
    </w:p>
    <w:p w14:paraId="4D8AE1BF" w14:textId="77777777" w:rsidR="00287A91" w:rsidRDefault="00287A91" w:rsidP="00287A91">
      <w:pPr>
        <w:keepNext/>
        <w:keepLines/>
        <w:rPr>
          <w:bCs/>
        </w:rPr>
      </w:pPr>
      <w:r w:rsidRPr="00C04EA2">
        <w:rPr>
          <w:bCs/>
        </w:rPr>
        <w:t xml:space="preserve"> </w:t>
      </w:r>
    </w:p>
    <w:p w14:paraId="6403291D" w14:textId="1F017F89" w:rsidR="00287A91" w:rsidRPr="00C04EA2" w:rsidRDefault="00287A91" w:rsidP="00287A91">
      <w:pPr>
        <w:keepNext/>
        <w:keepLines/>
      </w:pPr>
    </w:p>
    <w:p w14:paraId="64316BF2" w14:textId="77777777" w:rsidR="00EC6896" w:rsidRPr="00C04EA2" w:rsidRDefault="00EC6896" w:rsidP="007E33EE"/>
    <w:p w14:paraId="46655862" w14:textId="1D8632C3" w:rsidR="00B53884" w:rsidRDefault="00287A91" w:rsidP="007E33EE">
      <w:pPr>
        <w:keepNext/>
        <w:keepLines/>
        <w:rPr>
          <w:bCs/>
        </w:rPr>
      </w:pPr>
      <w:r w:rsidRPr="00C04EA2">
        <w:lastRenderedPageBreak/>
        <w:t>Thank you for your cooperation in this matter.</w:t>
      </w:r>
      <w:r w:rsidRPr="00C04EA2">
        <w:rPr>
          <w:bCs/>
        </w:rPr>
        <w:t xml:space="preserve">  </w:t>
      </w:r>
      <w:r w:rsidRPr="00C04EA2">
        <w:t xml:space="preserve">Please contact </w:t>
      </w:r>
      <w:r>
        <w:t>Ms. Jasmine Yuan, Ph.D., P.E.</w:t>
      </w:r>
      <w:r w:rsidRPr="00C04EA2">
        <w:t xml:space="preserve"> at </w:t>
      </w:r>
      <w:r>
        <w:t>(512) 239-6090</w:t>
      </w:r>
      <w:r>
        <w:rPr>
          <w:bCs/>
        </w:rPr>
        <w:t xml:space="preserve"> </w:t>
      </w:r>
      <w:r w:rsidRPr="00C04EA2">
        <w:rPr>
          <w:bCs/>
        </w:rPr>
        <w:t>if you have any questions concerning this matter.</w:t>
      </w:r>
    </w:p>
    <w:p w14:paraId="405621DB" w14:textId="77777777" w:rsidR="00287A91" w:rsidRPr="00C04EA2" w:rsidRDefault="00287A91" w:rsidP="007E33EE">
      <w:pPr>
        <w:keepNext/>
        <w:keepLines/>
      </w:pPr>
    </w:p>
    <w:p w14:paraId="38FC7FA5" w14:textId="77777777" w:rsidR="00C4738D" w:rsidRPr="00C04EA2" w:rsidRDefault="00C4738D" w:rsidP="007E33EE">
      <w:pPr>
        <w:keepNext/>
        <w:keepLines/>
      </w:pPr>
      <w:r w:rsidRPr="00C04EA2">
        <w:t>Sincerely,</w:t>
      </w:r>
    </w:p>
    <w:p w14:paraId="49B9A0D4" w14:textId="77777777" w:rsidR="00C4738D" w:rsidRDefault="00C4738D" w:rsidP="007E33EE">
      <w:pPr>
        <w:keepNext/>
        <w:keepLines/>
      </w:pPr>
    </w:p>
    <w:p w14:paraId="715BAE38" w14:textId="77777777" w:rsidR="00F7414D" w:rsidRDefault="00A27E27" w:rsidP="007E33EE">
      <w:pPr>
        <w:keepNext/>
        <w:keepLines/>
      </w:pPr>
      <w:r>
        <w:rPr>
          <w:noProof/>
        </w:rPr>
        <w:drawing>
          <wp:inline distT="0" distB="0" distL="0" distR="0" wp14:anchorId="39F87F1B" wp14:editId="0D30EF7A">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653785F0" w14:textId="77777777" w:rsidR="00F7414D" w:rsidRPr="00C04EA2" w:rsidRDefault="00F7414D" w:rsidP="007E33EE">
      <w:pPr>
        <w:keepNext/>
        <w:keepLines/>
      </w:pPr>
    </w:p>
    <w:p w14:paraId="1E1A4219" w14:textId="77777777" w:rsidR="00A27E27" w:rsidRDefault="00A27E27" w:rsidP="007E33EE">
      <w:pPr>
        <w:keepNext/>
        <w:keepLines/>
      </w:pPr>
      <w:r>
        <w:t>Samuel Short, Deputy Director</w:t>
      </w:r>
    </w:p>
    <w:p w14:paraId="706680DC" w14:textId="77777777" w:rsidR="00A27E27" w:rsidRDefault="00A27E27" w:rsidP="007E33EE">
      <w:pPr>
        <w:keepNext/>
        <w:keepLines/>
      </w:pPr>
      <w:r>
        <w:t>Air Permits Division</w:t>
      </w:r>
    </w:p>
    <w:p w14:paraId="276A7893" w14:textId="77777777" w:rsidR="00C4738D" w:rsidRPr="00C04EA2" w:rsidRDefault="00A27E27" w:rsidP="007E33EE">
      <w:pPr>
        <w:keepNext/>
        <w:keepLines/>
      </w:pPr>
      <w:r>
        <w:t>Office of Air</w:t>
      </w:r>
    </w:p>
    <w:p w14:paraId="3AA07499" w14:textId="77777777" w:rsidR="00A27E27" w:rsidRDefault="00A27E27" w:rsidP="007E33EE">
      <w:pPr>
        <w:keepNext/>
        <w:keepLines/>
      </w:pPr>
      <w:r>
        <w:t>Texas Commission on Environmental Quality</w:t>
      </w:r>
    </w:p>
    <w:p w14:paraId="38A5D937" w14:textId="77777777" w:rsidR="00C4738D" w:rsidRPr="00C04EA2" w:rsidRDefault="00C4738D" w:rsidP="007E33EE">
      <w:pPr>
        <w:keepNext/>
        <w:keepLines/>
      </w:pPr>
    </w:p>
    <w:p w14:paraId="4D8ADF55" w14:textId="0B061B0C" w:rsidR="00A27E27" w:rsidRDefault="00C4738D" w:rsidP="007E33EE">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A27E27">
        <w:tab/>
        <w:t>Mr. Ryker Harger, Environmental Specialist, Luminant Generation Company LLC, Irving</w:t>
      </w:r>
    </w:p>
    <w:p w14:paraId="04485236" w14:textId="12530439" w:rsidR="00F927C4" w:rsidRDefault="00F927C4" w:rsidP="007E33EE">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 xml:space="preserve">        </w:t>
      </w:r>
      <w:bookmarkStart w:id="0" w:name="_Hlk118360838"/>
      <w:r w:rsidR="00F06CE4" w:rsidRPr="00F06CE4">
        <w:t xml:space="preserve">Mr. Paul </w:t>
      </w:r>
      <w:r w:rsidR="00E8493D">
        <w:t xml:space="preserve">M. </w:t>
      </w:r>
      <w:r w:rsidR="00F06CE4" w:rsidRPr="00F06CE4">
        <w:t xml:space="preserve">Barnes, Environmental Manager, Luminant Generation Company LLC, Irving  </w:t>
      </w:r>
    </w:p>
    <w:bookmarkEnd w:id="0"/>
    <w:p w14:paraId="63A69D3D" w14:textId="77777777" w:rsidR="00C4738D" w:rsidRDefault="00A27E27" w:rsidP="007E33EE">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9 - Waco</w:t>
      </w:r>
    </w:p>
    <w:p w14:paraId="09EB1371" w14:textId="77777777" w:rsidR="00E23946" w:rsidRDefault="00E23946" w:rsidP="007E33EE">
      <w:pPr>
        <w:keepNext/>
        <w:keepLines/>
        <w:ind w:left="734" w:hanging="288"/>
      </w:pPr>
      <w:r>
        <w:t>Air Permit Section Chief, U.S. Environmental Protection Agency, Region 6-Dallas (Electronic copy)</w:t>
      </w:r>
    </w:p>
    <w:p w14:paraId="1A558735" w14:textId="77777777" w:rsidR="00B26D25" w:rsidRPr="00C04EA2" w:rsidRDefault="00B26D25" w:rsidP="007E33EE">
      <w:pPr>
        <w:keepNext/>
        <w:keepLines/>
      </w:pPr>
    </w:p>
    <w:p w14:paraId="5E30B5B9" w14:textId="77777777" w:rsidR="00C4738D" w:rsidRPr="00C04EA2" w:rsidRDefault="00864539" w:rsidP="007E33EE">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0DB86043" w14:textId="77777777" w:rsidR="00C4738D" w:rsidRPr="00C04EA2" w:rsidRDefault="00C4738D" w:rsidP="007E33EE">
      <w:pPr>
        <w:keepNext/>
        <w:keepLines/>
        <w:ind w:left="1368"/>
      </w:pPr>
      <w:r w:rsidRPr="00C04EA2">
        <w:t>Proposed Permit</w:t>
      </w:r>
    </w:p>
    <w:p w14:paraId="7551ACF3" w14:textId="77777777" w:rsidR="0024486E" w:rsidRPr="00C04EA2" w:rsidRDefault="00D646BA" w:rsidP="007E33EE">
      <w:pPr>
        <w:keepNext/>
        <w:keepLines/>
        <w:ind w:left="1368"/>
      </w:pPr>
      <w:r w:rsidRPr="00C04EA2">
        <w:t>Statement of Basis</w:t>
      </w:r>
    </w:p>
    <w:p w14:paraId="5964D279" w14:textId="77777777" w:rsidR="00D646BA" w:rsidRPr="00C04EA2" w:rsidRDefault="00D646BA" w:rsidP="007E33EE">
      <w:pPr>
        <w:keepNext/>
        <w:keepLines/>
      </w:pPr>
    </w:p>
    <w:p w14:paraId="0BEB50E4" w14:textId="77777777" w:rsidR="00C4738D" w:rsidRPr="00C04EA2" w:rsidRDefault="00C4738D" w:rsidP="007E33EE">
      <w:pPr>
        <w:keepNext/>
        <w:keepLines/>
        <w:rPr>
          <w:sz w:val="16"/>
          <w:szCs w:val="16"/>
        </w:rPr>
      </w:pPr>
      <w:r w:rsidRPr="00C04EA2">
        <w:rPr>
          <w:sz w:val="16"/>
          <w:szCs w:val="16"/>
        </w:rPr>
        <w:t>Project Number:  </w:t>
      </w:r>
      <w:r w:rsidR="00A27E27">
        <w:rPr>
          <w:sz w:val="16"/>
          <w:szCs w:val="16"/>
        </w:rPr>
        <w:t>32939</w:t>
      </w:r>
    </w:p>
    <w:p w14:paraId="5D8AE1A4" w14:textId="77777777" w:rsidR="00010F20" w:rsidRPr="00C04EA2" w:rsidRDefault="00010F20" w:rsidP="007E33EE">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33FF2DDD" w14:textId="77777777" w:rsidR="002C7CC9" w:rsidRPr="009458A8" w:rsidRDefault="0089546D" w:rsidP="007E33EE">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5F8F5698" w14:textId="77777777" w:rsidR="00BD7424" w:rsidRPr="0014747F" w:rsidRDefault="00BD7424" w:rsidP="007E33EE">
      <w:pPr>
        <w:numPr>
          <w:ilvl w:val="12"/>
          <w:numId w:val="0"/>
        </w:numPr>
        <w:jc w:val="center"/>
        <w:rPr>
          <w:bCs/>
        </w:rPr>
      </w:pPr>
    </w:p>
    <w:p w14:paraId="18F9E0DC" w14:textId="77777777" w:rsidR="0084399C" w:rsidRPr="009458A8" w:rsidRDefault="00BD7424" w:rsidP="007E33EE">
      <w:pPr>
        <w:jc w:val="center"/>
        <w:rPr>
          <w:rStyle w:val="Strong"/>
        </w:rPr>
      </w:pPr>
      <w:r w:rsidRPr="009458A8">
        <w:rPr>
          <w:rStyle w:val="Strong"/>
        </w:rPr>
        <w:t>Permit Number</w:t>
      </w:r>
      <w:r w:rsidR="004274AD">
        <w:rPr>
          <w:rStyle w:val="Strong"/>
        </w:rPr>
        <w:t xml:space="preserve"> </w:t>
      </w:r>
      <w:r w:rsidR="00A27E27">
        <w:rPr>
          <w:rStyle w:val="Strong"/>
        </w:rPr>
        <w:t>O2942</w:t>
      </w:r>
    </w:p>
    <w:p w14:paraId="45341104" w14:textId="77777777" w:rsidR="0084399C" w:rsidRPr="00C04EA2" w:rsidRDefault="0084399C" w:rsidP="007E33EE">
      <w:pPr>
        <w:numPr>
          <w:ilvl w:val="12"/>
          <w:numId w:val="0"/>
        </w:numPr>
      </w:pPr>
    </w:p>
    <w:p w14:paraId="797DB006" w14:textId="77777777" w:rsidR="0084399C" w:rsidRPr="00C04EA2" w:rsidRDefault="0084399C" w:rsidP="007E33EE">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A27E27">
        <w:t>minor revision</w:t>
      </w:r>
      <w:r w:rsidR="00001360" w:rsidRPr="00C04EA2">
        <w:t xml:space="preserve"> </w:t>
      </w:r>
      <w:r w:rsidRPr="00C04EA2">
        <w:t>of the Federal Operating Permit (FOP) for</w:t>
      </w:r>
      <w:r w:rsidR="00D35365" w:rsidRPr="00C04EA2">
        <w:t xml:space="preserve"> </w:t>
      </w:r>
      <w:r w:rsidR="00A27E27">
        <w:t>Oak Grove Management Company LLC</w:t>
      </w:r>
      <w:r w:rsidRPr="00C04EA2">
        <w:t xml:space="preserve">, </w:t>
      </w:r>
      <w:r w:rsidR="00A27E27">
        <w:t>Oak Grove Steam Electric Station</w:t>
      </w:r>
      <w:r w:rsidRPr="00C04EA2">
        <w:t>, Permit No.</w:t>
      </w:r>
      <w:r w:rsidR="00001360" w:rsidRPr="00C04EA2">
        <w:t xml:space="preserve"> </w:t>
      </w:r>
      <w:r w:rsidR="00A27E27">
        <w:t>O2942</w:t>
      </w:r>
      <w:r w:rsidRPr="00C04EA2">
        <w:t xml:space="preserve">, </w:t>
      </w:r>
      <w:r w:rsidR="00A27E27">
        <w:t>Robertson</w:t>
      </w:r>
      <w:r w:rsidR="00D35365" w:rsidRPr="00C04EA2">
        <w:t xml:space="preserve"> County, Texas.</w:t>
      </w:r>
    </w:p>
    <w:p w14:paraId="65D6D3C2" w14:textId="77777777" w:rsidR="0084399C" w:rsidRPr="00C04EA2" w:rsidRDefault="0084399C" w:rsidP="007E33EE">
      <w:pPr>
        <w:numPr>
          <w:ilvl w:val="12"/>
          <w:numId w:val="0"/>
        </w:numPr>
      </w:pPr>
    </w:p>
    <w:p w14:paraId="7D86A3CC" w14:textId="77777777" w:rsidR="0084399C" w:rsidRPr="009458A8" w:rsidRDefault="0084399C" w:rsidP="007E33EE">
      <w:pPr>
        <w:jc w:val="center"/>
        <w:rPr>
          <w:rStyle w:val="Strong"/>
        </w:rPr>
      </w:pPr>
      <w:r w:rsidRPr="009458A8">
        <w:rPr>
          <w:rStyle w:val="Strong"/>
        </w:rPr>
        <w:t>B</w:t>
      </w:r>
      <w:r w:rsidR="0089546D">
        <w:rPr>
          <w:rStyle w:val="Strong"/>
        </w:rPr>
        <w:t>ackground</w:t>
      </w:r>
    </w:p>
    <w:p w14:paraId="3146BFA6" w14:textId="77777777" w:rsidR="0084399C" w:rsidRPr="00C04EA2" w:rsidRDefault="0084399C" w:rsidP="007E33EE">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02330492" w14:textId="77777777" w:rsidR="0084399C" w:rsidRPr="0089546D" w:rsidRDefault="0084399C" w:rsidP="007E33EE">
      <w:pPr>
        <w:jc w:val="center"/>
      </w:pPr>
      <w:r w:rsidRPr="0089546D">
        <w:t>Procedural Background</w:t>
      </w:r>
    </w:p>
    <w:p w14:paraId="7A431087" w14:textId="77777777" w:rsidR="0084399C" w:rsidRPr="00C04EA2" w:rsidRDefault="0084399C" w:rsidP="007E33EE"/>
    <w:p w14:paraId="79DE13C9" w14:textId="2F459B96" w:rsidR="0084399C" w:rsidRDefault="0084399C" w:rsidP="007E33EE">
      <w:pPr>
        <w:rPr>
          <w:szCs w:val="22"/>
        </w:rPr>
      </w:pPr>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A27E27">
        <w:t>Oak Grove Management Company LLC</w:t>
      </w:r>
      <w:r w:rsidRPr="00C04EA2">
        <w:rPr>
          <w:szCs w:val="22"/>
        </w:rPr>
        <w:t xml:space="preserve"> applied to the TCEQ for </w:t>
      </w:r>
      <w:r w:rsidR="00824872">
        <w:rPr>
          <w:szCs w:val="22"/>
        </w:rPr>
        <w:t xml:space="preserve">an initial </w:t>
      </w:r>
      <w:r w:rsidRPr="00C04EA2">
        <w:rPr>
          <w:szCs w:val="22"/>
        </w:rPr>
        <w:t xml:space="preserve">FOP for the </w:t>
      </w:r>
      <w:r w:rsidR="00A27E27">
        <w:rPr>
          <w:szCs w:val="22"/>
        </w:rPr>
        <w:t>Oak Grove Steam Electric Station</w:t>
      </w:r>
      <w:r w:rsidR="00974EF0" w:rsidRPr="00C04EA2">
        <w:t xml:space="preserve"> </w:t>
      </w:r>
      <w:r w:rsidRPr="00C04EA2">
        <w:rPr>
          <w:szCs w:val="22"/>
        </w:rPr>
        <w:t xml:space="preserve">located in </w:t>
      </w:r>
      <w:r w:rsidR="00A27E27">
        <w:rPr>
          <w:szCs w:val="22"/>
        </w:rPr>
        <w:t>Franklin, Robertson</w:t>
      </w:r>
      <w:r w:rsidR="00974EF0" w:rsidRPr="00C04EA2">
        <w:rPr>
          <w:szCs w:val="22"/>
        </w:rPr>
        <w:t xml:space="preserve"> </w:t>
      </w:r>
      <w:r w:rsidRPr="00C04EA2">
        <w:rPr>
          <w:szCs w:val="22"/>
        </w:rPr>
        <w:t>County on</w:t>
      </w:r>
      <w:r w:rsidR="00EF58B3" w:rsidRPr="00C04EA2">
        <w:t xml:space="preserve"> </w:t>
      </w:r>
      <w:r w:rsidR="0036069D">
        <w:t>March 23, 2007</w:t>
      </w:r>
      <w:r w:rsidR="008F1F97">
        <w:t xml:space="preserve">, </w:t>
      </w:r>
      <w:r w:rsidRPr="00C04EA2">
        <w:t xml:space="preserve">and notice was </w:t>
      </w:r>
      <w:r w:rsidRPr="009478DE">
        <w:t xml:space="preserve">published on </w:t>
      </w:r>
      <w:r w:rsidR="0036069D" w:rsidRPr="009478DE">
        <w:t>August</w:t>
      </w:r>
      <w:r w:rsidR="0036069D">
        <w:t xml:space="preserve"> 4, </w:t>
      </w:r>
      <w:proofErr w:type="gramStart"/>
      <w:r w:rsidR="0036069D">
        <w:t>2016</w:t>
      </w:r>
      <w:proofErr w:type="gramEnd"/>
      <w:r w:rsidR="0036069D" w:rsidRPr="00C04EA2">
        <w:t xml:space="preserve"> in</w:t>
      </w:r>
      <w:r w:rsidR="0036069D" w:rsidRPr="00B044C2">
        <w:rPr>
          <w:rStyle w:val="Emphasis"/>
        </w:rPr>
        <w:t xml:space="preserve"> </w:t>
      </w:r>
      <w:r w:rsidR="0036069D" w:rsidRPr="00F927C4">
        <w:rPr>
          <w:rStyle w:val="Emphasis"/>
          <w:i w:val="0"/>
          <w:iCs w:val="0"/>
        </w:rPr>
        <w:t>Franklin Advocate</w:t>
      </w:r>
      <w:r w:rsidRPr="00B044C2">
        <w:rPr>
          <w:rStyle w:val="Emphasis"/>
        </w:rPr>
        <w:t>.</w:t>
      </w:r>
      <w:r w:rsidRPr="00C04EA2">
        <w:t xml:space="preserve">  The public comment period ended on </w:t>
      </w:r>
      <w:r w:rsidR="0036069D">
        <w:t xml:space="preserve">September 3, </w:t>
      </w:r>
      <w:proofErr w:type="gramStart"/>
      <w:r w:rsidR="0036069D">
        <w:t>2016</w:t>
      </w:r>
      <w:proofErr w:type="gramEnd"/>
      <w:r w:rsidR="00C905DD">
        <w:t xml:space="preserve"> and EPA 45-day comment period ended on May 26, 2017. EPA did not object to the proposed permit and TCEQ issued FOP O2942 on June 6, 2017</w:t>
      </w:r>
      <w:r w:rsidRPr="00C04EA2">
        <w:t xml:space="preserve">.  </w:t>
      </w:r>
      <w:r w:rsidR="00867E09">
        <w:rPr>
          <w:szCs w:val="22"/>
        </w:rPr>
        <w:t>In response to a</w:t>
      </w:r>
      <w:r w:rsidR="00C905DD">
        <w:rPr>
          <w:szCs w:val="22"/>
        </w:rPr>
        <w:t xml:space="preserve"> public petition </w:t>
      </w:r>
      <w:r w:rsidR="000F4A62">
        <w:rPr>
          <w:szCs w:val="22"/>
        </w:rPr>
        <w:t>filed on July 25, 2017</w:t>
      </w:r>
      <w:r w:rsidR="00867E09">
        <w:rPr>
          <w:szCs w:val="22"/>
        </w:rPr>
        <w:t xml:space="preserve">, TCEQ received an </w:t>
      </w:r>
      <w:r w:rsidR="00F720A4">
        <w:rPr>
          <w:szCs w:val="22"/>
        </w:rPr>
        <w:t xml:space="preserve">EPA order granting a petition for objection </w:t>
      </w:r>
      <w:r w:rsidR="00867E09">
        <w:rPr>
          <w:szCs w:val="22"/>
        </w:rPr>
        <w:t xml:space="preserve">to the permit </w:t>
      </w:r>
      <w:r w:rsidR="001C76BA">
        <w:rPr>
          <w:szCs w:val="22"/>
        </w:rPr>
        <w:t>on October 15, 2021.</w:t>
      </w:r>
    </w:p>
    <w:p w14:paraId="2F6DAF51" w14:textId="1DEB7525" w:rsidR="006C122A" w:rsidRDefault="006C122A" w:rsidP="007E33EE">
      <w:pPr>
        <w:rPr>
          <w:szCs w:val="22"/>
        </w:rPr>
      </w:pPr>
    </w:p>
    <w:p w14:paraId="6CF9C130" w14:textId="5F432474" w:rsidR="006C122A" w:rsidRPr="00C04EA2" w:rsidRDefault="006C122A" w:rsidP="007E33EE">
      <w:r w:rsidRPr="006C5A1E">
        <w:t xml:space="preserve">EPA objections are addressed in a pending minor permit revision application that was submitted on </w:t>
      </w:r>
      <w:r w:rsidRPr="00017137">
        <w:t>December 1, 2021</w:t>
      </w:r>
      <w:r w:rsidR="00572423">
        <w:t xml:space="preserve"> (project number </w:t>
      </w:r>
      <w:r w:rsidR="00572423" w:rsidRPr="00572423">
        <w:t>32939</w:t>
      </w:r>
      <w:r w:rsidR="00572423">
        <w:t>)</w:t>
      </w:r>
      <w:r>
        <w:t xml:space="preserve">.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r w:rsidR="004A2975">
        <w:t>.</w:t>
      </w:r>
    </w:p>
    <w:p w14:paraId="57AA09D1" w14:textId="77777777" w:rsidR="0084399C" w:rsidRPr="00C04EA2" w:rsidRDefault="0084399C" w:rsidP="007E33EE">
      <w:pPr>
        <w:numPr>
          <w:ilvl w:val="12"/>
          <w:numId w:val="0"/>
        </w:numPr>
      </w:pPr>
    </w:p>
    <w:p w14:paraId="3147843F" w14:textId="77777777" w:rsidR="0084399C" w:rsidRPr="00C04EA2" w:rsidRDefault="0084399C" w:rsidP="007E33EE">
      <w:pPr>
        <w:numPr>
          <w:ilvl w:val="12"/>
          <w:numId w:val="0"/>
        </w:numPr>
      </w:pPr>
      <w:r w:rsidRPr="00C04EA2">
        <w:rPr>
          <w:szCs w:val="22"/>
        </w:rPr>
        <w:t xml:space="preserve">In accordance with state and federal rules, the permit </w:t>
      </w:r>
      <w:r w:rsidR="00A27E27">
        <w:rPr>
          <w:szCs w:val="22"/>
        </w:rPr>
        <w:t>minor revision</w:t>
      </w:r>
      <w:r w:rsidR="00FE53FD" w:rsidRPr="00C04EA2">
        <w:rPr>
          <w:szCs w:val="22"/>
        </w:rPr>
        <w:t xml:space="preserve"> </w:t>
      </w:r>
      <w:r w:rsidRPr="00C04EA2">
        <w:rPr>
          <w:szCs w:val="22"/>
        </w:rPr>
        <w:t xml:space="preserve">may not be issued until </w:t>
      </w:r>
      <w:r w:rsidR="00931153">
        <w:rPr>
          <w:szCs w:val="22"/>
        </w:rPr>
        <w:t>TCEQ resolves EPA’s objections.</w:t>
      </w:r>
    </w:p>
    <w:p w14:paraId="1FA93F41" w14:textId="77777777" w:rsidR="0084399C" w:rsidRPr="00C04EA2" w:rsidRDefault="0084399C" w:rsidP="007E33EE">
      <w:pPr>
        <w:numPr>
          <w:ilvl w:val="12"/>
          <w:numId w:val="0"/>
        </w:numPr>
      </w:pPr>
    </w:p>
    <w:p w14:paraId="3AEC5656" w14:textId="77777777" w:rsidR="0084399C" w:rsidRPr="0089546D" w:rsidRDefault="0084399C" w:rsidP="007E33EE">
      <w:pPr>
        <w:jc w:val="center"/>
      </w:pPr>
      <w:r w:rsidRPr="0089546D">
        <w:t>Description of Site</w:t>
      </w:r>
    </w:p>
    <w:p w14:paraId="17B90426" w14:textId="77777777" w:rsidR="00F62FBE" w:rsidRPr="00C04EA2" w:rsidRDefault="00F62FBE" w:rsidP="007E33EE">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2FE0F6A7" w14:textId="77777777" w:rsidR="0084399C" w:rsidRDefault="00A27E27" w:rsidP="007E33EE">
      <w:pPr>
        <w:numPr>
          <w:ilvl w:val="12"/>
          <w:numId w:val="0"/>
        </w:numPr>
      </w:pPr>
      <w:r>
        <w:t>Oak Grove Management Company LLC</w:t>
      </w:r>
      <w:r w:rsidR="000303A6">
        <w:t xml:space="preserve"> o</w:t>
      </w:r>
      <w:r w:rsidR="00521E39">
        <w:t xml:space="preserve">wns and operates the </w:t>
      </w:r>
      <w:r>
        <w:t>Oak Grove Steam Electric Station</w:t>
      </w:r>
      <w:r w:rsidR="00521E39">
        <w:t xml:space="preserve">, located at </w:t>
      </w:r>
      <w:r>
        <w:t>8127 Oak Grove Rd</w:t>
      </w:r>
      <w:r w:rsidR="00DA76A1">
        <w:t xml:space="preserve"> in</w:t>
      </w:r>
      <w:r w:rsidR="00521E39">
        <w:t xml:space="preserve"> </w:t>
      </w:r>
      <w:r>
        <w:t>Franklin, Robertson</w:t>
      </w:r>
      <w:r w:rsidR="00521E39">
        <w:t xml:space="preserve"> Texas</w:t>
      </w:r>
      <w:r>
        <w:t xml:space="preserve"> 77856</w:t>
      </w:r>
      <w:r w:rsidR="00DA76A1">
        <w:t>.</w:t>
      </w:r>
    </w:p>
    <w:p w14:paraId="64633E21" w14:textId="77777777" w:rsidR="00521E39" w:rsidRPr="00C04EA2" w:rsidRDefault="00521E39" w:rsidP="007E33EE">
      <w:pPr>
        <w:numPr>
          <w:ilvl w:val="12"/>
          <w:numId w:val="0"/>
        </w:numPr>
      </w:pPr>
    </w:p>
    <w:p w14:paraId="294F2C61" w14:textId="40C32705" w:rsidR="00A263F3" w:rsidRDefault="00A263F3" w:rsidP="007E33EE">
      <w:pPr>
        <w:tabs>
          <w:tab w:val="left" w:pos="720"/>
          <w:tab w:val="left" w:pos="1440"/>
        </w:tabs>
      </w:pPr>
      <w:r>
        <w:t xml:space="preserve">The Oak Grove Steam Electric Station (OGSES) is an electric utility power plant consisting of two lignite-fired pulverized coal (PC) boilers and ancillary equipment. </w:t>
      </w:r>
      <w:r w:rsidRPr="00E45E5D">
        <w:t>The plants two boilers, Units 1 and 2 (F-OGU1, F-OGU2)</w:t>
      </w:r>
      <w:r>
        <w:t>,</w:t>
      </w:r>
      <w:r w:rsidRPr="00E45E5D">
        <w:t xml:space="preserve"> use heat released during fuel</w:t>
      </w:r>
      <w:r>
        <w:t xml:space="preserve"> </w:t>
      </w:r>
      <w:r w:rsidRPr="00E45E5D">
        <w:t xml:space="preserve">combustion to generate steam that drives two steam turbine electric generators.  Each boiler is equipped with natural gas-fired burners that are used primarily for combustion support or during startup, shutdown, and malfunctions.  Each unit </w:t>
      </w:r>
      <w:r>
        <w:t xml:space="preserve">is </w:t>
      </w:r>
      <w:r w:rsidRPr="00E45E5D">
        <w:t xml:space="preserve">equipped with two parallel Selective Catalytic Reduction reactors, two parallel fabric filter baghouses, and a wet limestone scrubber.  </w:t>
      </w:r>
      <w:r w:rsidRPr="00E45E5D">
        <w:rPr>
          <w:w w:val="105"/>
        </w:rPr>
        <w:t xml:space="preserve">Additionally, a mercury sorbent (e.g., </w:t>
      </w:r>
      <w:proofErr w:type="spellStart"/>
      <w:r w:rsidRPr="00E45E5D">
        <w:rPr>
          <w:w w:val="105"/>
        </w:rPr>
        <w:t>powderized</w:t>
      </w:r>
      <w:proofErr w:type="spellEnd"/>
      <w:r w:rsidRPr="00E45E5D">
        <w:rPr>
          <w:spacing w:val="1"/>
          <w:w w:val="105"/>
        </w:rPr>
        <w:t xml:space="preserve"> </w:t>
      </w:r>
      <w:r w:rsidRPr="00E45E5D">
        <w:rPr>
          <w:w w:val="105"/>
        </w:rPr>
        <w:t>activated</w:t>
      </w:r>
      <w:r w:rsidRPr="00E45E5D">
        <w:rPr>
          <w:w w:val="104"/>
        </w:rPr>
        <w:t xml:space="preserve"> </w:t>
      </w:r>
      <w:r w:rsidRPr="00E45E5D">
        <w:rPr>
          <w:w w:val="105"/>
        </w:rPr>
        <w:t>carbon) may be injected into the flue gas for mercury removal and a flue gas conditioner (e.g.,</w:t>
      </w:r>
      <w:r w:rsidRPr="00E45E5D">
        <w:rPr>
          <w:spacing w:val="37"/>
          <w:w w:val="105"/>
        </w:rPr>
        <w:t xml:space="preserve"> </w:t>
      </w:r>
      <w:r w:rsidRPr="00E45E5D">
        <w:rPr>
          <w:w w:val="105"/>
        </w:rPr>
        <w:t>hydrated</w:t>
      </w:r>
      <w:r w:rsidRPr="00E45E5D">
        <w:rPr>
          <w:w w:val="107"/>
        </w:rPr>
        <w:t xml:space="preserve"> </w:t>
      </w:r>
      <w:r w:rsidRPr="00E45E5D">
        <w:rPr>
          <w:w w:val="105"/>
        </w:rPr>
        <w:t>lime) may be injected into the flue gas to enhance baghouse performance</w:t>
      </w:r>
      <w:r>
        <w:rPr>
          <w:w w:val="105"/>
        </w:rPr>
        <w:t>,</w:t>
      </w:r>
      <w:r w:rsidRPr="00E45E5D">
        <w:rPr>
          <w:w w:val="105"/>
        </w:rPr>
        <w:t xml:space="preserve"> as</w:t>
      </w:r>
      <w:r w:rsidRPr="00E45E5D">
        <w:rPr>
          <w:spacing w:val="-25"/>
          <w:w w:val="105"/>
        </w:rPr>
        <w:t xml:space="preserve"> </w:t>
      </w:r>
      <w:r w:rsidRPr="00E45E5D">
        <w:rPr>
          <w:w w:val="105"/>
        </w:rPr>
        <w:t>needed.</w:t>
      </w:r>
      <w:r>
        <w:t xml:space="preserve">  </w:t>
      </w:r>
      <w:r w:rsidRPr="00E45E5D">
        <w:t>The start-up boiler (F-OGAB) is used to provide start-up steam during start-ups, shutdowns, and maintenance.  The start-up boiler is fueled by natural gas</w:t>
      </w:r>
      <w:r>
        <w:t>.</w:t>
      </w:r>
    </w:p>
    <w:p w14:paraId="5D6650D7" w14:textId="77777777" w:rsidR="00A263F3" w:rsidRDefault="00A263F3" w:rsidP="007E33EE">
      <w:pPr>
        <w:tabs>
          <w:tab w:val="left" w:pos="720"/>
          <w:tab w:val="left" w:pos="1440"/>
        </w:tabs>
      </w:pPr>
    </w:p>
    <w:p w14:paraId="39382C83" w14:textId="77777777" w:rsidR="00A263F3" w:rsidRPr="00BE4DB0" w:rsidRDefault="00A263F3" w:rsidP="007E33EE">
      <w:pPr>
        <w:tabs>
          <w:tab w:val="left" w:pos="720"/>
          <w:tab w:val="left" w:pos="1440"/>
        </w:tabs>
        <w:rPr>
          <w:szCs w:val="20"/>
        </w:rPr>
      </w:pPr>
      <w:r w:rsidRPr="00BE4DB0">
        <w:rPr>
          <w:w w:val="105"/>
          <w:szCs w:val="20"/>
        </w:rPr>
        <w:t>Ancillary equipment at OGSES includes various material (i.e., lignite, limestone, fly ash, gypsum,</w:t>
      </w:r>
      <w:r w:rsidRPr="00BE4DB0">
        <w:rPr>
          <w:w w:val="106"/>
          <w:szCs w:val="20"/>
        </w:rPr>
        <w:t xml:space="preserve"> </w:t>
      </w:r>
      <w:r w:rsidRPr="00BE4DB0">
        <w:rPr>
          <w:w w:val="105"/>
          <w:szCs w:val="20"/>
        </w:rPr>
        <w:t>mercury sorbent, and flue gas conditioner) handling systems, liquid storage tanks and reservoirs</w:t>
      </w:r>
      <w:r w:rsidRPr="00BE4DB0">
        <w:rPr>
          <w:spacing w:val="17"/>
          <w:w w:val="105"/>
          <w:szCs w:val="20"/>
        </w:rPr>
        <w:t xml:space="preserve"> </w:t>
      </w:r>
      <w:r w:rsidRPr="00BE4DB0">
        <w:rPr>
          <w:w w:val="105"/>
          <w:szCs w:val="20"/>
        </w:rPr>
        <w:t>(e.g.,</w:t>
      </w:r>
      <w:r w:rsidRPr="00BE4DB0">
        <w:rPr>
          <w:w w:val="96"/>
          <w:szCs w:val="20"/>
        </w:rPr>
        <w:t xml:space="preserve"> </w:t>
      </w:r>
      <w:r w:rsidRPr="00BE4DB0">
        <w:rPr>
          <w:w w:val="105"/>
          <w:szCs w:val="20"/>
        </w:rPr>
        <w:t>lubricating oils, ammonia, diesel fuel, waste oils), and diesel-fired emergency-use engines. OGSES</w:t>
      </w:r>
      <w:r w:rsidRPr="00BE4DB0">
        <w:rPr>
          <w:spacing w:val="32"/>
          <w:w w:val="105"/>
          <w:szCs w:val="20"/>
        </w:rPr>
        <w:t xml:space="preserve"> </w:t>
      </w:r>
      <w:r w:rsidRPr="00BE4DB0">
        <w:rPr>
          <w:w w:val="105"/>
          <w:szCs w:val="20"/>
        </w:rPr>
        <w:t>also</w:t>
      </w:r>
      <w:r w:rsidRPr="00BE4DB0">
        <w:rPr>
          <w:w w:val="102"/>
          <w:szCs w:val="20"/>
        </w:rPr>
        <w:t xml:space="preserve"> </w:t>
      </w:r>
      <w:r w:rsidRPr="00BE4DB0">
        <w:rPr>
          <w:w w:val="105"/>
          <w:szCs w:val="20"/>
        </w:rPr>
        <w:t xml:space="preserve">conducts a variety of planned startup, </w:t>
      </w:r>
      <w:proofErr w:type="gramStart"/>
      <w:r w:rsidRPr="00BE4DB0">
        <w:rPr>
          <w:w w:val="105"/>
          <w:szCs w:val="20"/>
        </w:rPr>
        <w:t>shutdown</w:t>
      </w:r>
      <w:proofErr w:type="gramEnd"/>
      <w:r w:rsidRPr="00BE4DB0">
        <w:rPr>
          <w:w w:val="105"/>
          <w:szCs w:val="20"/>
        </w:rPr>
        <w:t xml:space="preserve"> and maintenance activities at the</w:t>
      </w:r>
      <w:r w:rsidRPr="00BE4DB0">
        <w:rPr>
          <w:spacing w:val="18"/>
          <w:w w:val="105"/>
          <w:szCs w:val="20"/>
        </w:rPr>
        <w:t xml:space="preserve"> </w:t>
      </w:r>
      <w:r w:rsidRPr="00BE4DB0">
        <w:rPr>
          <w:w w:val="105"/>
          <w:szCs w:val="20"/>
        </w:rPr>
        <w:t>site.</w:t>
      </w:r>
    </w:p>
    <w:p w14:paraId="7284897D" w14:textId="77777777" w:rsidR="00037C5C" w:rsidRPr="009458A8" w:rsidRDefault="00037C5C" w:rsidP="007E33EE">
      <w:pPr>
        <w:numPr>
          <w:ilvl w:val="12"/>
          <w:numId w:val="0"/>
        </w:numPr>
      </w:pPr>
    </w:p>
    <w:p w14:paraId="619B7320" w14:textId="77777777" w:rsidR="0084399C" w:rsidRPr="009458A8" w:rsidRDefault="0084399C" w:rsidP="007E33EE">
      <w:r w:rsidRPr="009458A8">
        <w:t>The following responses follow the references used in EPA’s objection letter.</w:t>
      </w:r>
    </w:p>
    <w:p w14:paraId="33BE5C3E" w14:textId="77777777" w:rsidR="00133CF9" w:rsidRDefault="00133CF9" w:rsidP="007E33EE">
      <w:pPr>
        <w:rPr>
          <w:rStyle w:val="Strong"/>
        </w:rPr>
      </w:pPr>
    </w:p>
    <w:p w14:paraId="0B054445" w14:textId="5A0A8E79" w:rsidR="00133CF9" w:rsidRPr="00133CF9" w:rsidRDefault="00133CF9" w:rsidP="007E33EE">
      <w:pPr>
        <w:rPr>
          <w:rStyle w:val="Strong"/>
          <w:szCs w:val="20"/>
        </w:rPr>
      </w:pPr>
      <w:r w:rsidRPr="00133CF9">
        <w:rPr>
          <w:rStyle w:val="Strong"/>
          <w:szCs w:val="20"/>
        </w:rPr>
        <w:t xml:space="preserve">Claim A: </w:t>
      </w:r>
      <w:r w:rsidRPr="00133CF9">
        <w:rPr>
          <w:b/>
          <w:bCs/>
          <w:color w:val="000000"/>
          <w:szCs w:val="20"/>
        </w:rPr>
        <w:t>The Proposed Permit Omits Enforceable Requirements in Oak Grove’s Written Maintenance, Startup, and Shutdown Plan</w:t>
      </w:r>
      <w:r>
        <w:rPr>
          <w:color w:val="000000"/>
          <w:szCs w:val="20"/>
        </w:rPr>
        <w:t>.</w:t>
      </w:r>
    </w:p>
    <w:p w14:paraId="2480AA1A" w14:textId="77777777" w:rsidR="00133CF9" w:rsidRDefault="00133CF9" w:rsidP="007E33EE">
      <w:pPr>
        <w:rPr>
          <w:rStyle w:val="Strong"/>
        </w:rPr>
      </w:pPr>
    </w:p>
    <w:p w14:paraId="34B66C0F" w14:textId="1716AB62" w:rsidR="0084399C" w:rsidRDefault="0084399C" w:rsidP="007E33EE">
      <w:pPr>
        <w:rPr>
          <w:color w:val="000000"/>
          <w:sz w:val="23"/>
          <w:szCs w:val="23"/>
        </w:rPr>
      </w:pPr>
      <w:r w:rsidRPr="009458A8">
        <w:rPr>
          <w:rStyle w:val="Strong"/>
        </w:rPr>
        <w:t xml:space="preserve">EPA </w:t>
      </w:r>
      <w:r w:rsidR="0089546D">
        <w:rPr>
          <w:rStyle w:val="Strong"/>
        </w:rPr>
        <w:t>Objection</w:t>
      </w:r>
      <w:r w:rsidRPr="009458A8">
        <w:rPr>
          <w:rStyle w:val="Strong"/>
        </w:rPr>
        <w:t>:</w:t>
      </w:r>
      <w:r w:rsidRPr="009458A8">
        <w:t xml:space="preserve"> </w:t>
      </w:r>
      <w:r w:rsidR="00B34FB5" w:rsidRPr="00B34FB5">
        <w:t>In responding to this Order, TCEQ should evaluate what BACT requirements Oak Grove must comply with to minimize emissions during startups and shutdowns and ensure they are clearly identified in the permit. If the MSS plan contains terms that are necessary to impose or demonstrate compliance with applicable requirements, TCEQ should amend the Permit to include those terms directly in the permit or incorporate by reference as appropriate.</w:t>
      </w:r>
    </w:p>
    <w:p w14:paraId="5BB98FB6" w14:textId="77777777" w:rsidR="00B34FB5" w:rsidRPr="004535E5" w:rsidRDefault="00B34FB5" w:rsidP="007E33EE"/>
    <w:p w14:paraId="68B7B9EB" w14:textId="1D9F9085" w:rsidR="00F73278" w:rsidRDefault="0084399C" w:rsidP="007E33EE">
      <w:r w:rsidRPr="00725612">
        <w:rPr>
          <w:rStyle w:val="Strong"/>
        </w:rPr>
        <w:t>TCEQ R</w:t>
      </w:r>
      <w:r w:rsidR="0089546D">
        <w:rPr>
          <w:rStyle w:val="Strong"/>
        </w:rPr>
        <w:t>esponse</w:t>
      </w:r>
      <w:r w:rsidRPr="00725612">
        <w:rPr>
          <w:rStyle w:val="Strong"/>
        </w:rPr>
        <w:t>:</w:t>
      </w:r>
      <w:r w:rsidRPr="00725612">
        <w:t xml:space="preserve"> </w:t>
      </w:r>
      <w:r w:rsidR="0045383D">
        <w:t xml:space="preserve">In </w:t>
      </w:r>
      <w:r w:rsidR="00A26D77">
        <w:t>response to the EPA order</w:t>
      </w:r>
      <w:r w:rsidR="0045383D">
        <w:t xml:space="preserve">, </w:t>
      </w:r>
      <w:r w:rsidR="006C122A">
        <w:t xml:space="preserve">the ED notes </w:t>
      </w:r>
      <w:r w:rsidR="00472324">
        <w:t>NSR</w:t>
      </w:r>
      <w:r w:rsidR="006C122A">
        <w:t xml:space="preserve"> </w:t>
      </w:r>
      <w:bookmarkStart w:id="1" w:name="_Hlk115186906"/>
      <w:r w:rsidR="006C122A">
        <w:t xml:space="preserve">Permit </w:t>
      </w:r>
      <w:r w:rsidR="00472324">
        <w:t>76474/PSDTX1056</w:t>
      </w:r>
      <w:r w:rsidR="0045383D">
        <w:t xml:space="preserve"> </w:t>
      </w:r>
      <w:r w:rsidR="00547D56">
        <w:t xml:space="preserve">was </w:t>
      </w:r>
      <w:r w:rsidR="008F1F97">
        <w:t xml:space="preserve">amended on </w:t>
      </w:r>
      <w:r w:rsidR="008F1F97" w:rsidRPr="009478DE">
        <w:t xml:space="preserve">September </w:t>
      </w:r>
      <w:r w:rsidR="00936555">
        <w:t>30</w:t>
      </w:r>
      <w:r w:rsidR="008F1F97" w:rsidRPr="009478DE">
        <w:t>,</w:t>
      </w:r>
      <w:r w:rsidR="008F1F97">
        <w:t xml:space="preserve"> 2022</w:t>
      </w:r>
      <w:bookmarkEnd w:id="1"/>
      <w:r w:rsidR="004A2975">
        <w:t>,</w:t>
      </w:r>
      <w:r w:rsidR="00303746">
        <w:t xml:space="preserve"> </w:t>
      </w:r>
      <w:r w:rsidR="008F1F97">
        <w:t xml:space="preserve">to add </w:t>
      </w:r>
      <w:r w:rsidR="00547D56">
        <w:t xml:space="preserve">additional </w:t>
      </w:r>
      <w:r w:rsidR="008F1F97">
        <w:t>enforceable requirements</w:t>
      </w:r>
      <w:r w:rsidR="00547D56">
        <w:t xml:space="preserve"> for MSS to address the EPA</w:t>
      </w:r>
      <w:r w:rsidR="00164455">
        <w:t>’s</w:t>
      </w:r>
      <w:r w:rsidR="00547D56">
        <w:t xml:space="preserve"> objection</w:t>
      </w:r>
      <w:r w:rsidR="008F1F97">
        <w:t xml:space="preserve">. </w:t>
      </w:r>
    </w:p>
    <w:p w14:paraId="39ABAFF5" w14:textId="77777777" w:rsidR="00936555" w:rsidRDefault="00936555" w:rsidP="007E33EE"/>
    <w:p w14:paraId="2D6CE840" w14:textId="2298C6A6" w:rsidR="006C122A" w:rsidRDefault="00936555" w:rsidP="007E33EE">
      <w:r>
        <w:t xml:space="preserve">Proposed permit O2942 (project number 32939) incorporates by reference the </w:t>
      </w:r>
      <w:r w:rsidR="00972C20">
        <w:t>amended</w:t>
      </w:r>
      <w:r>
        <w:t xml:space="preserve"> NSR permit</w:t>
      </w:r>
      <w:r w:rsidR="00967902">
        <w:t xml:space="preserve"> NSR76474/PSDTX1056</w:t>
      </w:r>
      <w:r>
        <w:t xml:space="preserve"> issued on September 30, 2022</w:t>
      </w:r>
      <w:r w:rsidR="00967902">
        <w:t xml:space="preserve">, and </w:t>
      </w:r>
      <w:r w:rsidR="00EC7B36">
        <w:t>it’s</w:t>
      </w:r>
      <w:r>
        <w:t xml:space="preserve"> Permit Face, Special Condition</w:t>
      </w:r>
      <w:r w:rsidR="00EC7B36">
        <w:t>s</w:t>
      </w:r>
      <w:r>
        <w:t xml:space="preserve">, and MAERT are </w:t>
      </w:r>
      <w:r w:rsidR="00967902">
        <w:t>appended</w:t>
      </w:r>
      <w:r>
        <w:t xml:space="preserve"> to the FOP </w:t>
      </w:r>
      <w:r w:rsidR="00AD334F">
        <w:t>O2942</w:t>
      </w:r>
      <w:r>
        <w:t xml:space="preserve">.  </w:t>
      </w:r>
      <w:r w:rsidR="00EC7B36">
        <w:t>Appendix B of t</w:t>
      </w:r>
      <w:r>
        <w:t xml:space="preserve">he FOP </w:t>
      </w:r>
      <w:r w:rsidR="00114058">
        <w:t xml:space="preserve">O2942 </w:t>
      </w:r>
      <w:r w:rsidR="00EC7B36">
        <w:t>includes a</w:t>
      </w:r>
      <w:r>
        <w:t xml:space="preserve"> Major NSR Summary Table </w:t>
      </w:r>
      <w:r w:rsidR="00B72A8F">
        <w:t>with</w:t>
      </w:r>
      <w:r w:rsidR="00114058">
        <w:t xml:space="preserve"> an issuance date of September 30, </w:t>
      </w:r>
      <w:proofErr w:type="gramStart"/>
      <w:r w:rsidR="00114058">
        <w:t>2022</w:t>
      </w:r>
      <w:proofErr w:type="gramEnd"/>
      <w:r w:rsidR="00EC7B36">
        <w:t xml:space="preserve"> for the NSR/PSD permit</w:t>
      </w:r>
      <w:r w:rsidR="00114058">
        <w:t xml:space="preserve">, </w:t>
      </w:r>
      <w:r w:rsidR="00EC7B36">
        <w:t xml:space="preserve">and it </w:t>
      </w:r>
      <w:r>
        <w:t xml:space="preserve">identifies the monitoring, recordkeeping, reporting and testing </w:t>
      </w:r>
      <w:r w:rsidR="00114058">
        <w:t xml:space="preserve">(MRRT) </w:t>
      </w:r>
      <w:r>
        <w:t xml:space="preserve">requirements </w:t>
      </w:r>
      <w:r w:rsidR="00767223">
        <w:t xml:space="preserve">for the NSR/PSD permit </w:t>
      </w:r>
      <w:r w:rsidR="00B72A8F">
        <w:t>showing</w:t>
      </w:r>
      <w:r>
        <w:t xml:space="preserve"> the emission limits for each emission point as </w:t>
      </w:r>
      <w:r w:rsidR="00767223">
        <w:t xml:space="preserve">listed </w:t>
      </w:r>
      <w:r w:rsidR="00114058">
        <w:t>i</w:t>
      </w:r>
      <w:r>
        <w:t xml:space="preserve">n the MAERT. </w:t>
      </w:r>
    </w:p>
    <w:p w14:paraId="41291AF4" w14:textId="77777777" w:rsidR="00936555" w:rsidRDefault="00936555" w:rsidP="007E33EE"/>
    <w:p w14:paraId="763D3AA6" w14:textId="710203BA" w:rsidR="00F73278" w:rsidRDefault="009219F7" w:rsidP="007E33EE">
      <w:r>
        <w:t xml:space="preserve">To clarify MSS requirements, </w:t>
      </w:r>
      <w:r w:rsidR="00936555">
        <w:t xml:space="preserve">NSR Permit 76474/PSDTX1056, Special Condition No. 16 </w:t>
      </w:r>
      <w:r w:rsidR="00F73278">
        <w:t>was</w:t>
      </w:r>
      <w:r w:rsidR="0050494A">
        <w:t xml:space="preserve"> revised </w:t>
      </w:r>
      <w:r w:rsidR="00052B43">
        <w:t>as “</w:t>
      </w:r>
      <w:r w:rsidR="00052B43" w:rsidRPr="00E834D2">
        <w:t>During planned MSS activities, facility and air pollution control equipment will be operated in a manner consistent with good practices for minimizing emissions. The emissions from planned MSS activities are reflected in the MAERT</w:t>
      </w:r>
      <w:r w:rsidR="00052B43">
        <w:t xml:space="preserve">.”  In addition to Special Condition No. 16, the boilers’ </w:t>
      </w:r>
      <w:r w:rsidR="00F73278">
        <w:t>fuel fired limitation, operating limitation, and BACT for PC Boilers (</w:t>
      </w:r>
      <w:r w:rsidR="00F73278" w:rsidRPr="00E834D2">
        <w:t>EPNs: E-OGU1 and E-OGU2</w:t>
      </w:r>
      <w:r w:rsidR="00F73278">
        <w:t>) are illustrated in the Special Condition Nos. 8</w:t>
      </w:r>
      <w:r w:rsidR="00052B43">
        <w:t xml:space="preserve"> through </w:t>
      </w:r>
      <w:r w:rsidR="00F73278">
        <w:t xml:space="preserve">11. </w:t>
      </w:r>
    </w:p>
    <w:p w14:paraId="56F2E6EA" w14:textId="77777777" w:rsidR="005C7298" w:rsidRDefault="005C7298" w:rsidP="007E33EE"/>
    <w:p w14:paraId="6BE9519F" w14:textId="77777777" w:rsidR="00C638EF" w:rsidRDefault="00C638EF" w:rsidP="007E33EE">
      <w:r>
        <w:t xml:space="preserve">Additional details of the MSS related </w:t>
      </w:r>
      <w:r w:rsidR="009F0A7B">
        <w:t xml:space="preserve">enforceable requirements </w:t>
      </w:r>
      <w:r w:rsidR="0050105D">
        <w:t xml:space="preserve">in the </w:t>
      </w:r>
      <w:r>
        <w:t>NSR Permit 76474/PSDTX1056</w:t>
      </w:r>
      <w:r w:rsidR="0050105D">
        <w:t xml:space="preserve"> </w:t>
      </w:r>
      <w:r w:rsidR="009F0A7B">
        <w:t>are provided as follows:</w:t>
      </w:r>
      <w:r w:rsidR="0050105D">
        <w:t xml:space="preserve"> </w:t>
      </w:r>
    </w:p>
    <w:p w14:paraId="593B318B" w14:textId="77777777" w:rsidR="00C638EF" w:rsidRDefault="00C638EF" w:rsidP="007E33EE"/>
    <w:p w14:paraId="51457D96" w14:textId="70ED4349" w:rsidR="009F0A7B" w:rsidRDefault="009F0A7B" w:rsidP="007E33EE">
      <w:r>
        <w:t xml:space="preserve">The sulfur content for the PC boilers </w:t>
      </w:r>
      <w:r w:rsidR="00C54BE1">
        <w:t>is</w:t>
      </w:r>
      <w:r>
        <w:t xml:space="preserve"> limited to 2 </w:t>
      </w:r>
      <w:proofErr w:type="spellStart"/>
      <w:r>
        <w:t>lb</w:t>
      </w:r>
      <w:proofErr w:type="spellEnd"/>
      <w:r>
        <w:t>/MMBtu and the trace metal concentration on 12-month rolling average basis shall not exceed the limitation identified in the permit attachment A</w:t>
      </w:r>
      <w:r w:rsidR="0050105D">
        <w:t xml:space="preserve">; </w:t>
      </w:r>
      <w:r>
        <w:t xml:space="preserve">The maximum heat input of the boilers </w:t>
      </w:r>
      <w:r w:rsidR="00C54BE1">
        <w:t>is</w:t>
      </w:r>
      <w:r>
        <w:t xml:space="preserve"> limited to 8,970 MMBtu/</w:t>
      </w:r>
      <w:proofErr w:type="spellStart"/>
      <w:r>
        <w:t>hr</w:t>
      </w:r>
      <w:proofErr w:type="spellEnd"/>
      <w:r>
        <w:t>, averaged over a calendar month</w:t>
      </w:r>
      <w:r w:rsidR="0050105D">
        <w:t xml:space="preserve">; </w:t>
      </w:r>
      <w:r>
        <w:t>The boilers’ o</w:t>
      </w:r>
      <w:r w:rsidRPr="00E834D2">
        <w:t>pacity must not exceed 10 percent, averaged over a six-minute period</w:t>
      </w:r>
      <w:r w:rsidR="0050105D">
        <w:t xml:space="preserve">; </w:t>
      </w:r>
      <w:r>
        <w:t>The NO</w:t>
      </w:r>
      <w:r w:rsidRPr="0050105D">
        <w:rPr>
          <w:vertAlign w:val="subscript"/>
        </w:rPr>
        <w:t>x</w:t>
      </w:r>
      <w:r>
        <w:t>, SO</w:t>
      </w:r>
      <w:r w:rsidRPr="0050105D">
        <w:rPr>
          <w:vertAlign w:val="subscript"/>
        </w:rPr>
        <w:t>2</w:t>
      </w:r>
      <w:r>
        <w:t xml:space="preserve">, CO, PM and other pollutants emission rates in </w:t>
      </w:r>
      <w:proofErr w:type="spellStart"/>
      <w:r>
        <w:t>lb</w:t>
      </w:r>
      <w:proofErr w:type="spellEnd"/>
      <w:r>
        <w:t xml:space="preserve">/MMBtu are limited to the performance standards, which are listed in the table </w:t>
      </w:r>
      <w:r w:rsidR="0050105D">
        <w:t>in</w:t>
      </w:r>
      <w:r>
        <w:t xml:space="preserve"> Special Condition No. 11. The performance standards were determined by the monitoring/testing results, BACT evaluation, health impacts review, and employed to derive the maximum allowable emission rates </w:t>
      </w:r>
      <w:r w:rsidR="0050105D">
        <w:t>i</w:t>
      </w:r>
      <w:r>
        <w:t xml:space="preserve">n the MAERT. </w:t>
      </w:r>
    </w:p>
    <w:p w14:paraId="42195C6A" w14:textId="77777777" w:rsidR="009F0A7B" w:rsidRDefault="009F0A7B" w:rsidP="007E33EE"/>
    <w:p w14:paraId="7658F81C" w14:textId="5FFE74BC" w:rsidR="00D248C8" w:rsidRDefault="00C54BE1" w:rsidP="007E33EE">
      <w:r>
        <w:t>During the period of planned MSS, the PC Boilers shall comply with Special Condition Nos. 15,</w:t>
      </w:r>
      <w:r w:rsidR="0050105D">
        <w:t xml:space="preserve"> 16,</w:t>
      </w:r>
      <w:r>
        <w:t xml:space="preserve"> 19, 20, and 41 and the maximum allowable emission rates provided in the MAERT</w:t>
      </w:r>
      <w:r w:rsidR="0050105D">
        <w:t xml:space="preserve"> as indicated by footnote 14</w:t>
      </w:r>
      <w:r>
        <w:t xml:space="preserve">. </w:t>
      </w:r>
      <w:r w:rsidR="0050105D">
        <w:t xml:space="preserve"> </w:t>
      </w:r>
      <w:r>
        <w:t xml:space="preserve">The </w:t>
      </w:r>
      <w:r w:rsidR="00D248C8" w:rsidRPr="00D248C8">
        <w:t xml:space="preserve">maximum allowable </w:t>
      </w:r>
      <w:r>
        <w:t xml:space="preserve">emission rates </w:t>
      </w:r>
      <w:r w:rsidR="00052B43">
        <w:t xml:space="preserve">of boilers </w:t>
      </w:r>
      <w:r>
        <w:t xml:space="preserve">during the </w:t>
      </w:r>
      <w:r w:rsidR="00E44DE2">
        <w:t xml:space="preserve">planed </w:t>
      </w:r>
      <w:r>
        <w:t xml:space="preserve">MSS </w:t>
      </w:r>
      <w:r w:rsidR="00E44DE2">
        <w:t xml:space="preserve">are included in the </w:t>
      </w:r>
      <w:r w:rsidR="00045AAC">
        <w:t xml:space="preserve">E-OGU1, E-OGU2, and MSS-FUG. </w:t>
      </w:r>
      <w:r w:rsidR="0050105D">
        <w:t>T</w:t>
      </w:r>
      <w:r w:rsidR="00045AAC">
        <w:t xml:space="preserve">he </w:t>
      </w:r>
      <w:r w:rsidR="0050105D">
        <w:t xml:space="preserve">MAERT </w:t>
      </w:r>
      <w:r w:rsidR="00045AAC">
        <w:t xml:space="preserve">footnote </w:t>
      </w:r>
      <w:r w:rsidR="0050105D">
        <w:t xml:space="preserve">14 </w:t>
      </w:r>
      <w:r w:rsidR="00045AAC">
        <w:t>states that “</w:t>
      </w:r>
      <w:r w:rsidR="00045AAC" w:rsidRPr="00045AAC">
        <w:t>The pounds per hour and tons per year emission rate limits for these units apply to MSS operation, as well as normal operation of the unit, except as otherwise stated in these footnotes</w:t>
      </w:r>
      <w:r w:rsidR="00045AAC">
        <w:t>”.</w:t>
      </w:r>
      <w:r>
        <w:t xml:space="preserve"> </w:t>
      </w:r>
      <w:r w:rsidR="00052B43">
        <w:t xml:space="preserve"> In the NSR permit application, the normal operation emissions and MSS emissions did not show </w:t>
      </w:r>
      <w:r w:rsidR="004816F3">
        <w:t xml:space="preserve">significant </w:t>
      </w:r>
      <w:r w:rsidR="00052B43">
        <w:t xml:space="preserve">difference, therefore the established emission rates in the MAERT also </w:t>
      </w:r>
      <w:r w:rsidR="00D248C8">
        <w:t>include</w:t>
      </w:r>
      <w:r w:rsidR="00052B43">
        <w:t xml:space="preserve"> the emissions during MSS. </w:t>
      </w:r>
      <w:r w:rsidR="005F41AB">
        <w:t xml:space="preserve">The MSS emissions are determined by testing results, engineering calculation, and impact evaluation, which are </w:t>
      </w:r>
      <w:r w:rsidR="00A203E5">
        <w:t xml:space="preserve">federally </w:t>
      </w:r>
      <w:r w:rsidR="005F41AB">
        <w:t xml:space="preserve">enforceable.  </w:t>
      </w:r>
    </w:p>
    <w:p w14:paraId="047C407D" w14:textId="2DC2B794" w:rsidR="0050494A" w:rsidRDefault="0050494A" w:rsidP="007E33EE"/>
    <w:p w14:paraId="22097D23" w14:textId="40529906" w:rsidR="0050494A" w:rsidRDefault="00045AAC" w:rsidP="007E33EE">
      <w:r>
        <w:lastRenderedPageBreak/>
        <w:t>Sitewide MSS operation and emissions are regulated by the Special Condition Nos. 15</w:t>
      </w:r>
      <w:r w:rsidR="005C7298">
        <w:t xml:space="preserve"> through </w:t>
      </w:r>
      <w:r>
        <w:t>20 and permit Attachment B and C. The MSS emission rates shall comply with emission rates of induvial EPNs and MSS EPN listed on the MAERT</w:t>
      </w:r>
      <w:r w:rsidR="005C7298">
        <w:t xml:space="preserve"> as footnotes Nos. 9 through 14 indicate</w:t>
      </w:r>
      <w:r>
        <w:t xml:space="preserve">.  </w:t>
      </w:r>
    </w:p>
    <w:p w14:paraId="03D867DE" w14:textId="77777777" w:rsidR="00B34FB5" w:rsidRDefault="00B34FB5" w:rsidP="007E33EE"/>
    <w:p w14:paraId="486DB7CD" w14:textId="51F81DFB" w:rsidR="00B34FB5" w:rsidRPr="00B34FB5" w:rsidRDefault="00B34FB5" w:rsidP="007E33EE">
      <w:pPr>
        <w:rPr>
          <w:b/>
          <w:bCs/>
          <w:color w:val="000000"/>
          <w:szCs w:val="20"/>
        </w:rPr>
      </w:pPr>
      <w:r w:rsidRPr="00133CF9">
        <w:rPr>
          <w:rStyle w:val="Strong"/>
          <w:szCs w:val="20"/>
        </w:rPr>
        <w:t xml:space="preserve">Claim </w:t>
      </w:r>
      <w:r>
        <w:rPr>
          <w:rStyle w:val="Strong"/>
          <w:szCs w:val="20"/>
        </w:rPr>
        <w:t>B</w:t>
      </w:r>
      <w:r w:rsidRPr="00133CF9">
        <w:rPr>
          <w:rStyle w:val="Strong"/>
          <w:szCs w:val="20"/>
        </w:rPr>
        <w:t xml:space="preserve">: </w:t>
      </w:r>
      <w:r w:rsidRPr="00B34FB5">
        <w:rPr>
          <w:b/>
          <w:bCs/>
          <w:color w:val="000000"/>
          <w:szCs w:val="20"/>
        </w:rPr>
        <w:t>The Proposed Permit Omits Limits and Representations in Oak Grove’s Certified Permit by Rule Regulation, which are Applicable Requirements.</w:t>
      </w:r>
    </w:p>
    <w:p w14:paraId="5A6AF5A1" w14:textId="77777777" w:rsidR="00B34FB5" w:rsidRDefault="00B34FB5" w:rsidP="007E33EE"/>
    <w:p w14:paraId="45F7E216" w14:textId="28DDF427" w:rsidR="00B34FB5" w:rsidRDefault="000C251C" w:rsidP="007E33EE">
      <w:pPr>
        <w:pStyle w:val="CM1"/>
        <w:spacing w:line="240" w:lineRule="auto"/>
        <w:rPr>
          <w:rFonts w:ascii="Arial" w:hAnsi="Arial"/>
          <w:sz w:val="20"/>
        </w:rPr>
      </w:pPr>
      <w:r>
        <w:rPr>
          <w:rFonts w:ascii="Arial" w:hAnsi="Arial" w:cs="Arial"/>
          <w:b/>
          <w:bCs/>
          <w:color w:val="000000"/>
          <w:sz w:val="20"/>
          <w:szCs w:val="20"/>
        </w:rPr>
        <w:t>EP</w:t>
      </w:r>
      <w:r w:rsidR="00B34FB5" w:rsidRPr="000C251C">
        <w:rPr>
          <w:rFonts w:ascii="Arial" w:hAnsi="Arial" w:cs="Arial"/>
          <w:b/>
          <w:bCs/>
          <w:color w:val="000000"/>
          <w:sz w:val="20"/>
          <w:szCs w:val="20"/>
        </w:rPr>
        <w:t>A Objection</w:t>
      </w:r>
      <w:r w:rsidR="00B34FB5" w:rsidRPr="000C251C">
        <w:rPr>
          <w:rStyle w:val="Strong"/>
          <w:rFonts w:ascii="Arial" w:hAnsi="Arial" w:cs="Arial"/>
          <w:b w:val="0"/>
          <w:bCs w:val="0"/>
          <w:sz w:val="20"/>
          <w:szCs w:val="20"/>
        </w:rPr>
        <w:t>:</w:t>
      </w:r>
      <w:r w:rsidR="00B34FB5">
        <w:rPr>
          <w:rStyle w:val="Strong"/>
        </w:rPr>
        <w:t xml:space="preserve"> </w:t>
      </w:r>
      <w:proofErr w:type="gramStart"/>
      <w:r w:rsidR="00B34FB5" w:rsidRPr="00B34FB5">
        <w:rPr>
          <w:rFonts w:ascii="Arial" w:hAnsi="Arial"/>
          <w:sz w:val="20"/>
        </w:rPr>
        <w:t>In order to</w:t>
      </w:r>
      <w:proofErr w:type="gramEnd"/>
      <w:r w:rsidR="00B34FB5" w:rsidRPr="00B34FB5">
        <w:rPr>
          <w:rFonts w:ascii="Arial" w:hAnsi="Arial"/>
          <w:sz w:val="20"/>
        </w:rPr>
        <w:t xml:space="preserve"> resolve EPA’s objection on this claim, EPA directs TCEQ to modify the title V permit to incorporate certified PBR registrations in a manner that clearly identifies each registration and the emission unit(s) to which it applies. The most straightforward way to do this would involve a reference to the registration numbers associated with each certified PBR registration. These registration numbers function like permit numbers, as they each identify a specific document that contains the specific requirements that apply to the source, including any certified source-specific emission limits taken per 30 TAC 106.6. Thus, the registration numbers point directly to the specific requirements that are applicable to the source. The registered PBR requirements themselves may be found either online, or in person at the TCEQ file room. </w:t>
      </w:r>
    </w:p>
    <w:p w14:paraId="65EC4FB6" w14:textId="77777777" w:rsidR="00A203E5" w:rsidRPr="00A203E5" w:rsidRDefault="00A203E5" w:rsidP="00A203E5"/>
    <w:p w14:paraId="2D4E0DBF" w14:textId="57DC7B5A" w:rsidR="00B34FB5" w:rsidRPr="00B34FB5" w:rsidRDefault="00B34FB5" w:rsidP="007E33EE">
      <w:pPr>
        <w:rPr>
          <w:b/>
          <w:bCs/>
        </w:rPr>
      </w:pPr>
      <w:r w:rsidRPr="00B34FB5">
        <w:t xml:space="preserve">Incorporating certified registration numbers could be accomplished in various ways. EPA understands that TCEQ intends to require permit applicants to fill out a PBR Supplemental Table, which will include registration numbers for all registered PBRs, in all title V applications submitted after August 1, 2020.14 Further, TCEQ will include the registration numbers in the New Source Review Authorization References by Emission Unit Table with the unit/group/process ID number to which they apply. EPA expects that this practice would conform with TCEQ’s EPA-approved regulations, 30 TAC 122.142(2)(B)(i), as well as with the agreements underpinning EPA’s approval of the IBR of PBRs—namely that “PBRs will be cited to the lowest level of citation necessary to make clear what requirements apply to the facility.” </w:t>
      </w:r>
    </w:p>
    <w:p w14:paraId="0249D22E" w14:textId="6510E45C" w:rsidR="00B34FB5" w:rsidRDefault="00B34FB5" w:rsidP="007E33EE">
      <w:pPr>
        <w:rPr>
          <w:rStyle w:val="Strong"/>
        </w:rPr>
      </w:pPr>
    </w:p>
    <w:p w14:paraId="22DAD25D" w14:textId="0E837D77" w:rsidR="00BA0D82" w:rsidRDefault="00B34FB5" w:rsidP="007E33EE">
      <w:r w:rsidRPr="00725612">
        <w:rPr>
          <w:rStyle w:val="Strong"/>
        </w:rPr>
        <w:t>TCEQ R</w:t>
      </w:r>
      <w:r>
        <w:rPr>
          <w:rStyle w:val="Strong"/>
        </w:rPr>
        <w:t>esponse</w:t>
      </w:r>
      <w:r w:rsidRPr="00FF0F4A">
        <w:rPr>
          <w:rStyle w:val="Strong"/>
        </w:rPr>
        <w:t xml:space="preserve">: </w:t>
      </w:r>
      <w:r w:rsidR="00BA0D82" w:rsidRPr="00FF0F4A">
        <w:rPr>
          <w:rStyle w:val="Strong"/>
        </w:rPr>
        <w:t xml:space="preserve"> </w:t>
      </w:r>
      <w:r w:rsidR="00BA0D82" w:rsidRPr="00FF0F4A">
        <w:rPr>
          <w:rFonts w:cs="Arial"/>
          <w:szCs w:val="20"/>
        </w:rPr>
        <w:t xml:space="preserve">As directed by EPA, the </w:t>
      </w:r>
      <w:r w:rsidR="00A11392">
        <w:rPr>
          <w:rFonts w:cs="Arial"/>
          <w:szCs w:val="20"/>
        </w:rPr>
        <w:t xml:space="preserve">FOP O2942 (project number 32939) is modified and </w:t>
      </w:r>
      <w:r w:rsidR="004816F3">
        <w:rPr>
          <w:rFonts w:cs="Arial"/>
          <w:szCs w:val="20"/>
        </w:rPr>
        <w:t>include</w:t>
      </w:r>
      <w:r w:rsidR="00667E0A">
        <w:rPr>
          <w:rFonts w:cs="Arial"/>
          <w:szCs w:val="20"/>
        </w:rPr>
        <w:t>s</w:t>
      </w:r>
      <w:r w:rsidR="004816F3">
        <w:rPr>
          <w:rFonts w:cs="Arial"/>
          <w:szCs w:val="20"/>
        </w:rPr>
        <w:t xml:space="preserve"> </w:t>
      </w:r>
      <w:r w:rsidR="00A11392">
        <w:rPr>
          <w:rFonts w:cs="Arial"/>
          <w:szCs w:val="20"/>
        </w:rPr>
        <w:t xml:space="preserve">specific </w:t>
      </w:r>
      <w:r w:rsidR="00F624CA">
        <w:rPr>
          <w:rFonts w:cs="Arial"/>
          <w:szCs w:val="20"/>
        </w:rPr>
        <w:t>monitoring/testing/recordkeeping/reporting (</w:t>
      </w:r>
      <w:r w:rsidR="008503D9">
        <w:rPr>
          <w:rFonts w:cs="Arial"/>
          <w:szCs w:val="20"/>
        </w:rPr>
        <w:t>MRRT</w:t>
      </w:r>
      <w:r w:rsidR="00F624CA">
        <w:rPr>
          <w:rFonts w:cs="Arial"/>
          <w:szCs w:val="20"/>
        </w:rPr>
        <w:t>)</w:t>
      </w:r>
      <w:r w:rsidR="00BA0D82" w:rsidRPr="00FF0F4A">
        <w:rPr>
          <w:rFonts w:cs="Arial"/>
          <w:szCs w:val="20"/>
        </w:rPr>
        <w:t xml:space="preserve"> that assures compliance with the requirements for all PBRs (including registered PBRs, </w:t>
      </w:r>
      <w:r w:rsidR="00BA0D82" w:rsidRPr="00FF0F4A">
        <w:t>claimed but not registered PBRs</w:t>
      </w:r>
      <w:r w:rsidR="00F624CA">
        <w:t>,</w:t>
      </w:r>
      <w:r w:rsidR="00BA0D82" w:rsidRPr="00FF0F4A">
        <w:t xml:space="preserve"> and PBRs</w:t>
      </w:r>
      <w:r w:rsidR="00BA0D82" w:rsidRPr="00FF0F4A">
        <w:rPr>
          <w:rFonts w:cs="Arial"/>
          <w:szCs w:val="20"/>
        </w:rPr>
        <w:t xml:space="preserve"> that apply to non-insignificant units) </w:t>
      </w:r>
      <w:r w:rsidR="00A11392">
        <w:rPr>
          <w:rFonts w:cs="Arial"/>
          <w:szCs w:val="20"/>
        </w:rPr>
        <w:t xml:space="preserve">to permit as </w:t>
      </w:r>
      <w:r w:rsidR="00BA0D82" w:rsidRPr="00FF0F4A">
        <w:t>follows:</w:t>
      </w:r>
      <w:r w:rsidR="00BA0D82" w:rsidRPr="009C1876">
        <w:t xml:space="preserve"> </w:t>
      </w:r>
    </w:p>
    <w:p w14:paraId="0CF8A076" w14:textId="39307C33" w:rsidR="00384C60" w:rsidRDefault="00384C60" w:rsidP="007E33EE"/>
    <w:p w14:paraId="0BD82088" w14:textId="1AE33D27" w:rsidR="002D1BD3" w:rsidRPr="002D1BD3" w:rsidRDefault="006F2795" w:rsidP="007E33EE">
      <w:pPr>
        <w:numPr>
          <w:ilvl w:val="0"/>
          <w:numId w:val="17"/>
        </w:numPr>
        <w:contextualSpacing/>
        <w:rPr>
          <w:rFonts w:cs="Arial"/>
          <w:szCs w:val="20"/>
        </w:rPr>
      </w:pPr>
      <w:r>
        <w:t xml:space="preserve">The OP-PBRSUP form was submitted by applicant on </w:t>
      </w:r>
      <w:r w:rsidR="00352BBD">
        <w:t xml:space="preserve">April </w:t>
      </w:r>
      <w:r w:rsidR="00411F2B">
        <w:t>25</w:t>
      </w:r>
      <w:r w:rsidR="00352BBD">
        <w:t>, 2023</w:t>
      </w:r>
      <w:r w:rsidR="00A203E5">
        <w:t>. It is</w:t>
      </w:r>
      <w:r>
        <w:t xml:space="preserve"> </w:t>
      </w:r>
      <w:r w:rsidR="00FF0F4A">
        <w:t xml:space="preserve">a </w:t>
      </w:r>
      <w:r>
        <w:t>part of permit record. The OP-PBRSUP Table A and B provide registered PBRs and claimed PBRs (not registered) on site. Table C provides insignificant sources for the site under claimed (not registered) PBRs. Table D includes the monitoring and recordkeeping requirements from all PBRs including registered PBRs and claimed (not registered) PBRs.</w:t>
      </w:r>
    </w:p>
    <w:p w14:paraId="6397802A" w14:textId="2F770EB5" w:rsidR="00FF484F" w:rsidRPr="002D1BD3" w:rsidRDefault="006F2795" w:rsidP="007E33EE">
      <w:pPr>
        <w:numPr>
          <w:ilvl w:val="0"/>
          <w:numId w:val="17"/>
        </w:numPr>
        <w:contextualSpacing/>
        <w:rPr>
          <w:rFonts w:cs="Arial"/>
          <w:szCs w:val="20"/>
        </w:rPr>
      </w:pPr>
      <w:r>
        <w:t xml:space="preserve">Based on the updated information, the </w:t>
      </w:r>
      <w:r w:rsidR="00BA0D82" w:rsidRPr="00D01FF0">
        <w:t xml:space="preserve">New Source Review </w:t>
      </w:r>
      <w:r w:rsidR="00BA0D82" w:rsidRPr="00C136ED">
        <w:t>Authorization References by Emissions Unit Table in FOP O</w:t>
      </w:r>
      <w:r w:rsidR="00384C60">
        <w:t>2942</w:t>
      </w:r>
      <w:r w:rsidR="00BA0D82" w:rsidRPr="00C136ED">
        <w:t xml:space="preserve"> is revised to </w:t>
      </w:r>
      <w:bookmarkStart w:id="2" w:name="_Hlk118312322"/>
      <w:r w:rsidR="00BA0D82" w:rsidRPr="00C136ED">
        <w:t xml:space="preserve">add PBR Registration Number </w:t>
      </w:r>
      <w:r w:rsidR="00FF484F">
        <w:t xml:space="preserve">113910 under PBR 106.261 </w:t>
      </w:r>
      <w:r w:rsidR="00FF0F4A">
        <w:t xml:space="preserve">for </w:t>
      </w:r>
      <w:r w:rsidR="00FF484F">
        <w:t>units</w:t>
      </w:r>
      <w:r w:rsidR="00FF0F4A">
        <w:t xml:space="preserve"> </w:t>
      </w:r>
      <w:r w:rsidR="00FF484F">
        <w:t>F-OGCLC and F-OGCLH</w:t>
      </w:r>
      <w:bookmarkEnd w:id="2"/>
      <w:r w:rsidR="00FF484F">
        <w:t>.</w:t>
      </w:r>
      <w:r w:rsidR="002D1BD3">
        <w:t xml:space="preserve">  An additional footnote is added, which states “**This column</w:t>
      </w:r>
      <w:r w:rsidR="00996BD0">
        <w:t xml:space="preserve"> (New Source Review Authorization column)</w:t>
      </w:r>
      <w:r w:rsidR="002D1BD3">
        <w:t xml:space="preserve"> may include Permit by Rule (PBR) numbers and version dates, PBR Registration numbers in brackets, Standard Permit Registration numbers, Minor NSR permit numbers, and Major NSR permit numbers.” </w:t>
      </w:r>
    </w:p>
    <w:p w14:paraId="534A9B61" w14:textId="401B3EDD" w:rsidR="00BA0D82" w:rsidRPr="002D1BD3" w:rsidRDefault="002D1BD3" w:rsidP="007E33EE">
      <w:pPr>
        <w:numPr>
          <w:ilvl w:val="0"/>
          <w:numId w:val="17"/>
        </w:numPr>
        <w:contextualSpacing/>
        <w:rPr>
          <w:rFonts w:cs="Arial"/>
          <w:szCs w:val="20"/>
        </w:rPr>
      </w:pPr>
      <w:r w:rsidRPr="002D1BD3">
        <w:rPr>
          <w:rFonts w:cs="Arial"/>
          <w:szCs w:val="20"/>
        </w:rPr>
        <w:t>The permit special term and condition No.12 is revised to inc</w:t>
      </w:r>
      <w:r w:rsidR="00FF0F4A">
        <w:t>lude the</w:t>
      </w:r>
      <w:r w:rsidR="00BA0D82" w:rsidRPr="009C1876">
        <w:t xml:space="preserve"> PBR Supplemental Table (OP-PBRSUP) </w:t>
      </w:r>
      <w:r w:rsidR="00FF0F4A">
        <w:t xml:space="preserve">information </w:t>
      </w:r>
      <w:r w:rsidR="00373F9C">
        <w:t>submitted on</w:t>
      </w:r>
      <w:r w:rsidR="00352BBD">
        <w:t xml:space="preserve"> April </w:t>
      </w:r>
      <w:r w:rsidR="00411F2B">
        <w:t>25</w:t>
      </w:r>
      <w:r w:rsidR="00352BBD">
        <w:t xml:space="preserve">, </w:t>
      </w:r>
      <w:proofErr w:type="gramStart"/>
      <w:r w:rsidR="00352BBD">
        <w:t>2023</w:t>
      </w:r>
      <w:proofErr w:type="gramEnd"/>
      <w:r w:rsidR="00373F9C">
        <w:t xml:space="preserve"> </w:t>
      </w:r>
      <w:r w:rsidR="001C0844">
        <w:t xml:space="preserve">and project number </w:t>
      </w:r>
      <w:r w:rsidR="00BA0D82" w:rsidRPr="009C1876">
        <w:t>in Title V</w:t>
      </w:r>
      <w:r w:rsidR="00FF0F4A">
        <w:t xml:space="preserve"> permit</w:t>
      </w:r>
      <w:r>
        <w:t>. The term states that (</w:t>
      </w:r>
      <w:r w:rsidR="00624A86" w:rsidRPr="00624A86">
        <w:t xml:space="preserve">including the terms, conditions, monitoring, recordkeeping, and reporting identified in registered PBRs and permits by rule identified in the PBR Supplemental Tables dated </w:t>
      </w:r>
      <w:r w:rsidR="00352BBD">
        <w:t xml:space="preserve">April </w:t>
      </w:r>
      <w:r w:rsidR="00411F2B">
        <w:t>25</w:t>
      </w:r>
      <w:r w:rsidR="00352BBD">
        <w:t xml:space="preserve">, </w:t>
      </w:r>
      <w:proofErr w:type="gramStart"/>
      <w:r w:rsidR="00352BBD">
        <w:t>2023</w:t>
      </w:r>
      <w:proofErr w:type="gramEnd"/>
      <w:r w:rsidR="00624A86" w:rsidRPr="00624A86">
        <w:t xml:space="preserve"> in the application for project 32939</w:t>
      </w:r>
      <w:r w:rsidR="00BA0D82" w:rsidRPr="00613168">
        <w:t>)</w:t>
      </w:r>
      <w:r w:rsidR="00BA0D82" w:rsidRPr="009C1876">
        <w:t xml:space="preserve">. </w:t>
      </w:r>
    </w:p>
    <w:p w14:paraId="7037BA04" w14:textId="05C81D29" w:rsidR="00BA0D82" w:rsidRPr="00996BD0" w:rsidRDefault="00BA0D82" w:rsidP="007E33EE">
      <w:pPr>
        <w:numPr>
          <w:ilvl w:val="0"/>
          <w:numId w:val="17"/>
        </w:numPr>
        <w:contextualSpacing/>
        <w:rPr>
          <w:rFonts w:cs="Arial"/>
          <w:szCs w:val="20"/>
        </w:rPr>
      </w:pPr>
      <w:r w:rsidRPr="00A203E5">
        <w:t xml:space="preserve">The statement of basis (SOB) was updated to revise the </w:t>
      </w:r>
      <w:r w:rsidR="00996BD0">
        <w:t>I</w:t>
      </w:r>
      <w:r w:rsidRPr="00A203E5">
        <w:t xml:space="preserve">nsignificant </w:t>
      </w:r>
      <w:r w:rsidR="00996BD0">
        <w:t>A</w:t>
      </w:r>
      <w:r w:rsidRPr="00A203E5">
        <w:t>ctivities</w:t>
      </w:r>
      <w:r w:rsidR="00996BD0">
        <w:t xml:space="preserve"> and Emissions Units section to include sources authorized by 30 TAC Chapter 106, Permit by Rule, </w:t>
      </w:r>
      <w:r w:rsidRPr="00A203E5">
        <w:t xml:space="preserve">and </w:t>
      </w:r>
      <w:r w:rsidR="00996BD0">
        <w:t xml:space="preserve">to </w:t>
      </w:r>
      <w:r w:rsidRPr="00A203E5">
        <w:t xml:space="preserve">add </w:t>
      </w:r>
      <w:r w:rsidR="00996BD0">
        <w:t xml:space="preserve">Permits by Rule section to state </w:t>
      </w:r>
      <w:r w:rsidR="00996BD0" w:rsidRPr="00996BD0">
        <w:rPr>
          <w:iCs/>
        </w:rPr>
        <w:t xml:space="preserve">PBRs are enforceable </w:t>
      </w:r>
      <w:r w:rsidR="00996BD0">
        <w:rPr>
          <w:iCs/>
        </w:rPr>
        <w:t xml:space="preserve">and reference </w:t>
      </w:r>
      <w:r w:rsidRPr="00A203E5">
        <w:t>PBR Supplemental Table</w:t>
      </w:r>
      <w:r w:rsidR="00996BD0">
        <w:t>.</w:t>
      </w:r>
    </w:p>
    <w:p w14:paraId="740E2173" w14:textId="77777777" w:rsidR="00996BD0" w:rsidRPr="00A203E5" w:rsidRDefault="00996BD0" w:rsidP="00996BD0">
      <w:pPr>
        <w:contextualSpacing/>
        <w:rPr>
          <w:rFonts w:cs="Arial"/>
          <w:szCs w:val="20"/>
        </w:rPr>
      </w:pPr>
    </w:p>
    <w:p w14:paraId="6B5B9EBC" w14:textId="34E57A26" w:rsidR="00BA0D82" w:rsidRDefault="00BA0D82" w:rsidP="007E33EE"/>
    <w:p w14:paraId="628BD45A" w14:textId="0E2A321E" w:rsidR="00BA0D82" w:rsidRPr="00BA0D82" w:rsidRDefault="00BA0D82" w:rsidP="007E33EE">
      <w:pPr>
        <w:pStyle w:val="CM3"/>
        <w:spacing w:line="240" w:lineRule="auto"/>
        <w:rPr>
          <w:rFonts w:ascii="Arial" w:hAnsi="Arial" w:cs="Arial"/>
          <w:b/>
          <w:bCs/>
          <w:color w:val="000000"/>
          <w:sz w:val="20"/>
          <w:szCs w:val="20"/>
        </w:rPr>
      </w:pPr>
      <w:r w:rsidRPr="00BA0D82">
        <w:rPr>
          <w:rFonts w:ascii="Arial" w:hAnsi="Arial" w:cs="Arial"/>
          <w:b/>
          <w:bCs/>
          <w:sz w:val="20"/>
          <w:szCs w:val="20"/>
        </w:rPr>
        <w:lastRenderedPageBreak/>
        <w:t>Claim C:</w:t>
      </w:r>
      <w:r w:rsidRPr="00BA0D82">
        <w:rPr>
          <w:rFonts w:ascii="Arial" w:hAnsi="Arial" w:cs="Arial"/>
          <w:sz w:val="20"/>
          <w:szCs w:val="20"/>
        </w:rPr>
        <w:t xml:space="preserve"> </w:t>
      </w:r>
      <w:r w:rsidRPr="00BA0D82">
        <w:rPr>
          <w:rFonts w:ascii="Arial" w:hAnsi="Arial" w:cs="Arial"/>
          <w:b/>
          <w:bCs/>
          <w:color w:val="000000"/>
          <w:sz w:val="20"/>
          <w:szCs w:val="20"/>
        </w:rPr>
        <w:t>The Proposed Permit Fails to Assure Compliance with Emission Limits and Operating Requirements Established by Oak Grove’s New Source Review Permits Including Permits by Rule.</w:t>
      </w:r>
    </w:p>
    <w:p w14:paraId="5EB7FED9" w14:textId="77777777" w:rsidR="0090088E" w:rsidRDefault="0090088E" w:rsidP="007E33EE">
      <w:pPr>
        <w:pStyle w:val="CM11"/>
        <w:spacing w:line="240" w:lineRule="auto"/>
        <w:ind w:right="117"/>
        <w:rPr>
          <w:rFonts w:ascii="Arial" w:hAnsi="Arial" w:cs="Arial"/>
          <w:b/>
          <w:bCs/>
          <w:color w:val="000000"/>
          <w:sz w:val="20"/>
          <w:szCs w:val="20"/>
        </w:rPr>
      </w:pPr>
    </w:p>
    <w:p w14:paraId="6C3A6924" w14:textId="2E5CAC41" w:rsidR="00BA0D82" w:rsidRDefault="00BA0D82" w:rsidP="007E33EE">
      <w:pPr>
        <w:pStyle w:val="CM11"/>
        <w:spacing w:line="240" w:lineRule="auto"/>
        <w:ind w:right="117"/>
        <w:rPr>
          <w:rFonts w:ascii="Arial" w:hAnsi="Arial" w:cs="Arial"/>
          <w:b/>
          <w:bCs/>
          <w:color w:val="000000"/>
          <w:sz w:val="20"/>
          <w:szCs w:val="20"/>
        </w:rPr>
      </w:pPr>
      <w:bookmarkStart w:id="3" w:name="_Hlk133932238"/>
      <w:r w:rsidRPr="00BA0D82">
        <w:rPr>
          <w:rFonts w:ascii="Arial" w:hAnsi="Arial" w:cs="Arial"/>
          <w:b/>
          <w:bCs/>
          <w:color w:val="000000"/>
          <w:sz w:val="20"/>
          <w:szCs w:val="20"/>
        </w:rPr>
        <w:t>Claim C.1: Neither the Proposed Permit nor the PBR rules listed in the Proposed Permit’s New Source Review Authorization References table specify monitoring methods that assure compliance with applicable PBR emission limits.</w:t>
      </w:r>
    </w:p>
    <w:p w14:paraId="37E24EAF" w14:textId="77777777" w:rsidR="005157B4" w:rsidRPr="004535E5" w:rsidRDefault="005157B4" w:rsidP="007E33EE"/>
    <w:p w14:paraId="1EBFB68A" w14:textId="0F45F658" w:rsidR="00D02759" w:rsidRPr="005C2EB9" w:rsidRDefault="00266DF5" w:rsidP="007E33EE">
      <w:pPr>
        <w:rPr>
          <w:color w:val="000000"/>
          <w:szCs w:val="20"/>
        </w:rPr>
      </w:pPr>
      <w:r w:rsidRPr="009458A8">
        <w:rPr>
          <w:rStyle w:val="Strong"/>
        </w:rPr>
        <w:t xml:space="preserve">EPA </w:t>
      </w:r>
      <w:r>
        <w:rPr>
          <w:rStyle w:val="Strong"/>
        </w:rPr>
        <w:t>Objection</w:t>
      </w:r>
      <w:r w:rsidRPr="009458A8">
        <w:rPr>
          <w:rStyle w:val="Strong"/>
        </w:rPr>
        <w:t>:</w:t>
      </w:r>
      <w:r w:rsidR="009458A8" w:rsidRPr="009458A8">
        <w:t xml:space="preserve">  </w:t>
      </w:r>
      <w:r w:rsidR="0090088E" w:rsidRPr="005C2EB9">
        <w:rPr>
          <w:color w:val="000000"/>
          <w:szCs w:val="20"/>
        </w:rPr>
        <w:t>In responding to this order, TCEQ should specify the monitoring, recordkeeping, and reporting that assures compliance with the requirements of the PBRs that apply to non-insignificant units in the Oak Grove title V permit. If any underlying PBRs contain monitoring, recordkeeping, and reporting, TCEQ should identify those PBRs in the permit record and determine if the monitoring in those PBRs is adequate. On the other hand, if any PBRs do not contain any underlying monitoring, recordkeeping, or reporting, like 30 TAC § 106.472, then TCEQ should specify what monitoring, recordkeeping, or reporting will assure compliance with the requirements of those PBRs and the emission limits in 30 TAC 106.4(a)(1) as they apply to units authorized by those PBRs. If the title V permit, Chapter 116 NSR permits, new source performance standards (NSPS), national emission standards for hazardous air pollutants (NESHAP), or enforceable representations in an application already contain adequate terms to assure compliance with PBRs, then TCEQ should amend the Permit to identify such terms and explain in the permit record how these other requirements assure compliance with the requirements and emission limits for each PBR that applies to significant units. However, if the title V permit and all enforceable, properly incorporated documents do not contain monitoring, recordkeeping, and reporting sufficient to assure compliance with the PBR requirements then TCEQ should add such terms to the permit.</w:t>
      </w:r>
    </w:p>
    <w:p w14:paraId="0A083BC1" w14:textId="78E90DE9" w:rsidR="0090088E" w:rsidRDefault="0090088E" w:rsidP="007E33EE">
      <w:pPr>
        <w:rPr>
          <w:color w:val="000000"/>
          <w:sz w:val="23"/>
          <w:szCs w:val="23"/>
        </w:rPr>
      </w:pPr>
    </w:p>
    <w:p w14:paraId="1FC7A9B2" w14:textId="3574B75C" w:rsidR="0090088E" w:rsidRDefault="0090088E" w:rsidP="007E33EE">
      <w:pPr>
        <w:rPr>
          <w:color w:val="000000"/>
          <w:szCs w:val="20"/>
        </w:rPr>
      </w:pPr>
      <w:r w:rsidRPr="005C2EB9">
        <w:rPr>
          <w:color w:val="000000"/>
          <w:szCs w:val="20"/>
        </w:rPr>
        <w:t xml:space="preserve">Therefore, TCEQ should include or identify the monitoring, recordkeeping, and reporting from the application forms for registered PBRs (in addition to the claimed but not registered PBRs). With these </w:t>
      </w:r>
      <w:r w:rsidR="00A203E5" w:rsidRPr="005C2EB9">
        <w:rPr>
          <w:color w:val="000000"/>
          <w:szCs w:val="20"/>
        </w:rPr>
        <w:t>changes and</w:t>
      </w:r>
      <w:r w:rsidRPr="005C2EB9">
        <w:rPr>
          <w:color w:val="000000"/>
          <w:szCs w:val="20"/>
        </w:rPr>
        <w:t xml:space="preserve"> provided the PBR Supplemental Table is either included or sufficiently incorporated by reference into the title V permit, the title V permit should include identifiable monitoring, recordkeeping, and reporting necessary to assure compliance with the emission limits and standards in the PBRs.</w:t>
      </w:r>
    </w:p>
    <w:p w14:paraId="65F54E28" w14:textId="77777777" w:rsidR="00D02759" w:rsidRDefault="00D02759" w:rsidP="007E33EE"/>
    <w:p w14:paraId="2050B55E" w14:textId="14FDAB1E" w:rsidR="00755565" w:rsidRDefault="000203F9" w:rsidP="007E33EE">
      <w:pPr>
        <w:rPr>
          <w:color w:val="000000"/>
          <w:szCs w:val="20"/>
        </w:rPr>
      </w:pPr>
      <w:r w:rsidRPr="00725612">
        <w:rPr>
          <w:rStyle w:val="Strong"/>
        </w:rPr>
        <w:t>TCEQ R</w:t>
      </w:r>
      <w:r>
        <w:rPr>
          <w:rStyle w:val="Strong"/>
        </w:rPr>
        <w:t>esponse</w:t>
      </w:r>
      <w:r w:rsidRPr="00A203E5">
        <w:rPr>
          <w:rStyle w:val="Strong"/>
          <w:b w:val="0"/>
          <w:bCs w:val="0"/>
        </w:rPr>
        <w:t xml:space="preserve">: </w:t>
      </w:r>
      <w:r w:rsidR="001566D1" w:rsidRPr="00A203E5">
        <w:rPr>
          <w:rStyle w:val="Strong"/>
          <w:b w:val="0"/>
          <w:bCs w:val="0"/>
        </w:rPr>
        <w:t xml:space="preserve"> </w:t>
      </w:r>
      <w:r w:rsidR="00A203E5" w:rsidRPr="00A203E5">
        <w:rPr>
          <w:rStyle w:val="Strong"/>
          <w:b w:val="0"/>
          <w:bCs w:val="0"/>
        </w:rPr>
        <w:t xml:space="preserve">As stated </w:t>
      </w:r>
      <w:r w:rsidR="00A203E5">
        <w:rPr>
          <w:color w:val="000000"/>
          <w:szCs w:val="20"/>
        </w:rPr>
        <w:t>above in TCEQ response to Claim B, a</w:t>
      </w:r>
      <w:r w:rsidR="00A203E5" w:rsidRPr="00B84057">
        <w:rPr>
          <w:color w:val="000000"/>
          <w:szCs w:val="20"/>
        </w:rPr>
        <w:t xml:space="preserve">pplicant has submitted updated OP-PBRSUP </w:t>
      </w:r>
      <w:r w:rsidR="00A203E5">
        <w:rPr>
          <w:color w:val="000000"/>
          <w:szCs w:val="20"/>
        </w:rPr>
        <w:t>dated</w:t>
      </w:r>
      <w:r w:rsidR="00A203E5" w:rsidRPr="00B84057">
        <w:rPr>
          <w:color w:val="000000"/>
          <w:szCs w:val="20"/>
        </w:rPr>
        <w:t xml:space="preserve"> </w:t>
      </w:r>
      <w:r w:rsidR="00352BBD">
        <w:rPr>
          <w:color w:val="000000"/>
          <w:szCs w:val="20"/>
        </w:rPr>
        <w:t xml:space="preserve">April </w:t>
      </w:r>
      <w:r w:rsidR="00411F2B">
        <w:rPr>
          <w:color w:val="000000"/>
          <w:szCs w:val="20"/>
        </w:rPr>
        <w:t>25</w:t>
      </w:r>
      <w:r w:rsidR="00352BBD">
        <w:rPr>
          <w:color w:val="000000"/>
          <w:szCs w:val="20"/>
        </w:rPr>
        <w:t>, 2023</w:t>
      </w:r>
      <w:r w:rsidR="00A203E5">
        <w:rPr>
          <w:color w:val="000000"/>
          <w:szCs w:val="20"/>
        </w:rPr>
        <w:t>, Table D, to</w:t>
      </w:r>
      <w:r w:rsidR="00A203E5" w:rsidRPr="00B84057">
        <w:rPr>
          <w:color w:val="000000"/>
          <w:szCs w:val="20"/>
        </w:rPr>
        <w:t xml:space="preserve"> </w:t>
      </w:r>
      <w:r w:rsidR="00A203E5">
        <w:rPr>
          <w:color w:val="000000"/>
          <w:szCs w:val="20"/>
        </w:rPr>
        <w:t>document</w:t>
      </w:r>
      <w:r w:rsidRPr="00B84057">
        <w:rPr>
          <w:color w:val="000000"/>
          <w:szCs w:val="20"/>
        </w:rPr>
        <w:t xml:space="preserve"> the monitoring for </w:t>
      </w:r>
      <w:r w:rsidR="00A203E5">
        <w:rPr>
          <w:color w:val="000000"/>
          <w:szCs w:val="20"/>
        </w:rPr>
        <w:t xml:space="preserve">registered and claimed </w:t>
      </w:r>
      <w:r w:rsidRPr="00B84057">
        <w:rPr>
          <w:color w:val="000000"/>
          <w:szCs w:val="20"/>
        </w:rPr>
        <w:t xml:space="preserve">PBRs. </w:t>
      </w:r>
    </w:p>
    <w:bookmarkEnd w:id="3"/>
    <w:p w14:paraId="6F139E04" w14:textId="77777777" w:rsidR="00755565" w:rsidRDefault="00755565" w:rsidP="007E33EE">
      <w:pPr>
        <w:rPr>
          <w:color w:val="000000"/>
          <w:szCs w:val="20"/>
        </w:rPr>
      </w:pPr>
    </w:p>
    <w:p w14:paraId="072D298B" w14:textId="3656437F" w:rsidR="00755565" w:rsidRDefault="000203F9" w:rsidP="007E33EE">
      <w:pPr>
        <w:rPr>
          <w:color w:val="000000"/>
          <w:szCs w:val="20"/>
        </w:rPr>
      </w:pPr>
      <w:r w:rsidRPr="00B84057">
        <w:rPr>
          <w:color w:val="000000"/>
          <w:szCs w:val="20"/>
        </w:rPr>
        <w:t xml:space="preserve">The </w:t>
      </w:r>
      <w:r w:rsidR="00B84057">
        <w:rPr>
          <w:color w:val="000000"/>
          <w:szCs w:val="20"/>
        </w:rPr>
        <w:t xml:space="preserve">OP-PBRSUP </w:t>
      </w:r>
      <w:r w:rsidRPr="00B84057">
        <w:rPr>
          <w:color w:val="000000"/>
          <w:szCs w:val="20"/>
        </w:rPr>
        <w:t>Table A provides all Registered PBRs for the application area</w:t>
      </w:r>
      <w:r w:rsidR="00A75D74">
        <w:rPr>
          <w:color w:val="000000"/>
          <w:szCs w:val="20"/>
        </w:rPr>
        <w:t xml:space="preserve">. </w:t>
      </w:r>
      <w:r w:rsidR="004816F3">
        <w:rPr>
          <w:color w:val="000000"/>
          <w:szCs w:val="20"/>
        </w:rPr>
        <w:t xml:space="preserve">The following information </w:t>
      </w:r>
      <w:r w:rsidR="000A2596">
        <w:rPr>
          <w:color w:val="000000"/>
          <w:szCs w:val="20"/>
        </w:rPr>
        <w:t>is</w:t>
      </w:r>
      <w:r w:rsidR="004816F3">
        <w:rPr>
          <w:color w:val="000000"/>
          <w:szCs w:val="20"/>
        </w:rPr>
        <w:t xml:space="preserve"> included in the permit documentation: </w:t>
      </w:r>
      <w:r w:rsidR="00A75D74">
        <w:rPr>
          <w:color w:val="000000"/>
          <w:szCs w:val="20"/>
        </w:rPr>
        <w:t>unit F-OGLMS is authorized by PBR</w:t>
      </w:r>
      <w:r w:rsidR="000A2596">
        <w:rPr>
          <w:color w:val="000000"/>
          <w:szCs w:val="20"/>
        </w:rPr>
        <w:t xml:space="preserve"> registration number </w:t>
      </w:r>
      <w:r w:rsidR="00A75D74">
        <w:rPr>
          <w:color w:val="000000"/>
          <w:szCs w:val="20"/>
        </w:rPr>
        <w:t xml:space="preserve">106925; units OG-CSMS and OG-CSM are authorized by </w:t>
      </w:r>
      <w:r w:rsidR="000A2596">
        <w:rPr>
          <w:color w:val="000000"/>
          <w:szCs w:val="20"/>
        </w:rPr>
        <w:t>PBR registration number</w:t>
      </w:r>
      <w:r w:rsidR="00A203E5">
        <w:rPr>
          <w:color w:val="000000"/>
          <w:szCs w:val="20"/>
        </w:rPr>
        <w:t xml:space="preserve"> </w:t>
      </w:r>
      <w:r w:rsidR="00A75D74">
        <w:rPr>
          <w:color w:val="000000"/>
          <w:szCs w:val="20"/>
        </w:rPr>
        <w:t xml:space="preserve">113077; units F-OGCLSP, F-OGCLC, F-OGCLH are authorized by </w:t>
      </w:r>
      <w:r w:rsidR="008C56D9">
        <w:rPr>
          <w:color w:val="000000"/>
          <w:szCs w:val="20"/>
        </w:rPr>
        <w:t xml:space="preserve">PBR registration number </w:t>
      </w:r>
      <w:r w:rsidR="00A75D74">
        <w:rPr>
          <w:color w:val="000000"/>
          <w:szCs w:val="20"/>
        </w:rPr>
        <w:t xml:space="preserve">113910; unit E-OGCMSS is authorized by </w:t>
      </w:r>
      <w:r w:rsidR="008C56D9">
        <w:rPr>
          <w:color w:val="000000"/>
          <w:szCs w:val="20"/>
        </w:rPr>
        <w:t xml:space="preserve">PBR registration number </w:t>
      </w:r>
      <w:r w:rsidR="00A75D74">
        <w:rPr>
          <w:color w:val="000000"/>
          <w:szCs w:val="20"/>
        </w:rPr>
        <w:t xml:space="preserve">140895; units F-OGLDL and F-OGRDL are authorized </w:t>
      </w:r>
      <w:r w:rsidR="008C56D9">
        <w:rPr>
          <w:color w:val="000000"/>
          <w:szCs w:val="20"/>
        </w:rPr>
        <w:t xml:space="preserve">PBR registration number </w:t>
      </w:r>
      <w:r w:rsidR="00A75D74">
        <w:rPr>
          <w:color w:val="000000"/>
          <w:szCs w:val="20"/>
        </w:rPr>
        <w:t xml:space="preserve">142258; units OG-TCMSB, OG-CMSC1, OG-CMSC2F, </w:t>
      </w:r>
      <w:r w:rsidR="001566D1">
        <w:rPr>
          <w:color w:val="000000"/>
          <w:szCs w:val="20"/>
        </w:rPr>
        <w:t xml:space="preserve">OG-CMSS are authorized by </w:t>
      </w:r>
      <w:r w:rsidR="008C56D9">
        <w:rPr>
          <w:color w:val="000000"/>
          <w:szCs w:val="20"/>
        </w:rPr>
        <w:t>PBR registration number</w:t>
      </w:r>
      <w:r w:rsidR="00A203E5">
        <w:rPr>
          <w:color w:val="000000"/>
          <w:szCs w:val="20"/>
        </w:rPr>
        <w:t xml:space="preserve"> </w:t>
      </w:r>
      <w:r w:rsidR="001566D1">
        <w:rPr>
          <w:color w:val="000000"/>
          <w:szCs w:val="20"/>
        </w:rPr>
        <w:t xml:space="preserve">151771. </w:t>
      </w:r>
      <w:r w:rsidR="00A75D74">
        <w:rPr>
          <w:color w:val="000000"/>
          <w:szCs w:val="20"/>
        </w:rPr>
        <w:t xml:space="preserve"> </w:t>
      </w:r>
    </w:p>
    <w:p w14:paraId="7EEE179A" w14:textId="77777777" w:rsidR="00755565" w:rsidRDefault="00755565" w:rsidP="007E33EE">
      <w:pPr>
        <w:rPr>
          <w:color w:val="000000"/>
          <w:szCs w:val="20"/>
        </w:rPr>
      </w:pPr>
    </w:p>
    <w:p w14:paraId="3A87371B" w14:textId="1FCCD2A0" w:rsidR="00755565" w:rsidRDefault="000203F9" w:rsidP="007E33EE">
      <w:pPr>
        <w:rPr>
          <w:color w:val="000000"/>
          <w:szCs w:val="20"/>
        </w:rPr>
      </w:pPr>
      <w:r w:rsidRPr="00B84057">
        <w:rPr>
          <w:color w:val="000000"/>
          <w:szCs w:val="20"/>
        </w:rPr>
        <w:t xml:space="preserve">Table B listed all claimed </w:t>
      </w:r>
      <w:r w:rsidR="008C56D9">
        <w:rPr>
          <w:color w:val="000000"/>
          <w:szCs w:val="20"/>
        </w:rPr>
        <w:t>(</w:t>
      </w:r>
      <w:r w:rsidRPr="00B84057">
        <w:rPr>
          <w:color w:val="000000"/>
          <w:szCs w:val="20"/>
        </w:rPr>
        <w:t>not registered</w:t>
      </w:r>
      <w:r w:rsidR="008C56D9">
        <w:rPr>
          <w:color w:val="000000"/>
          <w:szCs w:val="20"/>
        </w:rPr>
        <w:t>)</w:t>
      </w:r>
      <w:r w:rsidRPr="00B84057">
        <w:rPr>
          <w:color w:val="000000"/>
          <w:szCs w:val="20"/>
        </w:rPr>
        <w:t xml:space="preserve"> PBRs for the application area</w:t>
      </w:r>
      <w:r w:rsidR="001566D1">
        <w:rPr>
          <w:color w:val="000000"/>
          <w:szCs w:val="20"/>
        </w:rPr>
        <w:t xml:space="preserve">. </w:t>
      </w:r>
      <w:r w:rsidR="009A2A64">
        <w:rPr>
          <w:color w:val="000000"/>
          <w:szCs w:val="20"/>
        </w:rPr>
        <w:t>Various</w:t>
      </w:r>
      <w:r w:rsidR="001566D1">
        <w:rPr>
          <w:color w:val="000000"/>
          <w:szCs w:val="20"/>
        </w:rPr>
        <w:t xml:space="preserve"> units </w:t>
      </w:r>
      <w:r w:rsidR="008C56D9">
        <w:rPr>
          <w:color w:val="000000"/>
          <w:szCs w:val="20"/>
        </w:rPr>
        <w:t xml:space="preserve">as noted in Table B </w:t>
      </w:r>
      <w:r w:rsidR="001566D1">
        <w:rPr>
          <w:color w:val="000000"/>
          <w:szCs w:val="20"/>
        </w:rPr>
        <w:t>are authorized by PBR</w:t>
      </w:r>
      <w:r w:rsidR="008C56D9">
        <w:rPr>
          <w:color w:val="000000"/>
          <w:szCs w:val="20"/>
        </w:rPr>
        <w:t>s</w:t>
      </w:r>
      <w:r w:rsidR="001566D1">
        <w:rPr>
          <w:color w:val="000000"/>
          <w:szCs w:val="20"/>
        </w:rPr>
        <w:t xml:space="preserve"> 106.227, 106.263, 106.264, 106.412, 106.454, 106.472, 106.473, 106.511, and 106.532. </w:t>
      </w:r>
    </w:p>
    <w:p w14:paraId="42A1B6C3" w14:textId="77777777" w:rsidR="00755565" w:rsidRDefault="00755565" w:rsidP="007E33EE">
      <w:pPr>
        <w:rPr>
          <w:color w:val="000000"/>
          <w:szCs w:val="20"/>
        </w:rPr>
      </w:pPr>
    </w:p>
    <w:p w14:paraId="44E37B59" w14:textId="78FFD687" w:rsidR="00755565" w:rsidRDefault="000203F9" w:rsidP="007E33EE">
      <w:pPr>
        <w:rPr>
          <w:color w:val="000000"/>
          <w:szCs w:val="20"/>
        </w:rPr>
      </w:pPr>
      <w:r w:rsidRPr="00B84057">
        <w:rPr>
          <w:color w:val="000000"/>
          <w:szCs w:val="20"/>
        </w:rPr>
        <w:t xml:space="preserve">Table C contains the claimed </w:t>
      </w:r>
      <w:r w:rsidR="008C56D9">
        <w:rPr>
          <w:color w:val="000000"/>
          <w:szCs w:val="20"/>
        </w:rPr>
        <w:t>(</w:t>
      </w:r>
      <w:r w:rsidRPr="00B84057">
        <w:rPr>
          <w:color w:val="000000"/>
          <w:szCs w:val="20"/>
        </w:rPr>
        <w:t>not registered</w:t>
      </w:r>
      <w:r w:rsidR="008C56D9">
        <w:rPr>
          <w:color w:val="000000"/>
          <w:szCs w:val="20"/>
        </w:rPr>
        <w:t>)</w:t>
      </w:r>
      <w:r w:rsidRPr="00B84057">
        <w:rPr>
          <w:color w:val="000000"/>
          <w:szCs w:val="20"/>
        </w:rPr>
        <w:t xml:space="preserve"> PBR for insignificant sources for the site. </w:t>
      </w:r>
      <w:r w:rsidR="00755565">
        <w:rPr>
          <w:color w:val="000000"/>
          <w:szCs w:val="20"/>
        </w:rPr>
        <w:t xml:space="preserve">For this site, </w:t>
      </w:r>
      <w:r w:rsidR="001017F7">
        <w:rPr>
          <w:color w:val="000000"/>
          <w:szCs w:val="20"/>
        </w:rPr>
        <w:t>the insignificant sources are subject to</w:t>
      </w:r>
      <w:r w:rsidR="00755565">
        <w:rPr>
          <w:color w:val="000000"/>
          <w:szCs w:val="20"/>
        </w:rPr>
        <w:t xml:space="preserve"> </w:t>
      </w:r>
      <w:r w:rsidR="00755565">
        <w:rPr>
          <w:color w:val="000000"/>
        </w:rPr>
        <w:t xml:space="preserve">30 TAC §§ </w:t>
      </w:r>
      <w:r w:rsidR="00755565">
        <w:rPr>
          <w:color w:val="000000"/>
          <w:szCs w:val="20"/>
        </w:rPr>
        <w:t>106.266 and 106.372</w:t>
      </w:r>
      <w:r w:rsidR="001017F7">
        <w:rPr>
          <w:color w:val="000000"/>
          <w:szCs w:val="20"/>
        </w:rPr>
        <w:t>.</w:t>
      </w:r>
      <w:r w:rsidR="00755565">
        <w:rPr>
          <w:color w:val="000000"/>
          <w:szCs w:val="20"/>
        </w:rPr>
        <w:t xml:space="preserve"> </w:t>
      </w:r>
    </w:p>
    <w:p w14:paraId="25CAD985" w14:textId="77777777" w:rsidR="00755565" w:rsidRDefault="00755565" w:rsidP="007E33EE">
      <w:pPr>
        <w:rPr>
          <w:color w:val="000000"/>
          <w:szCs w:val="20"/>
        </w:rPr>
      </w:pPr>
    </w:p>
    <w:p w14:paraId="6A288EE4" w14:textId="09D5FF78" w:rsidR="00755565" w:rsidRDefault="00755565" w:rsidP="007E33EE">
      <w:pPr>
        <w:pStyle w:val="SOPTable1"/>
        <w:rPr>
          <w:color w:val="000000"/>
          <w:szCs w:val="20"/>
        </w:rPr>
      </w:pPr>
      <w:r>
        <w:rPr>
          <w:color w:val="000000"/>
          <w:szCs w:val="20"/>
        </w:rPr>
        <w:t>T</w:t>
      </w:r>
      <w:r w:rsidR="000203F9" w:rsidRPr="00B84057">
        <w:rPr>
          <w:color w:val="000000"/>
          <w:szCs w:val="20"/>
        </w:rPr>
        <w:t xml:space="preserve">able D displays all monitoring requirements for registered and claimed PBRs for the site. </w:t>
      </w:r>
      <w:r>
        <w:rPr>
          <w:color w:val="000000"/>
          <w:szCs w:val="20"/>
        </w:rPr>
        <w:t>For example, the unit OG-WA is authorized by PBR</w:t>
      </w:r>
      <w:r w:rsidR="00183F19">
        <w:rPr>
          <w:color w:val="000000"/>
          <w:szCs w:val="20"/>
        </w:rPr>
        <w:t xml:space="preserve"> </w:t>
      </w:r>
      <w:r>
        <w:rPr>
          <w:color w:val="000000"/>
          <w:szCs w:val="20"/>
        </w:rPr>
        <w:t xml:space="preserve">106.227 and the </w:t>
      </w:r>
      <w:r w:rsidR="00A75D74">
        <w:rPr>
          <w:color w:val="000000"/>
          <w:szCs w:val="20"/>
        </w:rPr>
        <w:t xml:space="preserve">PBR requires applicant to estimate the emissions using the maximum emission factors listed in AP-42 Table 12.19-1 and 2, and keep recordkeeping for soldering, welding, and brazing materials to demonstrate compliance with the emission limits and requirements under PBR 106.227. </w:t>
      </w:r>
      <w:r>
        <w:rPr>
          <w:color w:val="000000"/>
          <w:szCs w:val="20"/>
        </w:rPr>
        <w:t xml:space="preserve"> </w:t>
      </w:r>
      <w:r w:rsidR="001C0844">
        <w:rPr>
          <w:color w:val="000000"/>
          <w:szCs w:val="20"/>
        </w:rPr>
        <w:t>As</w:t>
      </w:r>
      <w:r w:rsidR="00A75D74">
        <w:rPr>
          <w:color w:val="000000"/>
          <w:szCs w:val="20"/>
        </w:rPr>
        <w:t xml:space="preserve"> another example, the unit OG-CMSS is authorized by PBR 106.262 with Registration No. 151771. The Table D monitoring requirements show the applicant shall </w:t>
      </w:r>
      <w:r w:rsidR="00A75D74">
        <w:rPr>
          <w:color w:val="000000"/>
          <w:szCs w:val="20"/>
        </w:rPr>
        <w:lastRenderedPageBreak/>
        <w:t xml:space="preserve">conduct an observation of visible emissions from the unit once each calendar quarter and record operating parameters, including throughputs, operation hours, flow, and calculate emissions to demonstrate compliance with registered emission limits in </w:t>
      </w:r>
      <w:proofErr w:type="spellStart"/>
      <w:r w:rsidR="00A75D74">
        <w:rPr>
          <w:color w:val="000000"/>
          <w:szCs w:val="20"/>
        </w:rPr>
        <w:t>lb</w:t>
      </w:r>
      <w:proofErr w:type="spellEnd"/>
      <w:r w:rsidR="00A75D74">
        <w:rPr>
          <w:color w:val="000000"/>
          <w:szCs w:val="20"/>
        </w:rPr>
        <w:t>/</w:t>
      </w:r>
      <w:proofErr w:type="spellStart"/>
      <w:r w:rsidR="00A75D74">
        <w:rPr>
          <w:color w:val="000000"/>
          <w:szCs w:val="20"/>
        </w:rPr>
        <w:t>hr</w:t>
      </w:r>
      <w:proofErr w:type="spellEnd"/>
      <w:r w:rsidR="00A75D74">
        <w:rPr>
          <w:color w:val="000000"/>
          <w:szCs w:val="20"/>
        </w:rPr>
        <w:t xml:space="preserve"> and </w:t>
      </w:r>
      <w:proofErr w:type="spellStart"/>
      <w:r w:rsidR="00A75D74">
        <w:rPr>
          <w:color w:val="000000"/>
          <w:szCs w:val="20"/>
        </w:rPr>
        <w:t>tpy</w:t>
      </w:r>
      <w:proofErr w:type="spellEnd"/>
      <w:r w:rsidR="00A75D74">
        <w:rPr>
          <w:color w:val="000000"/>
          <w:szCs w:val="20"/>
        </w:rPr>
        <w:t xml:space="preserve">. </w:t>
      </w:r>
    </w:p>
    <w:p w14:paraId="79B3D700" w14:textId="77777777" w:rsidR="001017F7" w:rsidRDefault="001017F7" w:rsidP="007E33EE">
      <w:pPr>
        <w:rPr>
          <w:color w:val="000000"/>
          <w:szCs w:val="20"/>
        </w:rPr>
      </w:pPr>
    </w:p>
    <w:p w14:paraId="4ECF2B86" w14:textId="26F975F8" w:rsidR="000203F9" w:rsidRDefault="00183F19" w:rsidP="007E33EE">
      <w:pPr>
        <w:rPr>
          <w:color w:val="000000"/>
          <w:szCs w:val="20"/>
        </w:rPr>
      </w:pPr>
      <w:r>
        <w:rPr>
          <w:color w:val="000000"/>
          <w:szCs w:val="20"/>
        </w:rPr>
        <w:t>In addition</w:t>
      </w:r>
      <w:r w:rsidR="001566D1">
        <w:rPr>
          <w:color w:val="000000"/>
          <w:szCs w:val="20"/>
        </w:rPr>
        <w:t>, t</w:t>
      </w:r>
      <w:r w:rsidR="000203F9" w:rsidRPr="00B84057">
        <w:rPr>
          <w:color w:val="000000"/>
          <w:szCs w:val="20"/>
        </w:rPr>
        <w:t xml:space="preserve">he permit </w:t>
      </w:r>
      <w:r w:rsidR="00B84057">
        <w:rPr>
          <w:color w:val="000000"/>
          <w:szCs w:val="20"/>
        </w:rPr>
        <w:t>Special Term and Condition No.</w:t>
      </w:r>
      <w:r w:rsidR="004C0E98" w:rsidRPr="00B84057">
        <w:rPr>
          <w:color w:val="000000"/>
          <w:szCs w:val="20"/>
        </w:rPr>
        <w:t xml:space="preserve"> </w:t>
      </w:r>
      <w:r w:rsidR="00B84057">
        <w:rPr>
          <w:color w:val="000000"/>
          <w:szCs w:val="20"/>
        </w:rPr>
        <w:t>1</w:t>
      </w:r>
      <w:r w:rsidR="004816F3">
        <w:rPr>
          <w:color w:val="000000"/>
          <w:szCs w:val="20"/>
        </w:rPr>
        <w:t>2</w:t>
      </w:r>
      <w:r w:rsidR="004C0E98" w:rsidRPr="00B84057">
        <w:rPr>
          <w:color w:val="000000"/>
          <w:szCs w:val="20"/>
        </w:rPr>
        <w:t xml:space="preserve"> </w:t>
      </w:r>
      <w:r w:rsidR="000203F9" w:rsidRPr="00B84057">
        <w:rPr>
          <w:color w:val="000000"/>
          <w:szCs w:val="20"/>
        </w:rPr>
        <w:t xml:space="preserve">was revised to </w:t>
      </w:r>
      <w:r w:rsidR="009C186B">
        <w:rPr>
          <w:color w:val="000000"/>
          <w:szCs w:val="20"/>
        </w:rPr>
        <w:t xml:space="preserve">reference date and project number </w:t>
      </w:r>
      <w:r w:rsidR="001017F7">
        <w:rPr>
          <w:color w:val="000000"/>
          <w:szCs w:val="20"/>
        </w:rPr>
        <w:t xml:space="preserve">of </w:t>
      </w:r>
      <w:r w:rsidR="009C186B">
        <w:rPr>
          <w:color w:val="000000"/>
          <w:szCs w:val="20"/>
        </w:rPr>
        <w:t>OP-PBRSUP</w:t>
      </w:r>
      <w:r w:rsidR="004C0E98" w:rsidRPr="00B84057">
        <w:rPr>
          <w:color w:val="000000"/>
          <w:szCs w:val="20"/>
        </w:rPr>
        <w:t xml:space="preserve"> </w:t>
      </w:r>
      <w:r w:rsidR="001017F7">
        <w:rPr>
          <w:color w:val="000000"/>
          <w:szCs w:val="20"/>
        </w:rPr>
        <w:t>submitted. It reads as</w:t>
      </w:r>
      <w:r w:rsidR="004C0E98" w:rsidRPr="00B84057">
        <w:rPr>
          <w:color w:val="000000"/>
          <w:szCs w:val="20"/>
        </w:rPr>
        <w:t xml:space="preserve"> </w:t>
      </w:r>
      <w:r w:rsidR="001017F7">
        <w:rPr>
          <w:color w:val="000000"/>
          <w:szCs w:val="20"/>
        </w:rPr>
        <w:t>f</w:t>
      </w:r>
      <w:r w:rsidR="004C0E98" w:rsidRPr="00B84057">
        <w:rPr>
          <w:color w:val="000000"/>
          <w:szCs w:val="20"/>
        </w:rPr>
        <w:t>ollows:</w:t>
      </w:r>
      <w:r w:rsidR="00A75D74">
        <w:rPr>
          <w:color w:val="000000"/>
          <w:szCs w:val="20"/>
        </w:rPr>
        <w:t xml:space="preserve"> </w:t>
      </w:r>
    </w:p>
    <w:p w14:paraId="0CB4CE25" w14:textId="77777777" w:rsidR="00183F19" w:rsidRPr="00B84057" w:rsidRDefault="00183F19" w:rsidP="007E33EE">
      <w:pPr>
        <w:rPr>
          <w:color w:val="000000"/>
          <w:szCs w:val="20"/>
        </w:rPr>
      </w:pPr>
    </w:p>
    <w:p w14:paraId="5418518C" w14:textId="7A28AC49" w:rsidR="000203F9" w:rsidRDefault="004C0E98" w:rsidP="007E33EE">
      <w:pPr>
        <w:rPr>
          <w:color w:val="000000"/>
          <w:szCs w:val="20"/>
        </w:rPr>
      </w:pPr>
      <w:r w:rsidRPr="00B84057">
        <w:rPr>
          <w:color w:val="000000"/>
          <w:szCs w:val="20"/>
        </w:rPr>
        <w:t xml:space="preserve">“Permit holder shall comply with the requirements of New Source Review authorizations issued or claimed by the permit holder for the permitted area, including permits, permits by rule (including the terms, conditions, monitoring, recordkeeping, and reporting identified in registered PBR and permits by rule identified in the PBR Supplemental Tables dated </w:t>
      </w:r>
      <w:r w:rsidR="00352BBD">
        <w:rPr>
          <w:color w:val="000000"/>
          <w:szCs w:val="20"/>
        </w:rPr>
        <w:t xml:space="preserve">April </w:t>
      </w:r>
      <w:r w:rsidR="00411F2B">
        <w:rPr>
          <w:color w:val="000000"/>
          <w:szCs w:val="20"/>
        </w:rPr>
        <w:t>25</w:t>
      </w:r>
      <w:r w:rsidR="00352BBD">
        <w:rPr>
          <w:color w:val="000000"/>
          <w:szCs w:val="20"/>
        </w:rPr>
        <w:t>, 2023</w:t>
      </w:r>
      <w:r w:rsidRPr="00B84057">
        <w:rPr>
          <w:color w:val="000000"/>
          <w:szCs w:val="20"/>
        </w:rPr>
        <w:t xml:space="preserve"> in the application for project 32939),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  These </w:t>
      </w:r>
      <w:proofErr w:type="gramStart"/>
      <w:r w:rsidRPr="00B84057">
        <w:rPr>
          <w:color w:val="000000"/>
          <w:szCs w:val="20"/>
        </w:rPr>
        <w:t>requirements:</w:t>
      </w:r>
      <w:r w:rsidR="004B7434">
        <w:rPr>
          <w:color w:val="000000"/>
          <w:szCs w:val="20"/>
        </w:rPr>
        <w:t>…</w:t>
      </w:r>
      <w:proofErr w:type="gramEnd"/>
      <w:r w:rsidR="004B7434">
        <w:rPr>
          <w:color w:val="000000"/>
          <w:szCs w:val="20"/>
        </w:rPr>
        <w:t>..</w:t>
      </w:r>
      <w:r w:rsidRPr="00B84057">
        <w:rPr>
          <w:color w:val="000000"/>
          <w:szCs w:val="20"/>
        </w:rPr>
        <w:t>”</w:t>
      </w:r>
    </w:p>
    <w:p w14:paraId="0DED4D66" w14:textId="63BEFD65" w:rsidR="00183F19" w:rsidRDefault="00183F19" w:rsidP="007E33EE">
      <w:pPr>
        <w:rPr>
          <w:color w:val="000000"/>
          <w:szCs w:val="20"/>
        </w:rPr>
      </w:pPr>
    </w:p>
    <w:p w14:paraId="7AF2B562" w14:textId="0230ED72" w:rsidR="00671D73" w:rsidRPr="00996BD0" w:rsidRDefault="00183F19" w:rsidP="00671D73">
      <w:pPr>
        <w:contextualSpacing/>
        <w:rPr>
          <w:rFonts w:cs="Arial"/>
          <w:szCs w:val="20"/>
        </w:rPr>
      </w:pPr>
      <w:r>
        <w:t xml:space="preserve">Finally, </w:t>
      </w:r>
      <w:r w:rsidR="00671D73">
        <w:t>t</w:t>
      </w:r>
      <w:r w:rsidR="00671D73" w:rsidRPr="00A203E5">
        <w:t xml:space="preserve">he statement of basis (SOB) was updated to revise the </w:t>
      </w:r>
      <w:r w:rsidR="00671D73">
        <w:t>I</w:t>
      </w:r>
      <w:r w:rsidR="00671D73" w:rsidRPr="00A203E5">
        <w:t xml:space="preserve">nsignificant </w:t>
      </w:r>
      <w:r w:rsidR="00671D73">
        <w:t>A</w:t>
      </w:r>
      <w:r w:rsidR="00671D73" w:rsidRPr="00A203E5">
        <w:t>ctivities</w:t>
      </w:r>
      <w:r w:rsidR="00671D73">
        <w:t xml:space="preserve"> and Emissions Units section to include sources authorized by 30 TAC Chapter 106, Permit by Rule, </w:t>
      </w:r>
      <w:r w:rsidR="00671D73" w:rsidRPr="00A203E5">
        <w:t xml:space="preserve">and </w:t>
      </w:r>
      <w:r w:rsidR="00671D73">
        <w:t xml:space="preserve">to </w:t>
      </w:r>
      <w:r w:rsidR="00671D73" w:rsidRPr="00A203E5">
        <w:t xml:space="preserve">add </w:t>
      </w:r>
      <w:r w:rsidR="00671D73">
        <w:t xml:space="preserve">Permits by Rule section to state </w:t>
      </w:r>
      <w:r w:rsidR="00671D73" w:rsidRPr="00996BD0">
        <w:rPr>
          <w:iCs/>
        </w:rPr>
        <w:t xml:space="preserve">PBRs are enforceable </w:t>
      </w:r>
      <w:r w:rsidR="00671D73">
        <w:rPr>
          <w:iCs/>
        </w:rPr>
        <w:t xml:space="preserve">and reference </w:t>
      </w:r>
      <w:r w:rsidR="00671D73" w:rsidRPr="00A203E5">
        <w:t>PBR Supplemental Table</w:t>
      </w:r>
      <w:r w:rsidR="00B1263D">
        <w:t xml:space="preserve"> in the application</w:t>
      </w:r>
      <w:r w:rsidR="00671D73">
        <w:t>.</w:t>
      </w:r>
    </w:p>
    <w:p w14:paraId="310C0680" w14:textId="4C2578D2" w:rsidR="00183F19" w:rsidRPr="00EC5413" w:rsidRDefault="00183F19" w:rsidP="007E33EE">
      <w:pPr>
        <w:rPr>
          <w:color w:val="000000"/>
          <w:szCs w:val="20"/>
        </w:rPr>
      </w:pPr>
    </w:p>
    <w:p w14:paraId="48EAEED0" w14:textId="392A4C7C" w:rsidR="00266DF5" w:rsidRDefault="00266DF5" w:rsidP="007E33EE">
      <w:pPr>
        <w:rPr>
          <w:color w:val="000000"/>
          <w:sz w:val="23"/>
          <w:szCs w:val="23"/>
        </w:rPr>
      </w:pPr>
    </w:p>
    <w:p w14:paraId="4664D734" w14:textId="5404E690" w:rsidR="00266DF5" w:rsidRPr="00EC5413" w:rsidRDefault="0090088E" w:rsidP="007E33EE">
      <w:pPr>
        <w:rPr>
          <w:color w:val="000000"/>
          <w:szCs w:val="20"/>
        </w:rPr>
      </w:pPr>
      <w:r w:rsidRPr="00EC5413">
        <w:rPr>
          <w:b/>
          <w:bCs/>
          <w:color w:val="000000"/>
          <w:szCs w:val="20"/>
        </w:rPr>
        <w:t>Claim C.2: The Proposed Permit Fails to Assure Compliance with the Opacity Limit Established by Oak Grove’s PSD Permit.</w:t>
      </w:r>
    </w:p>
    <w:p w14:paraId="66335BFE" w14:textId="77777777" w:rsidR="0090088E" w:rsidRPr="00EC5413" w:rsidRDefault="0090088E" w:rsidP="007E33EE">
      <w:pPr>
        <w:rPr>
          <w:rStyle w:val="Strong"/>
          <w:szCs w:val="20"/>
        </w:rPr>
      </w:pPr>
    </w:p>
    <w:p w14:paraId="76F8E21E" w14:textId="2A064A15" w:rsidR="004B7434" w:rsidRDefault="0090088E" w:rsidP="007E33EE">
      <w:pPr>
        <w:rPr>
          <w:rFonts w:cs="Arial"/>
          <w:color w:val="000000"/>
          <w:szCs w:val="20"/>
        </w:rPr>
      </w:pPr>
      <w:r w:rsidRPr="00EC5413">
        <w:rPr>
          <w:rStyle w:val="Strong"/>
          <w:rFonts w:cs="Arial"/>
          <w:szCs w:val="20"/>
        </w:rPr>
        <w:t>EPA Objection</w:t>
      </w:r>
      <w:r w:rsidR="005C2EB9" w:rsidRPr="00EC5413">
        <w:rPr>
          <w:rStyle w:val="Strong"/>
          <w:rFonts w:cs="Arial"/>
          <w:szCs w:val="20"/>
        </w:rPr>
        <w:t>:</w:t>
      </w:r>
      <w:r w:rsidRPr="00EC5413">
        <w:rPr>
          <w:rFonts w:cs="Arial"/>
          <w:b/>
          <w:bCs/>
          <w:i/>
          <w:iCs/>
          <w:color w:val="000000"/>
          <w:szCs w:val="20"/>
        </w:rPr>
        <w:t xml:space="preserve"> </w:t>
      </w:r>
      <w:r w:rsidRPr="00EC5413">
        <w:rPr>
          <w:rFonts w:cs="Arial"/>
          <w:color w:val="000000"/>
          <w:szCs w:val="20"/>
        </w:rPr>
        <w:t xml:space="preserve">In responding to this Order, TCEQ should either explain how the Permit provides adequate monitoring for the 10 percent opacity limit or modify the permit to ensure that it contains monitoring sufficient to assure compliance with that limit. </w:t>
      </w:r>
    </w:p>
    <w:p w14:paraId="4E54C4C5" w14:textId="77777777" w:rsidR="00183F19" w:rsidRDefault="00183F19" w:rsidP="007E33EE">
      <w:pPr>
        <w:rPr>
          <w:rFonts w:cs="Arial"/>
          <w:color w:val="000000"/>
          <w:szCs w:val="20"/>
        </w:rPr>
      </w:pPr>
    </w:p>
    <w:p w14:paraId="381FE240" w14:textId="7C47CE05" w:rsidR="0090088E" w:rsidRDefault="0090088E" w:rsidP="007E33EE">
      <w:pPr>
        <w:rPr>
          <w:rFonts w:cs="Arial"/>
          <w:color w:val="000000"/>
          <w:szCs w:val="20"/>
        </w:rPr>
      </w:pPr>
      <w:r w:rsidRPr="00EC5413">
        <w:rPr>
          <w:rFonts w:cs="Arial"/>
          <w:color w:val="000000"/>
          <w:szCs w:val="20"/>
        </w:rPr>
        <w:t>EPA notes that the title V Permit CAM analysis for</w:t>
      </w:r>
      <w:r w:rsidRPr="005C2EB9">
        <w:rPr>
          <w:rFonts w:cs="Arial"/>
          <w:color w:val="000000"/>
          <w:szCs w:val="20"/>
        </w:rPr>
        <w:t xml:space="preserve"> the 15 percent SIP opacity limit did provide an explanation for why monitoring opacity is not needed when PM emissions are monitored using a PM CEMS. </w:t>
      </w:r>
      <w:r w:rsidRPr="005C2EB9">
        <w:rPr>
          <w:rFonts w:cs="Arial"/>
          <w:i/>
          <w:iCs/>
          <w:color w:val="000000"/>
          <w:szCs w:val="20"/>
        </w:rPr>
        <w:t xml:space="preserve">See </w:t>
      </w:r>
      <w:r w:rsidRPr="005C2EB9">
        <w:rPr>
          <w:rFonts w:cs="Arial"/>
          <w:color w:val="000000"/>
          <w:szCs w:val="20"/>
        </w:rPr>
        <w:t xml:space="preserve">TCEQ Statement of Basis for the title V Permit at 27 through 28. This explanation is consistent with findings EPA made amending, in part, 40 C.F.R. part 60, subparts D through Dc that facilities meeting a PM limit of 0.030 </w:t>
      </w:r>
      <w:proofErr w:type="spellStart"/>
      <w:r w:rsidRPr="005C2EB9">
        <w:rPr>
          <w:rFonts w:cs="Arial"/>
          <w:color w:val="000000"/>
          <w:szCs w:val="20"/>
        </w:rPr>
        <w:t>lb</w:t>
      </w:r>
      <w:proofErr w:type="spellEnd"/>
      <w:r w:rsidRPr="005C2EB9">
        <w:rPr>
          <w:rFonts w:cs="Arial"/>
          <w:color w:val="000000"/>
          <w:szCs w:val="20"/>
        </w:rPr>
        <w:t xml:space="preserve">/MMBtu will generally operate with little or no visible emissions. </w:t>
      </w:r>
      <w:r w:rsidRPr="005C2EB9">
        <w:rPr>
          <w:rFonts w:cs="Arial"/>
          <w:i/>
          <w:iCs/>
          <w:color w:val="000000"/>
          <w:szCs w:val="20"/>
        </w:rPr>
        <w:t xml:space="preserve">See </w:t>
      </w:r>
      <w:r w:rsidRPr="005C2EB9">
        <w:rPr>
          <w:rFonts w:cs="Arial"/>
          <w:color w:val="000000"/>
          <w:szCs w:val="20"/>
        </w:rPr>
        <w:t xml:space="preserve">74 Fed. Reg. 5072. Along with this analysis, however, TCEQ states that “the visible emissions limitations in 30 TAC Chapter 111 are applicable regardless of whether or not a PM CEMS is utilized” and requires daily method 9 readings for opacity. TCEQ acknowledges that additional monitoring beyond the PM CEMs is necessary for demonstrating compliance with the 15 percent SIP opacity limit. This explanation and associated monitoring could also be applied to the 10 percent opacity limit. </w:t>
      </w:r>
    </w:p>
    <w:p w14:paraId="69B7981D" w14:textId="77777777" w:rsidR="007E33EE" w:rsidRDefault="007E33EE" w:rsidP="007E33EE">
      <w:pPr>
        <w:rPr>
          <w:rFonts w:cs="Arial"/>
          <w:color w:val="000000"/>
          <w:szCs w:val="20"/>
        </w:rPr>
      </w:pPr>
    </w:p>
    <w:p w14:paraId="4C782F88" w14:textId="3775EEF5" w:rsidR="005C193B" w:rsidRDefault="00C10A59" w:rsidP="007E33EE">
      <w:pPr>
        <w:pStyle w:val="Default"/>
        <w:rPr>
          <w:rFonts w:ascii="Arial" w:hAnsi="Arial" w:cs="Arial"/>
          <w:sz w:val="20"/>
          <w:szCs w:val="20"/>
        </w:rPr>
      </w:pPr>
      <w:r w:rsidRPr="00E029FE">
        <w:rPr>
          <w:rStyle w:val="Strong"/>
          <w:rFonts w:ascii="Arial" w:hAnsi="Arial" w:cs="Arial"/>
          <w:sz w:val="20"/>
          <w:szCs w:val="20"/>
        </w:rPr>
        <w:t xml:space="preserve">TCEQ Response:   </w:t>
      </w:r>
      <w:bookmarkStart w:id="4" w:name="_Hlk115187265"/>
      <w:r w:rsidR="003B0FFF">
        <w:rPr>
          <w:rFonts w:ascii="Arial" w:hAnsi="Arial" w:cs="Arial"/>
          <w:sz w:val="20"/>
          <w:szCs w:val="20"/>
        </w:rPr>
        <w:t>In response to the EPA order</w:t>
      </w:r>
      <w:r w:rsidR="007630D4" w:rsidRPr="00224FF9">
        <w:rPr>
          <w:rFonts w:ascii="Arial" w:hAnsi="Arial" w:cs="Arial"/>
          <w:sz w:val="20"/>
          <w:szCs w:val="20"/>
        </w:rPr>
        <w:t xml:space="preserve">, the </w:t>
      </w:r>
      <w:r w:rsidR="00183F19">
        <w:rPr>
          <w:rFonts w:ascii="Arial" w:hAnsi="Arial" w:cs="Arial"/>
          <w:sz w:val="20"/>
          <w:szCs w:val="20"/>
        </w:rPr>
        <w:t xml:space="preserve">ED notes that NSR </w:t>
      </w:r>
      <w:r w:rsidR="00183F19" w:rsidRPr="00183F19">
        <w:rPr>
          <w:rFonts w:ascii="Arial" w:hAnsi="Arial" w:cs="Arial"/>
          <w:sz w:val="20"/>
          <w:szCs w:val="20"/>
        </w:rPr>
        <w:t xml:space="preserve">Permit 76474/PSDTX1056 </w:t>
      </w:r>
      <w:r w:rsidR="00183F19">
        <w:rPr>
          <w:rFonts w:ascii="Arial" w:hAnsi="Arial" w:cs="Arial"/>
          <w:sz w:val="20"/>
          <w:szCs w:val="20"/>
        </w:rPr>
        <w:t>issued</w:t>
      </w:r>
      <w:r w:rsidR="00183F19" w:rsidRPr="00183F19">
        <w:rPr>
          <w:rFonts w:ascii="Arial" w:hAnsi="Arial" w:cs="Arial"/>
          <w:sz w:val="20"/>
          <w:szCs w:val="20"/>
        </w:rPr>
        <w:t xml:space="preserve"> September 30, 2022</w:t>
      </w:r>
      <w:r w:rsidR="00183F19">
        <w:rPr>
          <w:rFonts w:ascii="Arial" w:hAnsi="Arial" w:cs="Arial"/>
          <w:sz w:val="20"/>
          <w:szCs w:val="20"/>
        </w:rPr>
        <w:t xml:space="preserve">, </w:t>
      </w:r>
      <w:bookmarkEnd w:id="4"/>
      <w:r w:rsidR="00BD1AFA" w:rsidRPr="00224FF9">
        <w:rPr>
          <w:rFonts w:ascii="Arial" w:hAnsi="Arial" w:cs="Arial"/>
          <w:sz w:val="20"/>
          <w:szCs w:val="20"/>
        </w:rPr>
        <w:t xml:space="preserve">Special Condition No. 35 </w:t>
      </w:r>
      <w:r w:rsidR="007630D4" w:rsidRPr="00224FF9">
        <w:rPr>
          <w:rFonts w:ascii="Arial" w:hAnsi="Arial" w:cs="Arial"/>
          <w:sz w:val="20"/>
          <w:szCs w:val="20"/>
        </w:rPr>
        <w:t xml:space="preserve">was revised </w:t>
      </w:r>
      <w:r w:rsidR="00864B6D">
        <w:rPr>
          <w:rFonts w:ascii="Arial" w:hAnsi="Arial" w:cs="Arial"/>
          <w:sz w:val="20"/>
          <w:szCs w:val="20"/>
        </w:rPr>
        <w:t xml:space="preserve">to remove </w:t>
      </w:r>
      <w:r w:rsidR="00BD1AFA" w:rsidRPr="00224FF9">
        <w:rPr>
          <w:rFonts w:ascii="Arial" w:hAnsi="Arial" w:cs="Arial"/>
          <w:sz w:val="20"/>
          <w:szCs w:val="20"/>
        </w:rPr>
        <w:t xml:space="preserve">the </w:t>
      </w:r>
      <w:r w:rsidR="007C4FCE">
        <w:rPr>
          <w:rFonts w:ascii="Arial" w:hAnsi="Arial" w:cs="Arial"/>
          <w:sz w:val="20"/>
          <w:szCs w:val="20"/>
        </w:rPr>
        <w:t>reference to</w:t>
      </w:r>
      <w:r w:rsidR="00BD1AFA" w:rsidRPr="00224FF9">
        <w:rPr>
          <w:rFonts w:ascii="Arial" w:hAnsi="Arial" w:cs="Arial"/>
          <w:sz w:val="20"/>
          <w:szCs w:val="20"/>
        </w:rPr>
        <w:t xml:space="preserve"> “Compliance with the PM mass emission limit will be considered to demonstrate compliance with the opacity limit”</w:t>
      </w:r>
      <w:r w:rsidR="007630D4" w:rsidRPr="00224FF9">
        <w:rPr>
          <w:rFonts w:ascii="Arial" w:hAnsi="Arial" w:cs="Arial"/>
          <w:sz w:val="20"/>
          <w:szCs w:val="20"/>
        </w:rPr>
        <w:t xml:space="preserve">. </w:t>
      </w:r>
      <w:r w:rsidR="00E30D8E">
        <w:rPr>
          <w:rFonts w:ascii="Arial" w:hAnsi="Arial" w:cs="Arial"/>
          <w:sz w:val="20"/>
          <w:szCs w:val="20"/>
        </w:rPr>
        <w:t xml:space="preserve"> The removal of this statement </w:t>
      </w:r>
      <w:r w:rsidR="007C4FCE">
        <w:rPr>
          <w:rFonts w:ascii="Arial" w:hAnsi="Arial" w:cs="Arial"/>
          <w:sz w:val="20"/>
          <w:szCs w:val="20"/>
        </w:rPr>
        <w:t xml:space="preserve">clarifies relationship between </w:t>
      </w:r>
      <w:r w:rsidR="00F30D71">
        <w:rPr>
          <w:rFonts w:ascii="Arial" w:hAnsi="Arial" w:cs="Arial"/>
          <w:sz w:val="20"/>
          <w:szCs w:val="20"/>
        </w:rPr>
        <w:t>PM and opacity</w:t>
      </w:r>
      <w:r w:rsidR="00E30D8E">
        <w:rPr>
          <w:rFonts w:ascii="Arial" w:hAnsi="Arial" w:cs="Arial"/>
          <w:sz w:val="20"/>
          <w:szCs w:val="20"/>
        </w:rPr>
        <w:t xml:space="preserve">. </w:t>
      </w:r>
      <w:r w:rsidR="00BD1AFA" w:rsidRPr="00224FF9">
        <w:rPr>
          <w:rFonts w:ascii="Arial" w:hAnsi="Arial" w:cs="Arial"/>
          <w:sz w:val="20"/>
          <w:szCs w:val="20"/>
        </w:rPr>
        <w:t>As PM/PM</w:t>
      </w:r>
      <w:r w:rsidR="00BD1AFA" w:rsidRPr="00E30D8E">
        <w:rPr>
          <w:rFonts w:ascii="Arial" w:hAnsi="Arial" w:cs="Arial"/>
          <w:sz w:val="20"/>
          <w:szCs w:val="20"/>
          <w:vertAlign w:val="subscript"/>
        </w:rPr>
        <w:t>10</w:t>
      </w:r>
      <w:r w:rsidR="00BD1AFA" w:rsidRPr="00224FF9">
        <w:rPr>
          <w:rFonts w:ascii="Arial" w:hAnsi="Arial" w:cs="Arial"/>
          <w:sz w:val="20"/>
          <w:szCs w:val="20"/>
        </w:rPr>
        <w:t xml:space="preserve"> CEMS </w:t>
      </w:r>
      <w:r w:rsidR="007C4FCE">
        <w:rPr>
          <w:rFonts w:ascii="Arial" w:hAnsi="Arial" w:cs="Arial"/>
          <w:sz w:val="20"/>
          <w:szCs w:val="20"/>
        </w:rPr>
        <w:t>was</w:t>
      </w:r>
      <w:r w:rsidR="005C193B">
        <w:rPr>
          <w:rFonts w:ascii="Arial" w:hAnsi="Arial" w:cs="Arial"/>
          <w:sz w:val="20"/>
          <w:szCs w:val="20"/>
        </w:rPr>
        <w:t xml:space="preserve"> installed on the units </w:t>
      </w:r>
      <w:r w:rsidR="006643C1">
        <w:rPr>
          <w:rFonts w:ascii="Arial" w:hAnsi="Arial" w:cs="Arial"/>
          <w:sz w:val="20"/>
          <w:szCs w:val="20"/>
        </w:rPr>
        <w:t>which has</w:t>
      </w:r>
      <w:r w:rsidR="004B0019">
        <w:rPr>
          <w:rFonts w:ascii="Arial" w:hAnsi="Arial" w:cs="Arial"/>
          <w:sz w:val="20"/>
          <w:szCs w:val="20"/>
        </w:rPr>
        <w:t xml:space="preserve"> </w:t>
      </w:r>
      <w:r w:rsidR="005C193B">
        <w:rPr>
          <w:rFonts w:ascii="Arial" w:hAnsi="Arial" w:cs="Arial"/>
          <w:sz w:val="20"/>
          <w:szCs w:val="20"/>
        </w:rPr>
        <w:t>p</w:t>
      </w:r>
      <w:r w:rsidR="00BD1AFA" w:rsidRPr="00224FF9">
        <w:rPr>
          <w:rFonts w:ascii="Arial" w:hAnsi="Arial" w:cs="Arial"/>
          <w:sz w:val="20"/>
          <w:szCs w:val="20"/>
        </w:rPr>
        <w:t>rovide</w:t>
      </w:r>
      <w:r w:rsidR="004B0019">
        <w:rPr>
          <w:rFonts w:ascii="Arial" w:hAnsi="Arial" w:cs="Arial"/>
          <w:sz w:val="20"/>
          <w:szCs w:val="20"/>
        </w:rPr>
        <w:t>d</w:t>
      </w:r>
      <w:r w:rsidR="00BD1AFA" w:rsidRPr="00224FF9">
        <w:rPr>
          <w:rFonts w:ascii="Arial" w:hAnsi="Arial" w:cs="Arial"/>
          <w:sz w:val="20"/>
          <w:szCs w:val="20"/>
        </w:rPr>
        <w:t xml:space="preserve"> </w:t>
      </w:r>
      <w:r w:rsidR="00E30D8E">
        <w:rPr>
          <w:rFonts w:ascii="Arial" w:hAnsi="Arial" w:cs="Arial"/>
          <w:sz w:val="20"/>
          <w:szCs w:val="20"/>
        </w:rPr>
        <w:t xml:space="preserve">continuous </w:t>
      </w:r>
      <w:r w:rsidR="00BD1AFA" w:rsidRPr="00224FF9">
        <w:rPr>
          <w:rFonts w:ascii="Arial" w:hAnsi="Arial" w:cs="Arial"/>
          <w:sz w:val="20"/>
          <w:szCs w:val="20"/>
        </w:rPr>
        <w:t>accurate PM/PM</w:t>
      </w:r>
      <w:r w:rsidR="00BD1AFA" w:rsidRPr="00E30D8E">
        <w:rPr>
          <w:rFonts w:ascii="Arial" w:hAnsi="Arial" w:cs="Arial"/>
          <w:sz w:val="20"/>
          <w:szCs w:val="20"/>
          <w:vertAlign w:val="subscript"/>
        </w:rPr>
        <w:t>10</w:t>
      </w:r>
      <w:r w:rsidR="00BD1AFA" w:rsidRPr="00224FF9">
        <w:rPr>
          <w:rFonts w:ascii="Arial" w:hAnsi="Arial" w:cs="Arial"/>
          <w:sz w:val="20"/>
          <w:szCs w:val="20"/>
        </w:rPr>
        <w:t xml:space="preserve"> emission data, opacity</w:t>
      </w:r>
      <w:r w:rsidR="00E30D8E">
        <w:rPr>
          <w:rFonts w:ascii="Arial" w:hAnsi="Arial" w:cs="Arial"/>
          <w:sz w:val="20"/>
          <w:szCs w:val="20"/>
        </w:rPr>
        <w:t xml:space="preserve"> (as an indicator of PM)</w:t>
      </w:r>
      <w:r w:rsidR="00BD1AFA" w:rsidRPr="00224FF9">
        <w:rPr>
          <w:rFonts w:ascii="Arial" w:hAnsi="Arial" w:cs="Arial"/>
          <w:sz w:val="20"/>
          <w:szCs w:val="20"/>
        </w:rPr>
        <w:t xml:space="preserve"> monitoring is no </w:t>
      </w:r>
      <w:r w:rsidR="00E30D8E">
        <w:rPr>
          <w:rFonts w:ascii="Arial" w:hAnsi="Arial" w:cs="Arial"/>
          <w:sz w:val="20"/>
          <w:szCs w:val="20"/>
        </w:rPr>
        <w:t xml:space="preserve">longer needed for </w:t>
      </w:r>
      <w:r w:rsidR="009C77E7">
        <w:rPr>
          <w:rFonts w:ascii="Arial" w:hAnsi="Arial" w:cs="Arial"/>
          <w:sz w:val="20"/>
          <w:szCs w:val="20"/>
        </w:rPr>
        <w:t xml:space="preserve">PM </w:t>
      </w:r>
      <w:r w:rsidR="00E30D8E">
        <w:rPr>
          <w:rFonts w:ascii="Arial" w:hAnsi="Arial" w:cs="Arial"/>
          <w:sz w:val="20"/>
          <w:szCs w:val="20"/>
        </w:rPr>
        <w:t xml:space="preserve">compliance </w:t>
      </w:r>
      <w:r w:rsidR="009C77E7">
        <w:rPr>
          <w:rFonts w:ascii="Arial" w:hAnsi="Arial" w:cs="Arial"/>
          <w:sz w:val="20"/>
          <w:szCs w:val="20"/>
        </w:rPr>
        <w:t xml:space="preserve">demonstration. </w:t>
      </w:r>
      <w:r w:rsidR="00E30D8E">
        <w:rPr>
          <w:rFonts w:ascii="Arial" w:hAnsi="Arial" w:cs="Arial"/>
          <w:sz w:val="20"/>
          <w:szCs w:val="20"/>
        </w:rPr>
        <w:t xml:space="preserve"> </w:t>
      </w:r>
      <w:r w:rsidR="00BD1AFA" w:rsidRPr="00224FF9">
        <w:rPr>
          <w:rFonts w:ascii="Arial" w:hAnsi="Arial" w:cs="Arial"/>
          <w:sz w:val="20"/>
          <w:szCs w:val="20"/>
        </w:rPr>
        <w:t xml:space="preserve">  </w:t>
      </w:r>
    </w:p>
    <w:p w14:paraId="3E13F4DD" w14:textId="77777777" w:rsidR="005C193B" w:rsidRDefault="005C193B" w:rsidP="007E33EE">
      <w:pPr>
        <w:pStyle w:val="Default"/>
        <w:rPr>
          <w:rFonts w:ascii="Arial" w:hAnsi="Arial" w:cs="Arial"/>
          <w:sz w:val="20"/>
          <w:szCs w:val="20"/>
        </w:rPr>
      </w:pPr>
    </w:p>
    <w:p w14:paraId="4E079101" w14:textId="5FA185AC" w:rsidR="005C193B" w:rsidRDefault="005C193B" w:rsidP="007E33EE">
      <w:pPr>
        <w:tabs>
          <w:tab w:val="left" w:pos="-604"/>
          <w:tab w:val="left" w:pos="0"/>
          <w:tab w:val="left" w:pos="576"/>
          <w:tab w:val="left" w:pos="720"/>
          <w:tab w:val="left" w:pos="1440"/>
          <w:tab w:val="left" w:pos="2160"/>
          <w:tab w:val="left" w:pos="2880"/>
          <w:tab w:val="left" w:pos="3600"/>
          <w:tab w:val="left" w:pos="4320"/>
          <w:tab w:val="left" w:pos="5040"/>
        </w:tabs>
        <w:rPr>
          <w:iCs/>
          <w:szCs w:val="22"/>
        </w:rPr>
      </w:pPr>
      <w:r>
        <w:rPr>
          <w:iCs/>
          <w:szCs w:val="22"/>
        </w:rPr>
        <w:t xml:space="preserve">In the past, opacity was regulated as a surrogate for PM emissions because it was much easier and economical to measure opacity (e.g., using COMS) than to directly measure PM emissions. However, after PM CEMS became available, EPA recognized that there is no need to monitor or regulate opacity when PM emissions are monitored using a PM CEMS, and EPA amended 40 CFR Part 60, Subpart Da (NSPS Da), Standards of Performance for Electric Utility Steam Generating Units.  NSPS Da, as amended, specifies that steam electric generating units that utilize a PM CEMS to demonstrate </w:t>
      </w:r>
      <w:r>
        <w:rPr>
          <w:iCs/>
          <w:szCs w:val="22"/>
        </w:rPr>
        <w:lastRenderedPageBreak/>
        <w:t xml:space="preserve">compliance are not required to utilize COMS. </w:t>
      </w:r>
      <w:r w:rsidR="009C77E7">
        <w:rPr>
          <w:iCs/>
          <w:szCs w:val="22"/>
        </w:rPr>
        <w:t xml:space="preserve">On the other hand, </w:t>
      </w:r>
      <w:r w:rsidR="00BA531E">
        <w:rPr>
          <w:iCs/>
          <w:szCs w:val="22"/>
        </w:rPr>
        <w:t xml:space="preserve">the site </w:t>
      </w:r>
      <w:r w:rsidR="00E30D8E">
        <w:rPr>
          <w:iCs/>
          <w:szCs w:val="22"/>
        </w:rPr>
        <w:t xml:space="preserve">and the </w:t>
      </w:r>
      <w:r w:rsidR="00BA531E">
        <w:rPr>
          <w:iCs/>
          <w:szCs w:val="22"/>
        </w:rPr>
        <w:t>PC Boilers are</w:t>
      </w:r>
      <w:r w:rsidR="009C77E7">
        <w:rPr>
          <w:iCs/>
          <w:szCs w:val="22"/>
        </w:rPr>
        <w:t xml:space="preserve"> still</w:t>
      </w:r>
      <w:r w:rsidR="00BA531E">
        <w:rPr>
          <w:iCs/>
          <w:szCs w:val="22"/>
        </w:rPr>
        <w:t xml:space="preserve"> subject to opacity limitation per certain rules</w:t>
      </w:r>
      <w:r w:rsidR="00E30D8E">
        <w:rPr>
          <w:iCs/>
          <w:szCs w:val="22"/>
        </w:rPr>
        <w:t xml:space="preserve"> in addition to the </w:t>
      </w:r>
      <w:r w:rsidR="00BA531E">
        <w:rPr>
          <w:iCs/>
          <w:szCs w:val="22"/>
        </w:rPr>
        <w:t xml:space="preserve">PM </w:t>
      </w:r>
      <w:r w:rsidR="00E30D8E">
        <w:rPr>
          <w:iCs/>
          <w:szCs w:val="22"/>
        </w:rPr>
        <w:t xml:space="preserve">applicability. </w:t>
      </w:r>
    </w:p>
    <w:p w14:paraId="67FBFC58" w14:textId="77777777" w:rsidR="005C193B" w:rsidRDefault="005C193B" w:rsidP="007E33EE">
      <w:pPr>
        <w:pStyle w:val="Default"/>
        <w:rPr>
          <w:iCs/>
          <w:szCs w:val="22"/>
        </w:rPr>
      </w:pPr>
    </w:p>
    <w:p w14:paraId="4B59BFA3" w14:textId="6C551E0D" w:rsidR="00BA531E" w:rsidRDefault="00E30D8E" w:rsidP="007E33EE">
      <w:pPr>
        <w:pStyle w:val="Default"/>
        <w:rPr>
          <w:rFonts w:ascii="Arial" w:hAnsi="Arial" w:cs="Arial"/>
          <w:sz w:val="20"/>
          <w:szCs w:val="20"/>
        </w:rPr>
      </w:pPr>
      <w:r>
        <w:rPr>
          <w:rFonts w:ascii="Arial" w:hAnsi="Arial" w:cs="Arial"/>
          <w:sz w:val="20"/>
          <w:szCs w:val="20"/>
        </w:rPr>
        <w:t xml:space="preserve">Therefore, PM and opacity are both regulated in the NSR permit. </w:t>
      </w:r>
      <w:r w:rsidR="00BA531E" w:rsidRPr="00224FF9">
        <w:rPr>
          <w:rFonts w:ascii="Arial" w:hAnsi="Arial" w:cs="Arial"/>
          <w:sz w:val="20"/>
          <w:szCs w:val="20"/>
        </w:rPr>
        <w:t xml:space="preserve">Per </w:t>
      </w:r>
      <w:r w:rsidR="00BA531E">
        <w:rPr>
          <w:rFonts w:ascii="Arial" w:hAnsi="Arial" w:cs="Arial"/>
          <w:sz w:val="20"/>
          <w:szCs w:val="20"/>
        </w:rPr>
        <w:t xml:space="preserve">NSR Permit </w:t>
      </w:r>
      <w:r w:rsidR="00BA531E" w:rsidRPr="00224FF9">
        <w:rPr>
          <w:rFonts w:ascii="Arial" w:hAnsi="Arial" w:cs="Arial"/>
          <w:sz w:val="20"/>
          <w:szCs w:val="20"/>
        </w:rPr>
        <w:t xml:space="preserve">Condition No. 35C, PM CEMS data shall be reduced to hourly average </w:t>
      </w:r>
      <w:r w:rsidR="00B1263D">
        <w:rPr>
          <w:rFonts w:ascii="Arial" w:hAnsi="Arial" w:cs="Arial"/>
          <w:sz w:val="20"/>
          <w:szCs w:val="20"/>
        </w:rPr>
        <w:t xml:space="preserve">and be recorded </w:t>
      </w:r>
      <w:r w:rsidR="00BA531E" w:rsidRPr="00224FF9">
        <w:rPr>
          <w:rFonts w:ascii="Arial" w:hAnsi="Arial" w:cs="Arial"/>
          <w:sz w:val="20"/>
          <w:szCs w:val="20"/>
        </w:rPr>
        <w:t xml:space="preserve">in units of </w:t>
      </w:r>
      <w:proofErr w:type="spellStart"/>
      <w:r w:rsidR="00BA531E" w:rsidRPr="00224FF9">
        <w:rPr>
          <w:rFonts w:ascii="Arial" w:hAnsi="Arial" w:cs="Arial"/>
          <w:sz w:val="20"/>
          <w:szCs w:val="20"/>
        </w:rPr>
        <w:t>lb</w:t>
      </w:r>
      <w:proofErr w:type="spellEnd"/>
      <w:r w:rsidR="00BA531E" w:rsidRPr="00224FF9">
        <w:rPr>
          <w:rFonts w:ascii="Arial" w:hAnsi="Arial" w:cs="Arial"/>
          <w:sz w:val="20"/>
          <w:szCs w:val="20"/>
        </w:rPr>
        <w:t xml:space="preserve">/MMBtu and </w:t>
      </w:r>
      <w:proofErr w:type="spellStart"/>
      <w:r w:rsidR="00BA531E" w:rsidRPr="00224FF9">
        <w:rPr>
          <w:rFonts w:ascii="Arial" w:hAnsi="Arial" w:cs="Arial"/>
          <w:sz w:val="20"/>
          <w:szCs w:val="20"/>
        </w:rPr>
        <w:t>lb</w:t>
      </w:r>
      <w:proofErr w:type="spellEnd"/>
      <w:r w:rsidR="00BA531E" w:rsidRPr="00224FF9">
        <w:rPr>
          <w:rFonts w:ascii="Arial" w:hAnsi="Arial" w:cs="Arial"/>
          <w:sz w:val="20"/>
          <w:szCs w:val="20"/>
        </w:rPr>
        <w:t>/</w:t>
      </w:r>
      <w:proofErr w:type="spellStart"/>
      <w:r w:rsidR="00BA531E" w:rsidRPr="00224FF9">
        <w:rPr>
          <w:rFonts w:ascii="Arial" w:hAnsi="Arial" w:cs="Arial"/>
          <w:sz w:val="20"/>
          <w:szCs w:val="20"/>
        </w:rPr>
        <w:t>hr</w:t>
      </w:r>
      <w:proofErr w:type="spellEnd"/>
      <w:r w:rsidR="00BA531E" w:rsidRPr="00224FF9">
        <w:rPr>
          <w:rFonts w:ascii="Arial" w:hAnsi="Arial" w:cs="Arial"/>
          <w:sz w:val="20"/>
          <w:szCs w:val="20"/>
        </w:rPr>
        <w:t xml:space="preserve"> at least daily. The Condition No. 11 requires 3-hour avenging period of </w:t>
      </w:r>
      <w:r w:rsidR="00B1263D">
        <w:rPr>
          <w:rFonts w:ascii="Arial" w:hAnsi="Arial" w:cs="Arial"/>
          <w:sz w:val="20"/>
          <w:szCs w:val="20"/>
        </w:rPr>
        <w:t>PM/PM</w:t>
      </w:r>
      <w:r w:rsidR="00B1263D" w:rsidRPr="00B1263D">
        <w:rPr>
          <w:rFonts w:ascii="Arial" w:hAnsi="Arial" w:cs="Arial"/>
          <w:sz w:val="20"/>
          <w:szCs w:val="20"/>
          <w:vertAlign w:val="subscript"/>
        </w:rPr>
        <w:t>10</w:t>
      </w:r>
      <w:r w:rsidR="00BA531E" w:rsidRPr="00224FF9">
        <w:rPr>
          <w:rFonts w:ascii="Arial" w:hAnsi="Arial" w:cs="Arial"/>
          <w:sz w:val="20"/>
          <w:szCs w:val="20"/>
        </w:rPr>
        <w:t xml:space="preserve"> no greater than 0.015 </w:t>
      </w:r>
      <w:proofErr w:type="spellStart"/>
      <w:r w:rsidR="00BA531E" w:rsidRPr="00224FF9">
        <w:rPr>
          <w:rFonts w:ascii="Arial" w:hAnsi="Arial" w:cs="Arial"/>
          <w:sz w:val="20"/>
          <w:szCs w:val="20"/>
        </w:rPr>
        <w:t>lb</w:t>
      </w:r>
      <w:proofErr w:type="spellEnd"/>
      <w:r w:rsidR="00BA531E" w:rsidRPr="00224FF9">
        <w:rPr>
          <w:rFonts w:ascii="Arial" w:hAnsi="Arial" w:cs="Arial"/>
          <w:sz w:val="20"/>
          <w:szCs w:val="20"/>
        </w:rPr>
        <w:t>/</w:t>
      </w:r>
      <w:proofErr w:type="spellStart"/>
      <w:r w:rsidR="00BA531E" w:rsidRPr="00224FF9">
        <w:rPr>
          <w:rFonts w:ascii="Arial" w:hAnsi="Arial" w:cs="Arial"/>
          <w:sz w:val="20"/>
          <w:szCs w:val="20"/>
        </w:rPr>
        <w:t>hr</w:t>
      </w:r>
      <w:proofErr w:type="spellEnd"/>
      <w:r w:rsidR="00BA531E" w:rsidRPr="00224FF9">
        <w:rPr>
          <w:rFonts w:ascii="Arial" w:hAnsi="Arial" w:cs="Arial"/>
          <w:sz w:val="20"/>
          <w:szCs w:val="20"/>
        </w:rPr>
        <w:t xml:space="preserve">, which </w:t>
      </w:r>
      <w:r w:rsidR="00BA531E">
        <w:rPr>
          <w:rFonts w:ascii="Arial" w:hAnsi="Arial" w:cs="Arial"/>
          <w:sz w:val="20"/>
          <w:szCs w:val="20"/>
        </w:rPr>
        <w:t>was evaluated</w:t>
      </w:r>
      <w:r w:rsidR="009C77E7">
        <w:rPr>
          <w:rFonts w:ascii="Arial" w:hAnsi="Arial" w:cs="Arial"/>
          <w:sz w:val="20"/>
          <w:szCs w:val="20"/>
        </w:rPr>
        <w:t xml:space="preserve"> and authorized </w:t>
      </w:r>
      <w:r w:rsidR="00BA531E">
        <w:rPr>
          <w:rFonts w:ascii="Arial" w:hAnsi="Arial" w:cs="Arial"/>
          <w:sz w:val="20"/>
          <w:szCs w:val="20"/>
        </w:rPr>
        <w:t>via Tie</w:t>
      </w:r>
      <w:r w:rsidR="007E33EE">
        <w:rPr>
          <w:rFonts w:ascii="Arial" w:hAnsi="Arial" w:cs="Arial"/>
          <w:sz w:val="20"/>
          <w:szCs w:val="20"/>
        </w:rPr>
        <w:t>r</w:t>
      </w:r>
      <w:r w:rsidR="00BA531E">
        <w:rPr>
          <w:rFonts w:ascii="Arial" w:hAnsi="Arial" w:cs="Arial"/>
          <w:sz w:val="20"/>
          <w:szCs w:val="20"/>
        </w:rPr>
        <w:t xml:space="preserve"> 2 BACT analysis </w:t>
      </w:r>
      <w:r w:rsidR="0078426F">
        <w:rPr>
          <w:rFonts w:ascii="Arial" w:hAnsi="Arial" w:cs="Arial"/>
          <w:sz w:val="20"/>
          <w:szCs w:val="20"/>
        </w:rPr>
        <w:t xml:space="preserve">during the initial application review in </w:t>
      </w:r>
      <w:r w:rsidR="00BA531E">
        <w:rPr>
          <w:rFonts w:ascii="Arial" w:hAnsi="Arial" w:cs="Arial"/>
          <w:sz w:val="20"/>
          <w:szCs w:val="20"/>
        </w:rPr>
        <w:t xml:space="preserve">2007. </w:t>
      </w:r>
      <w:r w:rsidR="0078426F">
        <w:rPr>
          <w:rFonts w:ascii="Arial" w:hAnsi="Arial" w:cs="Arial"/>
          <w:sz w:val="20"/>
          <w:szCs w:val="20"/>
        </w:rPr>
        <w:t xml:space="preserve">The 3-hour averaging period is consistent with </w:t>
      </w:r>
      <w:r w:rsidR="00B1263D">
        <w:rPr>
          <w:rFonts w:ascii="Arial" w:hAnsi="Arial" w:cs="Arial"/>
          <w:sz w:val="20"/>
          <w:szCs w:val="20"/>
        </w:rPr>
        <w:t xml:space="preserve">reduced </w:t>
      </w:r>
      <w:r w:rsidR="0078426F">
        <w:rPr>
          <w:rFonts w:ascii="Arial" w:hAnsi="Arial" w:cs="Arial"/>
          <w:sz w:val="20"/>
          <w:szCs w:val="20"/>
        </w:rPr>
        <w:t xml:space="preserve">hourly average CEMS data. </w:t>
      </w:r>
    </w:p>
    <w:p w14:paraId="4C133313" w14:textId="77777777" w:rsidR="005C193B" w:rsidRDefault="005C193B" w:rsidP="007E33EE">
      <w:pPr>
        <w:pStyle w:val="Default"/>
        <w:rPr>
          <w:rFonts w:ascii="Arial" w:hAnsi="Arial" w:cs="Arial"/>
          <w:sz w:val="20"/>
          <w:szCs w:val="20"/>
        </w:rPr>
      </w:pPr>
    </w:p>
    <w:p w14:paraId="5F4D8999" w14:textId="29DCAF05" w:rsidR="00395BB0" w:rsidRPr="00224FF9" w:rsidRDefault="00B1263D" w:rsidP="007E33EE">
      <w:pPr>
        <w:pStyle w:val="Default"/>
        <w:rPr>
          <w:rFonts w:ascii="Arial" w:hAnsi="Arial" w:cs="Arial"/>
          <w:sz w:val="20"/>
          <w:szCs w:val="20"/>
        </w:rPr>
      </w:pPr>
      <w:r>
        <w:rPr>
          <w:rFonts w:ascii="Arial" w:hAnsi="Arial" w:cs="Arial"/>
          <w:sz w:val="20"/>
          <w:szCs w:val="20"/>
        </w:rPr>
        <w:t xml:space="preserve">Regarding to the opacity, </w:t>
      </w:r>
      <w:r w:rsidR="0078426F" w:rsidRPr="00224FF9">
        <w:rPr>
          <w:rFonts w:ascii="Arial" w:hAnsi="Arial" w:cs="Arial"/>
          <w:sz w:val="20"/>
          <w:szCs w:val="20"/>
        </w:rPr>
        <w:t xml:space="preserve">NSR permit Special Condition No. 10 states “Opacity of emissions from EPNs: E-OGU1 and E-OGU2 must not exceed 10 percent, averaged over a six-minute period ….”. </w:t>
      </w:r>
      <w:r w:rsidR="00B66291" w:rsidRPr="00224FF9">
        <w:rPr>
          <w:rFonts w:ascii="Arial" w:hAnsi="Arial" w:cs="Arial"/>
          <w:sz w:val="20"/>
          <w:szCs w:val="20"/>
        </w:rPr>
        <w:t>The 10% opacity limitation was determined</w:t>
      </w:r>
      <w:r w:rsidR="0078426F">
        <w:rPr>
          <w:rFonts w:ascii="Arial" w:hAnsi="Arial" w:cs="Arial"/>
          <w:sz w:val="20"/>
          <w:szCs w:val="20"/>
        </w:rPr>
        <w:t xml:space="preserve"> in the NSR initial application review </w:t>
      </w:r>
      <w:r w:rsidR="00FD5D07">
        <w:rPr>
          <w:rFonts w:ascii="Arial" w:hAnsi="Arial" w:cs="Arial"/>
          <w:sz w:val="20"/>
          <w:szCs w:val="20"/>
        </w:rPr>
        <w:t xml:space="preserve">dated June 21, </w:t>
      </w:r>
      <w:r w:rsidR="00B66291" w:rsidRPr="00224FF9">
        <w:rPr>
          <w:rFonts w:ascii="Arial" w:hAnsi="Arial" w:cs="Arial"/>
          <w:sz w:val="20"/>
          <w:szCs w:val="20"/>
        </w:rPr>
        <w:t>2007</w:t>
      </w:r>
      <w:r w:rsidR="00FD5D07">
        <w:rPr>
          <w:rFonts w:ascii="Arial" w:hAnsi="Arial" w:cs="Arial"/>
          <w:sz w:val="20"/>
          <w:szCs w:val="20"/>
        </w:rPr>
        <w:t>,</w:t>
      </w:r>
      <w:r w:rsidR="00B66291" w:rsidRPr="00224FF9">
        <w:rPr>
          <w:rFonts w:ascii="Arial" w:hAnsi="Arial" w:cs="Arial"/>
          <w:sz w:val="20"/>
          <w:szCs w:val="20"/>
        </w:rPr>
        <w:t xml:space="preserve"> based on case-by-case </w:t>
      </w:r>
      <w:r>
        <w:rPr>
          <w:rFonts w:ascii="Arial" w:hAnsi="Arial" w:cs="Arial"/>
          <w:sz w:val="20"/>
          <w:szCs w:val="20"/>
        </w:rPr>
        <w:t xml:space="preserve">BACT </w:t>
      </w:r>
      <w:r w:rsidR="00B66291" w:rsidRPr="00224FF9">
        <w:rPr>
          <w:rFonts w:ascii="Arial" w:hAnsi="Arial" w:cs="Arial"/>
          <w:sz w:val="20"/>
          <w:szCs w:val="20"/>
        </w:rPr>
        <w:t xml:space="preserve">review. The 10% opacity </w:t>
      </w:r>
      <w:r w:rsidR="0078426F">
        <w:rPr>
          <w:rFonts w:ascii="Arial" w:hAnsi="Arial" w:cs="Arial"/>
          <w:sz w:val="20"/>
          <w:szCs w:val="20"/>
        </w:rPr>
        <w:t xml:space="preserve">limitation </w:t>
      </w:r>
      <w:r w:rsidR="00B66291" w:rsidRPr="00224FF9">
        <w:rPr>
          <w:rFonts w:ascii="Arial" w:hAnsi="Arial" w:cs="Arial"/>
          <w:sz w:val="20"/>
          <w:szCs w:val="20"/>
        </w:rPr>
        <w:t xml:space="preserve">was carried over to </w:t>
      </w:r>
      <w:r w:rsidR="007E33EE">
        <w:rPr>
          <w:rFonts w:ascii="Arial" w:hAnsi="Arial" w:cs="Arial"/>
          <w:sz w:val="20"/>
          <w:szCs w:val="20"/>
        </w:rPr>
        <w:t xml:space="preserve">the </w:t>
      </w:r>
      <w:r w:rsidR="00B66291" w:rsidRPr="00224FF9">
        <w:rPr>
          <w:rFonts w:ascii="Arial" w:hAnsi="Arial" w:cs="Arial"/>
          <w:sz w:val="20"/>
          <w:szCs w:val="20"/>
        </w:rPr>
        <w:t>current</w:t>
      </w:r>
      <w:r w:rsidR="00FD5D07">
        <w:rPr>
          <w:rFonts w:ascii="Arial" w:hAnsi="Arial" w:cs="Arial"/>
          <w:sz w:val="20"/>
          <w:szCs w:val="20"/>
        </w:rPr>
        <w:t xml:space="preserve"> permit</w:t>
      </w:r>
      <w:r w:rsidR="00B66291" w:rsidRPr="00224FF9">
        <w:rPr>
          <w:rFonts w:ascii="Arial" w:hAnsi="Arial" w:cs="Arial"/>
          <w:sz w:val="20"/>
          <w:szCs w:val="20"/>
        </w:rPr>
        <w:t xml:space="preserve">. </w:t>
      </w:r>
      <w:r w:rsidR="007E33EE">
        <w:rPr>
          <w:rFonts w:ascii="Arial" w:hAnsi="Arial" w:cs="Arial"/>
          <w:sz w:val="20"/>
          <w:szCs w:val="20"/>
        </w:rPr>
        <w:t xml:space="preserve">The </w:t>
      </w:r>
      <w:r w:rsidR="00F47FC1">
        <w:rPr>
          <w:rFonts w:ascii="Arial" w:hAnsi="Arial" w:cs="Arial"/>
          <w:sz w:val="20"/>
          <w:szCs w:val="20"/>
        </w:rPr>
        <w:t xml:space="preserve">NSR </w:t>
      </w:r>
      <w:r w:rsidR="007E33EE">
        <w:rPr>
          <w:rFonts w:ascii="Arial" w:hAnsi="Arial" w:cs="Arial"/>
          <w:sz w:val="20"/>
          <w:szCs w:val="20"/>
        </w:rPr>
        <w:t xml:space="preserve">opacity </w:t>
      </w:r>
      <w:r>
        <w:rPr>
          <w:rFonts w:ascii="Arial" w:hAnsi="Arial" w:cs="Arial"/>
          <w:sz w:val="20"/>
          <w:szCs w:val="20"/>
        </w:rPr>
        <w:t xml:space="preserve">limit could </w:t>
      </w:r>
      <w:r w:rsidR="0078426F">
        <w:rPr>
          <w:rFonts w:ascii="Arial" w:hAnsi="Arial" w:cs="Arial"/>
          <w:sz w:val="20"/>
          <w:szCs w:val="20"/>
        </w:rPr>
        <w:t xml:space="preserve">be more stringent than federal </w:t>
      </w:r>
      <w:r w:rsidR="007E33EE">
        <w:rPr>
          <w:rFonts w:ascii="Arial" w:hAnsi="Arial" w:cs="Arial"/>
          <w:sz w:val="20"/>
          <w:szCs w:val="20"/>
        </w:rPr>
        <w:t>and state rule requirements (greater than 10% as mentioned below)</w:t>
      </w:r>
      <w:r w:rsidR="0078426F">
        <w:rPr>
          <w:rFonts w:ascii="Arial" w:hAnsi="Arial" w:cs="Arial"/>
          <w:sz w:val="20"/>
          <w:szCs w:val="20"/>
        </w:rPr>
        <w:t xml:space="preserve">. </w:t>
      </w:r>
      <w:r w:rsidR="00F47FC1">
        <w:rPr>
          <w:rFonts w:ascii="Arial" w:hAnsi="Arial" w:cs="Arial"/>
          <w:sz w:val="20"/>
          <w:szCs w:val="20"/>
        </w:rPr>
        <w:t xml:space="preserve">The six minutes period is from </w:t>
      </w:r>
      <w:r w:rsidR="00B66291" w:rsidRPr="00224FF9">
        <w:rPr>
          <w:rFonts w:ascii="Arial" w:hAnsi="Arial" w:cs="Arial"/>
          <w:sz w:val="20"/>
          <w:szCs w:val="20"/>
        </w:rPr>
        <w:t>any 60 consecutive minutes</w:t>
      </w:r>
      <w:r w:rsidR="009C77E7">
        <w:rPr>
          <w:rFonts w:ascii="Arial" w:hAnsi="Arial" w:cs="Arial"/>
          <w:sz w:val="20"/>
          <w:szCs w:val="20"/>
        </w:rPr>
        <w:t xml:space="preserve"> </w:t>
      </w:r>
      <w:r w:rsidR="00B66291" w:rsidRPr="00224FF9">
        <w:rPr>
          <w:rFonts w:ascii="Arial" w:hAnsi="Arial" w:cs="Arial"/>
          <w:sz w:val="20"/>
          <w:szCs w:val="20"/>
        </w:rPr>
        <w:t xml:space="preserve">in any 10-day period, </w:t>
      </w:r>
      <w:r w:rsidR="00F47FC1">
        <w:rPr>
          <w:rFonts w:ascii="Arial" w:hAnsi="Arial" w:cs="Arial"/>
          <w:sz w:val="20"/>
          <w:szCs w:val="20"/>
        </w:rPr>
        <w:t>p</w:t>
      </w:r>
      <w:r w:rsidR="00B66291" w:rsidRPr="00224FF9">
        <w:rPr>
          <w:rFonts w:ascii="Arial" w:hAnsi="Arial" w:cs="Arial"/>
          <w:sz w:val="20"/>
          <w:szCs w:val="20"/>
        </w:rPr>
        <w:t xml:space="preserve">er </w:t>
      </w:r>
      <w:r w:rsidR="00F47FC1">
        <w:rPr>
          <w:rFonts w:ascii="Arial" w:hAnsi="Arial" w:cs="Arial"/>
          <w:sz w:val="20"/>
          <w:szCs w:val="20"/>
        </w:rPr>
        <w:t>30 TAC 111.111.</w:t>
      </w:r>
    </w:p>
    <w:p w14:paraId="2AEE1823" w14:textId="77777777" w:rsidR="00395BB0" w:rsidRPr="00224FF9" w:rsidRDefault="00395BB0" w:rsidP="007E33EE">
      <w:pPr>
        <w:pStyle w:val="Default"/>
        <w:rPr>
          <w:rFonts w:ascii="Arial" w:hAnsi="Arial" w:cs="Arial"/>
          <w:sz w:val="20"/>
          <w:szCs w:val="20"/>
        </w:rPr>
      </w:pPr>
    </w:p>
    <w:p w14:paraId="038C298B" w14:textId="2EB3DDB5" w:rsidR="000F23FB" w:rsidRDefault="000F23FB" w:rsidP="007E33EE">
      <w:pPr>
        <w:pStyle w:val="Default"/>
        <w:rPr>
          <w:rFonts w:ascii="Arial" w:hAnsi="Arial" w:cs="Arial"/>
          <w:sz w:val="20"/>
          <w:szCs w:val="20"/>
        </w:rPr>
      </w:pPr>
      <w:r>
        <w:rPr>
          <w:rFonts w:ascii="Arial" w:hAnsi="Arial" w:cs="Arial"/>
          <w:sz w:val="20"/>
          <w:szCs w:val="20"/>
        </w:rPr>
        <w:t xml:space="preserve">In </w:t>
      </w:r>
      <w:r w:rsidR="00B1263D">
        <w:rPr>
          <w:rFonts w:ascii="Arial" w:hAnsi="Arial" w:cs="Arial"/>
          <w:sz w:val="20"/>
          <w:szCs w:val="20"/>
        </w:rPr>
        <w:t xml:space="preserve">title V permit </w:t>
      </w:r>
      <w:r>
        <w:rPr>
          <w:rFonts w:ascii="Arial" w:hAnsi="Arial" w:cs="Arial"/>
          <w:sz w:val="20"/>
          <w:szCs w:val="20"/>
        </w:rPr>
        <w:t xml:space="preserve">O2942, the PC Boilers are subject to </w:t>
      </w:r>
      <w:r w:rsidR="00395BB0" w:rsidRPr="00224FF9">
        <w:rPr>
          <w:rFonts w:ascii="Arial" w:hAnsi="Arial" w:cs="Arial"/>
          <w:sz w:val="20"/>
          <w:szCs w:val="20"/>
        </w:rPr>
        <w:t>federal rules 40 CFR Part 60 Subpart Da, main standard 60.42Da(b)</w:t>
      </w:r>
      <w:r>
        <w:rPr>
          <w:rFonts w:ascii="Arial" w:hAnsi="Arial" w:cs="Arial"/>
          <w:sz w:val="20"/>
          <w:szCs w:val="20"/>
        </w:rPr>
        <w:t>, which</w:t>
      </w:r>
      <w:r w:rsidR="00395BB0" w:rsidRPr="00224FF9">
        <w:rPr>
          <w:rFonts w:ascii="Arial" w:hAnsi="Arial" w:cs="Arial"/>
          <w:sz w:val="20"/>
          <w:szCs w:val="20"/>
        </w:rPr>
        <w:t xml:space="preserve"> requires the boilers discharge any gases exhibiting greater than 20% </w:t>
      </w:r>
      <w:r w:rsidR="007E33EE">
        <w:rPr>
          <w:rFonts w:ascii="Arial" w:hAnsi="Arial" w:cs="Arial"/>
          <w:sz w:val="20"/>
          <w:szCs w:val="20"/>
        </w:rPr>
        <w:t xml:space="preserve">or </w:t>
      </w:r>
      <w:r w:rsidR="00395BB0" w:rsidRPr="00224FF9">
        <w:rPr>
          <w:rFonts w:ascii="Arial" w:hAnsi="Arial" w:cs="Arial"/>
          <w:sz w:val="20"/>
          <w:szCs w:val="20"/>
        </w:rPr>
        <w:t xml:space="preserve">27% opacity. </w:t>
      </w:r>
      <w:r>
        <w:rPr>
          <w:rFonts w:ascii="Arial" w:hAnsi="Arial" w:cs="Arial"/>
          <w:sz w:val="20"/>
          <w:szCs w:val="20"/>
        </w:rPr>
        <w:t>Moreover, t</w:t>
      </w:r>
      <w:r w:rsidR="00395BB0" w:rsidRPr="00224FF9">
        <w:rPr>
          <w:rFonts w:ascii="Arial" w:hAnsi="Arial" w:cs="Arial"/>
          <w:sz w:val="20"/>
          <w:szCs w:val="20"/>
        </w:rPr>
        <w:t xml:space="preserve">he state rule of 30 TAC Chapter 111, Visible emissions main standard 111.111(a)(1)(C) requires boiler vents shall not exceed an opacity of 15% average over a six-minute period. </w:t>
      </w:r>
    </w:p>
    <w:p w14:paraId="454D3016" w14:textId="77777777" w:rsidR="00B1263D" w:rsidRDefault="00B1263D" w:rsidP="007E33EE">
      <w:pPr>
        <w:pStyle w:val="Default"/>
        <w:rPr>
          <w:rFonts w:ascii="Arial" w:hAnsi="Arial" w:cs="Arial"/>
          <w:sz w:val="20"/>
          <w:szCs w:val="20"/>
        </w:rPr>
      </w:pPr>
    </w:p>
    <w:p w14:paraId="71B5CC59" w14:textId="630B840D" w:rsidR="002A6339" w:rsidRDefault="000F23FB" w:rsidP="007E33EE">
      <w:pPr>
        <w:pStyle w:val="Default"/>
        <w:rPr>
          <w:rFonts w:ascii="Arial" w:hAnsi="Arial" w:cs="Arial"/>
          <w:sz w:val="20"/>
          <w:szCs w:val="20"/>
        </w:rPr>
      </w:pPr>
      <w:r>
        <w:rPr>
          <w:rFonts w:ascii="Arial" w:hAnsi="Arial" w:cs="Arial"/>
          <w:sz w:val="20"/>
          <w:szCs w:val="20"/>
        </w:rPr>
        <w:t xml:space="preserve">For the pollutant PM, the PC Boilers are subject to federal rule 40 CFR Part 63, Subpart UUU, main standard </w:t>
      </w:r>
      <w:r w:rsidRPr="000F23FB">
        <w:rPr>
          <w:rFonts w:ascii="Arial" w:hAnsi="Arial" w:cs="Arial"/>
          <w:sz w:val="20"/>
          <w:szCs w:val="20"/>
        </w:rPr>
        <w:t>63.9991(a)(1)-Table 2.2.</w:t>
      </w:r>
      <w:r>
        <w:rPr>
          <w:rFonts w:ascii="Arial" w:hAnsi="Arial" w:cs="Arial"/>
          <w:sz w:val="20"/>
          <w:szCs w:val="20"/>
        </w:rPr>
        <w:t xml:space="preserve">, which requires filterable PM limit of 0.03 </w:t>
      </w:r>
      <w:proofErr w:type="spellStart"/>
      <w:r>
        <w:rPr>
          <w:rFonts w:ascii="Arial" w:hAnsi="Arial" w:cs="Arial"/>
          <w:sz w:val="20"/>
          <w:szCs w:val="20"/>
        </w:rPr>
        <w:t>lb</w:t>
      </w:r>
      <w:proofErr w:type="spellEnd"/>
      <w:r>
        <w:rPr>
          <w:rFonts w:ascii="Arial" w:hAnsi="Arial" w:cs="Arial"/>
          <w:sz w:val="20"/>
          <w:szCs w:val="20"/>
        </w:rPr>
        <w:t xml:space="preserve">/MMBtu or 0.3lb/MWh. The boilers are also subject to 40 CFR Part 60, Subpart Da, main standard </w:t>
      </w:r>
      <w:r w:rsidRPr="00F30D71">
        <w:rPr>
          <w:rFonts w:ascii="Arial" w:hAnsi="Arial" w:cs="Arial"/>
          <w:sz w:val="20"/>
          <w:szCs w:val="20"/>
        </w:rPr>
        <w:t xml:space="preserve">60.42Da(c)(2) requires the boiler </w:t>
      </w:r>
      <w:r w:rsidR="00F30D71" w:rsidRPr="00F30D71">
        <w:rPr>
          <w:rFonts w:ascii="Arial" w:hAnsi="Arial" w:cs="Arial"/>
          <w:sz w:val="20"/>
          <w:szCs w:val="20"/>
        </w:rPr>
        <w:t xml:space="preserve">discharge less than </w:t>
      </w:r>
      <w:r w:rsidRPr="00F30D71">
        <w:rPr>
          <w:rFonts w:ascii="Arial" w:hAnsi="Arial" w:cs="Arial"/>
          <w:sz w:val="20"/>
          <w:szCs w:val="20"/>
        </w:rPr>
        <w:t xml:space="preserve">0.015 </w:t>
      </w:r>
      <w:proofErr w:type="spellStart"/>
      <w:r w:rsidRPr="00F30D71">
        <w:rPr>
          <w:rFonts w:ascii="Arial" w:hAnsi="Arial" w:cs="Arial"/>
          <w:sz w:val="20"/>
          <w:szCs w:val="20"/>
        </w:rPr>
        <w:t>lb</w:t>
      </w:r>
      <w:proofErr w:type="spellEnd"/>
      <w:r w:rsidRPr="00F30D71">
        <w:rPr>
          <w:rFonts w:ascii="Arial" w:hAnsi="Arial" w:cs="Arial"/>
          <w:sz w:val="20"/>
          <w:szCs w:val="20"/>
        </w:rPr>
        <w:t>/MMBtu</w:t>
      </w:r>
      <w:r w:rsidR="00F30D71" w:rsidRPr="00F30D71">
        <w:rPr>
          <w:rFonts w:ascii="Arial" w:hAnsi="Arial" w:cs="Arial"/>
          <w:sz w:val="20"/>
          <w:szCs w:val="20"/>
        </w:rPr>
        <w:t xml:space="preserve"> PM.</w:t>
      </w:r>
      <w:r w:rsidR="00F30D71">
        <w:rPr>
          <w:rFonts w:ascii="Arial" w:hAnsi="Arial" w:cs="Arial"/>
          <w:sz w:val="20"/>
          <w:szCs w:val="20"/>
        </w:rPr>
        <w:t xml:space="preserve"> </w:t>
      </w:r>
      <w:r w:rsidR="008E1BEF">
        <w:rPr>
          <w:rFonts w:ascii="Arial" w:hAnsi="Arial" w:cs="Arial"/>
          <w:sz w:val="20"/>
          <w:szCs w:val="20"/>
        </w:rPr>
        <w:t>Moreover, t</w:t>
      </w:r>
      <w:r w:rsidR="002A6339">
        <w:rPr>
          <w:rFonts w:ascii="Arial" w:hAnsi="Arial" w:cs="Arial"/>
          <w:sz w:val="20"/>
          <w:szCs w:val="20"/>
        </w:rPr>
        <w:t>he boilers are subject to 30 TAC Non</w:t>
      </w:r>
      <w:r w:rsidR="00E85652">
        <w:rPr>
          <w:rFonts w:ascii="Arial" w:hAnsi="Arial" w:cs="Arial"/>
          <w:sz w:val="20"/>
          <w:szCs w:val="20"/>
        </w:rPr>
        <w:t>-</w:t>
      </w:r>
      <w:r w:rsidR="002A6339">
        <w:rPr>
          <w:rFonts w:ascii="Arial" w:hAnsi="Arial" w:cs="Arial"/>
          <w:sz w:val="20"/>
          <w:szCs w:val="20"/>
        </w:rPr>
        <w:t xml:space="preserve">agriculture Process, </w:t>
      </w:r>
      <w:r w:rsidR="009C77E7">
        <w:rPr>
          <w:rFonts w:ascii="Arial" w:hAnsi="Arial" w:cs="Arial"/>
          <w:sz w:val="20"/>
          <w:szCs w:val="20"/>
        </w:rPr>
        <w:t xml:space="preserve">main standard </w:t>
      </w:r>
      <w:r w:rsidR="002A6339">
        <w:rPr>
          <w:rFonts w:ascii="Arial" w:hAnsi="Arial" w:cs="Arial"/>
          <w:sz w:val="20"/>
          <w:szCs w:val="20"/>
        </w:rPr>
        <w:t xml:space="preserve">111.153(b) and the maximum PM emission rate shall be less than 0.3 </w:t>
      </w:r>
      <w:proofErr w:type="spellStart"/>
      <w:r w:rsidR="002A6339">
        <w:rPr>
          <w:rFonts w:ascii="Arial" w:hAnsi="Arial" w:cs="Arial"/>
          <w:sz w:val="20"/>
          <w:szCs w:val="20"/>
        </w:rPr>
        <w:t>lb</w:t>
      </w:r>
      <w:proofErr w:type="spellEnd"/>
      <w:r w:rsidR="002A6339">
        <w:rPr>
          <w:rFonts w:ascii="Arial" w:hAnsi="Arial" w:cs="Arial"/>
          <w:sz w:val="20"/>
          <w:szCs w:val="20"/>
        </w:rPr>
        <w:t>/MMBtu.</w:t>
      </w:r>
      <w:r w:rsidR="008E1BEF">
        <w:rPr>
          <w:rFonts w:ascii="Arial" w:hAnsi="Arial" w:cs="Arial"/>
          <w:sz w:val="20"/>
          <w:szCs w:val="20"/>
        </w:rPr>
        <w:t xml:space="preserve"> </w:t>
      </w:r>
    </w:p>
    <w:p w14:paraId="1EA8A3DA" w14:textId="77777777" w:rsidR="000D2925" w:rsidRDefault="00F30D71" w:rsidP="007E33EE">
      <w:pPr>
        <w:pStyle w:val="Default"/>
        <w:rPr>
          <w:rFonts w:ascii="Arial" w:hAnsi="Arial" w:cs="Arial"/>
          <w:sz w:val="20"/>
          <w:szCs w:val="20"/>
        </w:rPr>
      </w:pPr>
      <w:r>
        <w:rPr>
          <w:rFonts w:ascii="Arial" w:hAnsi="Arial" w:cs="Arial"/>
          <w:sz w:val="20"/>
          <w:szCs w:val="20"/>
        </w:rPr>
        <w:t xml:space="preserve">All the monitoring requirements </w:t>
      </w:r>
      <w:r w:rsidR="008E1BEF">
        <w:rPr>
          <w:rFonts w:ascii="Arial" w:hAnsi="Arial" w:cs="Arial"/>
          <w:sz w:val="20"/>
          <w:szCs w:val="20"/>
        </w:rPr>
        <w:t xml:space="preserve">associated with the applicable regulations </w:t>
      </w:r>
      <w:r>
        <w:rPr>
          <w:rFonts w:ascii="Arial" w:hAnsi="Arial" w:cs="Arial"/>
          <w:sz w:val="20"/>
          <w:szCs w:val="20"/>
        </w:rPr>
        <w:t xml:space="preserve">are </w:t>
      </w:r>
      <w:r w:rsidR="000D2925">
        <w:rPr>
          <w:rFonts w:ascii="Arial" w:hAnsi="Arial" w:cs="Arial"/>
          <w:sz w:val="20"/>
          <w:szCs w:val="20"/>
        </w:rPr>
        <w:t xml:space="preserve">provided </w:t>
      </w:r>
      <w:r>
        <w:rPr>
          <w:rFonts w:ascii="Arial" w:hAnsi="Arial" w:cs="Arial"/>
          <w:sz w:val="20"/>
          <w:szCs w:val="20"/>
        </w:rPr>
        <w:t>in the FOP Applicable Requirements Summary Table</w:t>
      </w:r>
      <w:r w:rsidR="008E1BEF">
        <w:rPr>
          <w:rFonts w:ascii="Arial" w:hAnsi="Arial" w:cs="Arial"/>
          <w:sz w:val="20"/>
          <w:szCs w:val="20"/>
        </w:rPr>
        <w:t>, as well as the</w:t>
      </w:r>
      <w:r w:rsidR="00395BB0" w:rsidRPr="00224FF9">
        <w:rPr>
          <w:rFonts w:ascii="Arial" w:hAnsi="Arial" w:cs="Arial"/>
          <w:sz w:val="20"/>
          <w:szCs w:val="20"/>
        </w:rPr>
        <w:t xml:space="preserve"> </w:t>
      </w:r>
      <w:r>
        <w:rPr>
          <w:rFonts w:ascii="Arial" w:hAnsi="Arial" w:cs="Arial"/>
          <w:sz w:val="20"/>
          <w:szCs w:val="20"/>
        </w:rPr>
        <w:t>p</w:t>
      </w:r>
      <w:r w:rsidR="00395BB0" w:rsidRPr="00224FF9">
        <w:rPr>
          <w:rFonts w:ascii="Arial" w:hAnsi="Arial" w:cs="Arial"/>
          <w:sz w:val="20"/>
          <w:szCs w:val="20"/>
        </w:rPr>
        <w:t xml:space="preserve">ermit </w:t>
      </w:r>
      <w:r>
        <w:rPr>
          <w:rFonts w:ascii="Arial" w:hAnsi="Arial" w:cs="Arial"/>
          <w:sz w:val="20"/>
          <w:szCs w:val="20"/>
        </w:rPr>
        <w:t>a</w:t>
      </w:r>
      <w:r w:rsidR="00395BB0" w:rsidRPr="00224FF9">
        <w:rPr>
          <w:rFonts w:ascii="Arial" w:hAnsi="Arial" w:cs="Arial"/>
          <w:sz w:val="20"/>
          <w:szCs w:val="20"/>
        </w:rPr>
        <w:t xml:space="preserve">ttachment Additional </w:t>
      </w:r>
      <w:r>
        <w:rPr>
          <w:rFonts w:ascii="Arial" w:hAnsi="Arial" w:cs="Arial"/>
          <w:sz w:val="20"/>
          <w:szCs w:val="20"/>
        </w:rPr>
        <w:t>M</w:t>
      </w:r>
      <w:r w:rsidR="00395BB0" w:rsidRPr="00224FF9">
        <w:rPr>
          <w:rFonts w:ascii="Arial" w:hAnsi="Arial" w:cs="Arial"/>
          <w:sz w:val="20"/>
          <w:szCs w:val="20"/>
        </w:rPr>
        <w:t>onitoring</w:t>
      </w:r>
      <w:r w:rsidR="008E1BEF">
        <w:rPr>
          <w:rFonts w:ascii="Arial" w:hAnsi="Arial" w:cs="Arial"/>
          <w:sz w:val="20"/>
          <w:szCs w:val="20"/>
        </w:rPr>
        <w:t xml:space="preserve"> tables</w:t>
      </w:r>
      <w:r w:rsidR="00395BB0" w:rsidRPr="00224FF9">
        <w:rPr>
          <w:rFonts w:ascii="Arial" w:hAnsi="Arial" w:cs="Arial"/>
          <w:sz w:val="20"/>
          <w:szCs w:val="20"/>
        </w:rPr>
        <w:t xml:space="preserve">.  </w:t>
      </w:r>
    </w:p>
    <w:p w14:paraId="696F8565" w14:textId="77777777" w:rsidR="000D2925" w:rsidRDefault="000D2925" w:rsidP="007E33EE">
      <w:pPr>
        <w:pStyle w:val="Default"/>
        <w:rPr>
          <w:rFonts w:ascii="Arial" w:hAnsi="Arial" w:cs="Arial"/>
          <w:sz w:val="20"/>
          <w:szCs w:val="20"/>
        </w:rPr>
      </w:pPr>
    </w:p>
    <w:p w14:paraId="6275A7BE" w14:textId="27B33F90" w:rsidR="00395BB0" w:rsidRDefault="007E33EE" w:rsidP="007E33EE">
      <w:pPr>
        <w:pStyle w:val="Default"/>
        <w:rPr>
          <w:rFonts w:ascii="Arial" w:hAnsi="Arial" w:cs="Arial"/>
          <w:sz w:val="20"/>
          <w:szCs w:val="20"/>
        </w:rPr>
      </w:pPr>
      <w:r>
        <w:rPr>
          <w:rFonts w:ascii="Arial" w:hAnsi="Arial" w:cs="Arial"/>
          <w:sz w:val="20"/>
          <w:szCs w:val="20"/>
        </w:rPr>
        <w:t>Therefore, both NSR and FOP contain the</w:t>
      </w:r>
      <w:r w:rsidR="008B5266">
        <w:rPr>
          <w:rFonts w:ascii="Arial" w:hAnsi="Arial" w:cs="Arial"/>
          <w:sz w:val="20"/>
          <w:szCs w:val="20"/>
        </w:rPr>
        <w:t xml:space="preserve"> PM and opacity </w:t>
      </w:r>
      <w:r w:rsidR="00B84057">
        <w:rPr>
          <w:rFonts w:ascii="Arial" w:hAnsi="Arial" w:cs="Arial"/>
          <w:sz w:val="20"/>
          <w:szCs w:val="20"/>
        </w:rPr>
        <w:t>monitoring frequency and deviation limit</w:t>
      </w:r>
      <w:r w:rsidR="000D2925">
        <w:rPr>
          <w:rFonts w:ascii="Arial" w:hAnsi="Arial" w:cs="Arial"/>
          <w:sz w:val="20"/>
          <w:szCs w:val="20"/>
        </w:rPr>
        <w:t xml:space="preserve">. The NSR permit and Title V permit are both consistent with the federal and state rules. The NSR PM and opacity limits are more stringent than the FOP (or equal to) due to state case-by-case NSR review. </w:t>
      </w:r>
    </w:p>
    <w:p w14:paraId="12B48B35" w14:textId="77777777" w:rsidR="007E33EE" w:rsidRPr="00224FF9" w:rsidRDefault="007E33EE" w:rsidP="007E33EE">
      <w:pPr>
        <w:pStyle w:val="Default"/>
        <w:rPr>
          <w:rFonts w:ascii="Arial" w:hAnsi="Arial" w:cs="Arial"/>
          <w:sz w:val="20"/>
          <w:szCs w:val="20"/>
        </w:rPr>
      </w:pPr>
    </w:p>
    <w:p w14:paraId="630FCA87" w14:textId="77777777" w:rsidR="00395BB0" w:rsidRPr="00224FF9" w:rsidRDefault="00395BB0" w:rsidP="007E33EE">
      <w:pPr>
        <w:pStyle w:val="Default"/>
        <w:rPr>
          <w:rFonts w:ascii="Arial" w:hAnsi="Arial" w:cs="Arial"/>
          <w:sz w:val="20"/>
          <w:szCs w:val="20"/>
        </w:rPr>
      </w:pPr>
    </w:p>
    <w:p w14:paraId="1A7CCBD0" w14:textId="0413E244" w:rsidR="0090088E" w:rsidRPr="00193AEB" w:rsidRDefault="0090088E" w:rsidP="007E33EE">
      <w:pPr>
        <w:rPr>
          <w:rStyle w:val="Strong"/>
          <w:rFonts w:cs="Arial"/>
          <w:szCs w:val="20"/>
        </w:rPr>
      </w:pPr>
      <w:r w:rsidRPr="00193AEB">
        <w:rPr>
          <w:rFonts w:cs="Arial"/>
          <w:b/>
          <w:bCs/>
          <w:szCs w:val="20"/>
        </w:rPr>
        <w:t>Claim C.3: The Proposed Permit Fails to Assure Compliance with Performance Standards and Emission Limits for H</w:t>
      </w:r>
      <w:r w:rsidRPr="002A6339">
        <w:rPr>
          <w:rFonts w:cs="Arial"/>
          <w:b/>
          <w:bCs/>
          <w:szCs w:val="20"/>
          <w:vertAlign w:val="subscript"/>
        </w:rPr>
        <w:t>2</w:t>
      </w:r>
      <w:r w:rsidRPr="00193AEB">
        <w:rPr>
          <w:rFonts w:cs="Arial"/>
          <w:b/>
          <w:bCs/>
          <w:szCs w:val="20"/>
        </w:rPr>
        <w:t>SO</w:t>
      </w:r>
      <w:r w:rsidRPr="002A6339">
        <w:rPr>
          <w:rFonts w:cs="Arial"/>
          <w:b/>
          <w:bCs/>
          <w:szCs w:val="20"/>
          <w:vertAlign w:val="subscript"/>
        </w:rPr>
        <w:t>4</w:t>
      </w:r>
      <w:r w:rsidRPr="00193AEB">
        <w:rPr>
          <w:rFonts w:cs="Arial"/>
          <w:b/>
          <w:bCs/>
          <w:szCs w:val="20"/>
        </w:rPr>
        <w:t>, HCl, HF, VOC, and Total PM/PM</w:t>
      </w:r>
      <w:r w:rsidRPr="002A6339">
        <w:rPr>
          <w:rFonts w:cs="Arial"/>
          <w:b/>
          <w:bCs/>
          <w:szCs w:val="20"/>
          <w:vertAlign w:val="subscript"/>
        </w:rPr>
        <w:t>10</w:t>
      </w:r>
      <w:r w:rsidRPr="00193AEB">
        <w:rPr>
          <w:rFonts w:cs="Arial"/>
          <w:b/>
          <w:bCs/>
          <w:szCs w:val="20"/>
        </w:rPr>
        <w:t xml:space="preserve"> Established by Oak Grove’s PSD Permit.</w:t>
      </w:r>
    </w:p>
    <w:p w14:paraId="0724E294" w14:textId="77777777" w:rsidR="0090088E" w:rsidRPr="00193AEB" w:rsidRDefault="0090088E" w:rsidP="007E33EE">
      <w:pPr>
        <w:rPr>
          <w:rStyle w:val="Strong"/>
          <w:szCs w:val="20"/>
        </w:rPr>
      </w:pPr>
    </w:p>
    <w:p w14:paraId="47BBC7B5" w14:textId="71D338E7" w:rsidR="00266DF5" w:rsidRPr="00E029FE" w:rsidRDefault="00266DF5" w:rsidP="007E33EE">
      <w:pPr>
        <w:rPr>
          <w:rFonts w:cs="Arial"/>
          <w:b/>
          <w:bCs/>
          <w:color w:val="000000"/>
          <w:szCs w:val="20"/>
        </w:rPr>
      </w:pPr>
      <w:r w:rsidRPr="009458A8">
        <w:rPr>
          <w:rStyle w:val="Strong"/>
        </w:rPr>
        <w:t xml:space="preserve">EPA </w:t>
      </w:r>
      <w:r>
        <w:rPr>
          <w:rStyle w:val="Strong"/>
        </w:rPr>
        <w:t>Objection</w:t>
      </w:r>
      <w:r w:rsidRPr="009458A8">
        <w:rPr>
          <w:rStyle w:val="Strong"/>
        </w:rPr>
        <w:t>:</w:t>
      </w:r>
      <w:r>
        <w:rPr>
          <w:rStyle w:val="Strong"/>
        </w:rPr>
        <w:t xml:space="preserve">  </w:t>
      </w:r>
      <w:r w:rsidR="0090088E" w:rsidRPr="005C2EB9">
        <w:rPr>
          <w:color w:val="000000"/>
          <w:szCs w:val="20"/>
        </w:rPr>
        <w:t xml:space="preserve">In responding to this Order, TCEQ should ensure that the Permit has adequate monitoring </w:t>
      </w:r>
      <w:bookmarkStart w:id="5" w:name="_Hlk116889639"/>
      <w:r w:rsidR="0090088E" w:rsidRPr="005C2EB9">
        <w:rPr>
          <w:color w:val="000000"/>
          <w:szCs w:val="20"/>
        </w:rPr>
        <w:t>to demonstrate continuous compliance with permitted emission limits found in Special Condition 11.B and the MAERT</w:t>
      </w:r>
      <w:bookmarkEnd w:id="5"/>
      <w:r w:rsidR="0090088E" w:rsidRPr="005C2EB9">
        <w:rPr>
          <w:color w:val="000000"/>
          <w:szCs w:val="20"/>
        </w:rPr>
        <w:t xml:space="preserve">. As noted in EPA’s response, EPA has determined that annual stack testing could be considered adequate monitoring when paired with additional monitoring to ensure proper operation of controls. If there is additional monitoring that is used to supplement the annual stack testing, TCEQ should provide an explanation of that supplemental monitoring. Additionally, TCEQ should evaluate how the stack test data is being used to demonstrate compliance with emission limits. Specifically, TCEQ should clarify that compliance or non-compliance is demonstrated at the time of each stack test and that while further testing is appropriate to demonstrate a return to compliance, it is not used to </w:t>
      </w:r>
      <w:r w:rsidR="0090088E" w:rsidRPr="00E029FE">
        <w:rPr>
          <w:rFonts w:cs="Arial"/>
          <w:color w:val="000000"/>
          <w:szCs w:val="20"/>
        </w:rPr>
        <w:t>eliminate previous periods of non-compliance. If TCEQ’s position is that the additional stack testing is to be used to avoid treating the first stack test as an indicator of non-compliance, then TCEQ needs to revise the Permit to eliminate this averaging authorization.</w:t>
      </w:r>
    </w:p>
    <w:p w14:paraId="41157090" w14:textId="6E8C1DD9" w:rsidR="00266DF5" w:rsidRPr="00E029FE" w:rsidRDefault="00266DF5" w:rsidP="007E33EE">
      <w:pPr>
        <w:rPr>
          <w:rFonts w:cs="Arial"/>
          <w:b/>
          <w:bCs/>
          <w:color w:val="000000"/>
          <w:szCs w:val="20"/>
        </w:rPr>
      </w:pPr>
    </w:p>
    <w:p w14:paraId="3014CE0B" w14:textId="77777777" w:rsidR="00E256B0" w:rsidRDefault="00266DF5" w:rsidP="00E256B0">
      <w:pPr>
        <w:pStyle w:val="Default"/>
        <w:rPr>
          <w:rStyle w:val="Strong"/>
          <w:rFonts w:ascii="Arial" w:hAnsi="Arial" w:cs="Arial"/>
          <w:b w:val="0"/>
          <w:bCs w:val="0"/>
          <w:sz w:val="20"/>
          <w:szCs w:val="20"/>
        </w:rPr>
      </w:pPr>
      <w:r w:rsidRPr="00E029FE">
        <w:rPr>
          <w:rStyle w:val="Strong"/>
          <w:rFonts w:ascii="Arial" w:hAnsi="Arial" w:cs="Arial"/>
          <w:sz w:val="20"/>
          <w:szCs w:val="20"/>
        </w:rPr>
        <w:lastRenderedPageBreak/>
        <w:t xml:space="preserve">TCEQ Response:  </w:t>
      </w:r>
      <w:r w:rsidR="0079652D">
        <w:rPr>
          <w:rFonts w:ascii="Arial" w:hAnsi="Arial" w:cs="Arial"/>
          <w:sz w:val="20"/>
          <w:szCs w:val="20"/>
        </w:rPr>
        <w:t>T</w:t>
      </w:r>
      <w:r w:rsidR="00183F19" w:rsidRPr="00224FF9">
        <w:rPr>
          <w:rFonts w:ascii="Arial" w:hAnsi="Arial" w:cs="Arial"/>
          <w:sz w:val="20"/>
          <w:szCs w:val="20"/>
        </w:rPr>
        <w:t xml:space="preserve">he </w:t>
      </w:r>
      <w:r w:rsidR="00183F19">
        <w:rPr>
          <w:rFonts w:ascii="Arial" w:hAnsi="Arial" w:cs="Arial"/>
          <w:sz w:val="20"/>
          <w:szCs w:val="20"/>
        </w:rPr>
        <w:t xml:space="preserve">ED notes that NSR </w:t>
      </w:r>
      <w:r w:rsidR="00183F19" w:rsidRPr="00183F19">
        <w:rPr>
          <w:rFonts w:ascii="Arial" w:hAnsi="Arial" w:cs="Arial"/>
          <w:sz w:val="20"/>
          <w:szCs w:val="20"/>
        </w:rPr>
        <w:t xml:space="preserve">Permit 76474/PSDTX1056 </w:t>
      </w:r>
      <w:r w:rsidR="004A2CDF">
        <w:rPr>
          <w:rFonts w:ascii="Arial" w:hAnsi="Arial" w:cs="Arial"/>
          <w:sz w:val="20"/>
          <w:szCs w:val="20"/>
        </w:rPr>
        <w:t xml:space="preserve">was revised on </w:t>
      </w:r>
      <w:r w:rsidR="00183F19" w:rsidRPr="00183F19">
        <w:rPr>
          <w:rFonts w:ascii="Arial" w:hAnsi="Arial" w:cs="Arial"/>
          <w:sz w:val="20"/>
          <w:szCs w:val="20"/>
        </w:rPr>
        <w:t xml:space="preserve">September 30, </w:t>
      </w:r>
      <w:proofErr w:type="gramStart"/>
      <w:r w:rsidR="00183F19" w:rsidRPr="00183F19">
        <w:rPr>
          <w:rFonts w:ascii="Arial" w:hAnsi="Arial" w:cs="Arial"/>
          <w:sz w:val="20"/>
          <w:szCs w:val="20"/>
        </w:rPr>
        <w:t>2022</w:t>
      </w:r>
      <w:proofErr w:type="gramEnd"/>
      <w:r w:rsidR="0079652D" w:rsidRPr="00E92996">
        <w:rPr>
          <w:rStyle w:val="Strong"/>
          <w:rFonts w:ascii="Arial" w:hAnsi="Arial" w:cs="Arial"/>
          <w:b w:val="0"/>
          <w:bCs w:val="0"/>
          <w:sz w:val="20"/>
          <w:szCs w:val="20"/>
        </w:rPr>
        <w:t xml:space="preserve"> </w:t>
      </w:r>
      <w:r w:rsidR="0079652D">
        <w:rPr>
          <w:rFonts w:ascii="Arial" w:hAnsi="Arial" w:cs="Arial"/>
          <w:sz w:val="20"/>
          <w:szCs w:val="20"/>
        </w:rPr>
        <w:t>t</w:t>
      </w:r>
      <w:r w:rsidR="0079652D" w:rsidRPr="00224FF9">
        <w:rPr>
          <w:rFonts w:ascii="Arial" w:hAnsi="Arial" w:cs="Arial"/>
          <w:sz w:val="20"/>
          <w:szCs w:val="20"/>
        </w:rPr>
        <w:t xml:space="preserve">o address this </w:t>
      </w:r>
      <w:r w:rsidR="0079652D">
        <w:rPr>
          <w:rFonts w:ascii="Arial" w:hAnsi="Arial" w:cs="Arial"/>
          <w:sz w:val="20"/>
          <w:szCs w:val="20"/>
        </w:rPr>
        <w:t xml:space="preserve">objection. </w:t>
      </w:r>
      <w:r w:rsidR="00E256B0">
        <w:rPr>
          <w:rFonts w:ascii="Arial" w:hAnsi="Arial" w:cs="Arial"/>
          <w:sz w:val="20"/>
          <w:szCs w:val="20"/>
        </w:rPr>
        <w:t>Specifically</w:t>
      </w:r>
      <w:r w:rsidR="00E256B0" w:rsidRPr="00224FF9">
        <w:rPr>
          <w:rFonts w:ascii="Arial" w:hAnsi="Arial" w:cs="Arial"/>
          <w:sz w:val="20"/>
          <w:szCs w:val="20"/>
        </w:rPr>
        <w:t xml:space="preserve">, </w:t>
      </w:r>
      <w:r w:rsidR="00E256B0" w:rsidRPr="00E92996">
        <w:rPr>
          <w:rStyle w:val="Strong"/>
          <w:rFonts w:ascii="Arial" w:hAnsi="Arial" w:cs="Arial"/>
          <w:b w:val="0"/>
          <w:bCs w:val="0"/>
          <w:sz w:val="20"/>
          <w:szCs w:val="20"/>
        </w:rPr>
        <w:t>Special Condition No. 40</w:t>
      </w:r>
      <w:r w:rsidR="00E256B0">
        <w:rPr>
          <w:rStyle w:val="Strong"/>
          <w:rFonts w:ascii="Arial" w:hAnsi="Arial" w:cs="Arial"/>
          <w:b w:val="0"/>
          <w:bCs w:val="0"/>
          <w:sz w:val="20"/>
          <w:szCs w:val="20"/>
        </w:rPr>
        <w:t xml:space="preserve"> was revised to clarify that </w:t>
      </w:r>
      <w:r w:rsidR="00E256B0" w:rsidRPr="00C37374">
        <w:rPr>
          <w:rStyle w:val="Strong"/>
          <w:rFonts w:ascii="Arial" w:hAnsi="Arial" w:cs="Arial"/>
          <w:b w:val="0"/>
          <w:bCs w:val="0"/>
          <w:sz w:val="20"/>
          <w:szCs w:val="20"/>
        </w:rPr>
        <w:t xml:space="preserve">on-going stack sampling </w:t>
      </w:r>
      <w:r w:rsidR="00E256B0">
        <w:rPr>
          <w:rStyle w:val="Strong"/>
          <w:rFonts w:ascii="Arial" w:hAnsi="Arial" w:cs="Arial"/>
          <w:b w:val="0"/>
          <w:bCs w:val="0"/>
          <w:sz w:val="20"/>
          <w:szCs w:val="20"/>
        </w:rPr>
        <w:t xml:space="preserve">and CEMS both are in place for continuous compliance demonstration. </w:t>
      </w:r>
    </w:p>
    <w:p w14:paraId="613E8C60" w14:textId="77777777" w:rsidR="00E256B0" w:rsidRDefault="00E256B0" w:rsidP="00E256B0">
      <w:pPr>
        <w:pStyle w:val="Default"/>
        <w:rPr>
          <w:rStyle w:val="Strong"/>
          <w:rFonts w:ascii="Arial" w:hAnsi="Arial" w:cs="Arial"/>
          <w:b w:val="0"/>
          <w:bCs w:val="0"/>
          <w:sz w:val="20"/>
          <w:szCs w:val="20"/>
        </w:rPr>
      </w:pPr>
    </w:p>
    <w:p w14:paraId="22A33095" w14:textId="5DFA8A1B" w:rsidR="002A2539" w:rsidRPr="002A2539" w:rsidRDefault="002A2539" w:rsidP="002A2539">
      <w:pPr>
        <w:pStyle w:val="Default"/>
        <w:rPr>
          <w:rFonts w:ascii="Arial" w:hAnsi="Arial" w:cs="Arial"/>
          <w:sz w:val="20"/>
          <w:szCs w:val="20"/>
        </w:rPr>
      </w:pPr>
      <w:r>
        <w:rPr>
          <w:rStyle w:val="Strong"/>
          <w:rFonts w:ascii="Arial" w:hAnsi="Arial" w:cs="Arial"/>
          <w:b w:val="0"/>
          <w:bCs w:val="0"/>
          <w:sz w:val="20"/>
          <w:szCs w:val="20"/>
        </w:rPr>
        <w:t xml:space="preserve">The previous Condition No.40.A(1) stating the permit holder may conduct additional tests during the year to be averaged with previous noncompliance performance results was deleted. TCEQ disagrees that </w:t>
      </w:r>
      <w:r w:rsidRPr="00E256B0">
        <w:rPr>
          <w:rFonts w:ascii="Arial" w:hAnsi="Arial" w:cs="Arial"/>
          <w:sz w:val="20"/>
          <w:szCs w:val="20"/>
        </w:rPr>
        <w:t>the additional stack testing is to be used to avoid treating the first stack test as an indicator of non-compliance</w:t>
      </w:r>
      <w:r>
        <w:rPr>
          <w:rFonts w:ascii="Arial" w:hAnsi="Arial" w:cs="Arial"/>
          <w:sz w:val="20"/>
          <w:szCs w:val="20"/>
        </w:rPr>
        <w:t xml:space="preserve"> and TCEQ would not authorize the averaging results data for compliance. The non-compliance situation or testing results will be </w:t>
      </w:r>
      <w:r w:rsidRPr="002A2539">
        <w:rPr>
          <w:rFonts w:ascii="Arial" w:hAnsi="Arial" w:cs="Arial"/>
          <w:sz w:val="20"/>
          <w:szCs w:val="20"/>
        </w:rPr>
        <w:t xml:space="preserve">investigated, </w:t>
      </w:r>
      <w:proofErr w:type="gramStart"/>
      <w:r w:rsidRPr="002A2539">
        <w:rPr>
          <w:rFonts w:ascii="Arial" w:hAnsi="Arial" w:cs="Arial"/>
          <w:sz w:val="20"/>
          <w:szCs w:val="20"/>
        </w:rPr>
        <w:t>evaluated</w:t>
      </w:r>
      <w:proofErr w:type="gramEnd"/>
      <w:r w:rsidRPr="002A2539">
        <w:rPr>
          <w:rFonts w:ascii="Arial" w:hAnsi="Arial" w:cs="Arial"/>
          <w:sz w:val="20"/>
          <w:szCs w:val="20"/>
        </w:rPr>
        <w:t xml:space="preserve"> and determined by TCEQ Compliance and Enforcement Office</w:t>
      </w:r>
      <w:r>
        <w:rPr>
          <w:rFonts w:ascii="Arial" w:hAnsi="Arial" w:cs="Arial"/>
          <w:sz w:val="20"/>
          <w:szCs w:val="20"/>
        </w:rPr>
        <w:t xml:space="preserve">. The </w:t>
      </w:r>
      <w:r w:rsidR="00DB1D83">
        <w:rPr>
          <w:rFonts w:ascii="Arial" w:hAnsi="Arial" w:cs="Arial"/>
          <w:sz w:val="20"/>
          <w:szCs w:val="20"/>
        </w:rPr>
        <w:t>a</w:t>
      </w:r>
      <w:r>
        <w:rPr>
          <w:rFonts w:ascii="Arial" w:hAnsi="Arial" w:cs="Arial"/>
          <w:sz w:val="20"/>
          <w:szCs w:val="20"/>
        </w:rPr>
        <w:t xml:space="preserve">nnual </w:t>
      </w:r>
      <w:r w:rsidR="00DB1D83">
        <w:rPr>
          <w:rFonts w:ascii="Arial" w:hAnsi="Arial" w:cs="Arial"/>
          <w:sz w:val="20"/>
          <w:szCs w:val="20"/>
        </w:rPr>
        <w:t>e</w:t>
      </w:r>
      <w:r>
        <w:rPr>
          <w:rFonts w:ascii="Arial" w:hAnsi="Arial" w:cs="Arial"/>
          <w:sz w:val="20"/>
          <w:szCs w:val="20"/>
        </w:rPr>
        <w:t xml:space="preserve">mission </w:t>
      </w:r>
      <w:r w:rsidR="00DB1D83">
        <w:rPr>
          <w:rFonts w:ascii="Arial" w:hAnsi="Arial" w:cs="Arial"/>
          <w:sz w:val="20"/>
          <w:szCs w:val="20"/>
        </w:rPr>
        <w:t>r</w:t>
      </w:r>
      <w:r>
        <w:rPr>
          <w:rFonts w:ascii="Arial" w:hAnsi="Arial" w:cs="Arial"/>
          <w:sz w:val="20"/>
          <w:szCs w:val="20"/>
        </w:rPr>
        <w:t>eport submitted by applicant</w:t>
      </w:r>
      <w:r w:rsidR="00DB1D83">
        <w:rPr>
          <w:rFonts w:ascii="Arial" w:hAnsi="Arial" w:cs="Arial"/>
          <w:sz w:val="20"/>
          <w:szCs w:val="20"/>
        </w:rPr>
        <w:t xml:space="preserve"> for Emission Inventory</w:t>
      </w:r>
      <w:r>
        <w:rPr>
          <w:rFonts w:ascii="Arial" w:hAnsi="Arial" w:cs="Arial"/>
          <w:sz w:val="20"/>
          <w:szCs w:val="20"/>
        </w:rPr>
        <w:t xml:space="preserve"> to TCEQ also document</w:t>
      </w:r>
      <w:r w:rsidR="00C37AE2">
        <w:rPr>
          <w:rFonts w:ascii="Arial" w:hAnsi="Arial" w:cs="Arial"/>
          <w:sz w:val="20"/>
          <w:szCs w:val="20"/>
        </w:rPr>
        <w:t>s</w:t>
      </w:r>
      <w:r>
        <w:rPr>
          <w:rFonts w:ascii="Arial" w:hAnsi="Arial" w:cs="Arial"/>
          <w:sz w:val="20"/>
          <w:szCs w:val="20"/>
        </w:rPr>
        <w:t xml:space="preserve"> the non-compliance. A</w:t>
      </w:r>
      <w:r w:rsidRPr="002A2539">
        <w:rPr>
          <w:rFonts w:ascii="Arial" w:hAnsi="Arial" w:cs="Arial"/>
          <w:sz w:val="20"/>
          <w:szCs w:val="20"/>
        </w:rPr>
        <w:t>ir Permits Division will be notified</w:t>
      </w:r>
      <w:r>
        <w:rPr>
          <w:rFonts w:ascii="Arial" w:hAnsi="Arial" w:cs="Arial"/>
          <w:sz w:val="20"/>
          <w:szCs w:val="20"/>
        </w:rPr>
        <w:t xml:space="preserve"> and cooperate with </w:t>
      </w:r>
      <w:r w:rsidR="00C37AE2">
        <w:rPr>
          <w:rFonts w:ascii="Arial" w:hAnsi="Arial" w:cs="Arial"/>
          <w:sz w:val="20"/>
          <w:szCs w:val="20"/>
        </w:rPr>
        <w:t>other office (as well as applicant) to resolve the non-compliance issue through permit action</w:t>
      </w:r>
      <w:r w:rsidRPr="002A2539">
        <w:rPr>
          <w:rFonts w:ascii="Arial" w:hAnsi="Arial" w:cs="Arial"/>
          <w:sz w:val="20"/>
          <w:szCs w:val="20"/>
        </w:rPr>
        <w:t xml:space="preserve">. </w:t>
      </w:r>
    </w:p>
    <w:p w14:paraId="633AA832" w14:textId="77777777" w:rsidR="00C37AE2" w:rsidRDefault="00C37AE2" w:rsidP="00E256B0">
      <w:pPr>
        <w:pStyle w:val="Default"/>
        <w:rPr>
          <w:rFonts w:ascii="Arial" w:hAnsi="Arial" w:cs="Arial"/>
          <w:sz w:val="20"/>
          <w:szCs w:val="20"/>
        </w:rPr>
      </w:pPr>
    </w:p>
    <w:p w14:paraId="21CEF9C7" w14:textId="10556F98" w:rsidR="002A18A2" w:rsidRDefault="00C37AE2" w:rsidP="002A18A2">
      <w:pPr>
        <w:pStyle w:val="Default"/>
        <w:rPr>
          <w:rStyle w:val="Strong"/>
          <w:rFonts w:ascii="Arial" w:hAnsi="Arial" w:cs="Arial"/>
          <w:b w:val="0"/>
          <w:bCs w:val="0"/>
          <w:sz w:val="20"/>
          <w:szCs w:val="20"/>
        </w:rPr>
      </w:pPr>
      <w:r>
        <w:rPr>
          <w:rFonts w:ascii="Arial" w:hAnsi="Arial" w:cs="Arial"/>
          <w:sz w:val="20"/>
          <w:szCs w:val="20"/>
        </w:rPr>
        <w:t>Regarding to c</w:t>
      </w:r>
      <w:r w:rsidRPr="00C37AE2">
        <w:rPr>
          <w:rFonts w:ascii="Arial" w:hAnsi="Arial" w:cs="Arial"/>
          <w:sz w:val="20"/>
          <w:szCs w:val="20"/>
        </w:rPr>
        <w:t>ompliance</w:t>
      </w:r>
      <w:r>
        <w:rPr>
          <w:rFonts w:ascii="Arial" w:hAnsi="Arial" w:cs="Arial"/>
          <w:sz w:val="20"/>
          <w:szCs w:val="20"/>
        </w:rPr>
        <w:t xml:space="preserve"> assurance in permit wide, NSR permit </w:t>
      </w:r>
      <w:r w:rsidR="002A18A2" w:rsidRPr="003F0A3A">
        <w:rPr>
          <w:rFonts w:ascii="Arial" w:hAnsi="Arial" w:cs="Arial"/>
          <w:sz w:val="20"/>
          <w:szCs w:val="20"/>
        </w:rPr>
        <w:t xml:space="preserve">Special Condition No. 32 requires the initial stack sampling on main boilers including E-OGU1, E-OGU2, and E-OGAB. </w:t>
      </w:r>
      <w:r w:rsidR="003F0A3A" w:rsidRPr="003F0A3A">
        <w:rPr>
          <w:rFonts w:ascii="Arial" w:hAnsi="Arial" w:cs="Arial"/>
          <w:sz w:val="20"/>
          <w:szCs w:val="20"/>
        </w:rPr>
        <w:t>Air contaminants to be sampled and analyzed include NO</w:t>
      </w:r>
      <w:r w:rsidR="003F0A3A" w:rsidRPr="003F0A3A">
        <w:rPr>
          <w:rFonts w:ascii="Arial" w:hAnsi="Arial" w:cs="Arial"/>
          <w:sz w:val="20"/>
          <w:szCs w:val="20"/>
          <w:vertAlign w:val="subscript"/>
        </w:rPr>
        <w:t>x</w:t>
      </w:r>
      <w:r w:rsidR="003F0A3A" w:rsidRPr="003F0A3A">
        <w:rPr>
          <w:rFonts w:ascii="Arial" w:hAnsi="Arial" w:cs="Arial"/>
          <w:sz w:val="20"/>
          <w:szCs w:val="20"/>
        </w:rPr>
        <w:t>, SO</w:t>
      </w:r>
      <w:r w:rsidR="003F0A3A" w:rsidRPr="003F0A3A">
        <w:rPr>
          <w:rFonts w:ascii="Arial" w:hAnsi="Arial" w:cs="Arial"/>
          <w:sz w:val="20"/>
          <w:szCs w:val="20"/>
          <w:vertAlign w:val="subscript"/>
        </w:rPr>
        <w:t>2</w:t>
      </w:r>
      <w:r w:rsidR="003F0A3A" w:rsidRPr="003F0A3A">
        <w:rPr>
          <w:rFonts w:ascii="Arial" w:hAnsi="Arial" w:cs="Arial"/>
          <w:sz w:val="20"/>
          <w:szCs w:val="20"/>
        </w:rPr>
        <w:t>, CO, VOC, H</w:t>
      </w:r>
      <w:r w:rsidR="003F0A3A" w:rsidRPr="003F0A3A">
        <w:rPr>
          <w:rFonts w:ascii="Arial" w:hAnsi="Arial" w:cs="Arial"/>
          <w:sz w:val="20"/>
          <w:szCs w:val="20"/>
          <w:vertAlign w:val="subscript"/>
        </w:rPr>
        <w:t>2</w:t>
      </w:r>
      <w:r w:rsidR="003F0A3A" w:rsidRPr="003F0A3A">
        <w:rPr>
          <w:rFonts w:ascii="Arial" w:hAnsi="Arial" w:cs="Arial"/>
          <w:sz w:val="20"/>
          <w:szCs w:val="20"/>
        </w:rPr>
        <w:t>SO</w:t>
      </w:r>
      <w:r w:rsidR="003F0A3A" w:rsidRPr="003F0A3A">
        <w:rPr>
          <w:rFonts w:ascii="Arial" w:hAnsi="Arial" w:cs="Arial"/>
          <w:sz w:val="20"/>
          <w:szCs w:val="20"/>
          <w:vertAlign w:val="subscript"/>
        </w:rPr>
        <w:t>4</w:t>
      </w:r>
      <w:r w:rsidR="003F0A3A" w:rsidRPr="003F0A3A">
        <w:rPr>
          <w:rFonts w:ascii="Arial" w:hAnsi="Arial" w:cs="Arial"/>
          <w:sz w:val="20"/>
          <w:szCs w:val="20"/>
        </w:rPr>
        <w:t>, HCl, HF, PM</w:t>
      </w:r>
      <w:r w:rsidR="003F0A3A">
        <w:rPr>
          <w:rFonts w:ascii="Arial" w:hAnsi="Arial" w:cs="Arial"/>
          <w:sz w:val="20"/>
          <w:szCs w:val="20"/>
        </w:rPr>
        <w:t>/</w:t>
      </w:r>
      <w:r w:rsidR="003F0A3A" w:rsidRPr="003F0A3A">
        <w:rPr>
          <w:rFonts w:ascii="Arial" w:hAnsi="Arial" w:cs="Arial"/>
          <w:sz w:val="20"/>
          <w:szCs w:val="20"/>
        </w:rPr>
        <w:t>PM</w:t>
      </w:r>
      <w:r w:rsidR="003F0A3A" w:rsidRPr="003F0A3A">
        <w:rPr>
          <w:rFonts w:ascii="Arial" w:hAnsi="Arial" w:cs="Arial"/>
          <w:sz w:val="20"/>
          <w:szCs w:val="20"/>
          <w:vertAlign w:val="subscript"/>
        </w:rPr>
        <w:t>10</w:t>
      </w:r>
      <w:r w:rsidR="003F0A3A" w:rsidRPr="003F0A3A">
        <w:rPr>
          <w:rFonts w:ascii="Arial" w:hAnsi="Arial" w:cs="Arial"/>
          <w:sz w:val="20"/>
          <w:szCs w:val="20"/>
        </w:rPr>
        <w:t>, NH</w:t>
      </w:r>
      <w:r w:rsidR="003F0A3A" w:rsidRPr="003F0A3A">
        <w:rPr>
          <w:rFonts w:ascii="Arial" w:hAnsi="Arial" w:cs="Arial"/>
          <w:sz w:val="20"/>
          <w:szCs w:val="20"/>
          <w:vertAlign w:val="subscript"/>
        </w:rPr>
        <w:t>3</w:t>
      </w:r>
      <w:r w:rsidR="003F0A3A" w:rsidRPr="003F0A3A">
        <w:rPr>
          <w:rFonts w:ascii="Arial" w:hAnsi="Arial" w:cs="Arial"/>
          <w:sz w:val="20"/>
          <w:szCs w:val="20"/>
        </w:rPr>
        <w:t>, and Hg.  Diluents to be measured include O</w:t>
      </w:r>
      <w:r w:rsidR="003F0A3A" w:rsidRPr="003F0A3A">
        <w:rPr>
          <w:rFonts w:ascii="Arial" w:hAnsi="Arial" w:cs="Arial"/>
          <w:sz w:val="20"/>
          <w:szCs w:val="20"/>
          <w:vertAlign w:val="subscript"/>
        </w:rPr>
        <w:t>2</w:t>
      </w:r>
      <w:r w:rsidR="003F0A3A" w:rsidRPr="003F0A3A">
        <w:rPr>
          <w:rFonts w:ascii="Arial" w:hAnsi="Arial" w:cs="Arial"/>
          <w:sz w:val="20"/>
          <w:szCs w:val="20"/>
        </w:rPr>
        <w:t xml:space="preserve"> or carbon dioxide (CO</w:t>
      </w:r>
      <w:r w:rsidR="003F0A3A" w:rsidRPr="003F0A3A">
        <w:rPr>
          <w:rFonts w:ascii="Arial" w:hAnsi="Arial" w:cs="Arial"/>
          <w:sz w:val="20"/>
          <w:szCs w:val="20"/>
          <w:vertAlign w:val="subscript"/>
        </w:rPr>
        <w:t>2</w:t>
      </w:r>
      <w:r w:rsidR="003F0A3A" w:rsidRPr="003F0A3A">
        <w:rPr>
          <w:rFonts w:ascii="Arial" w:hAnsi="Arial" w:cs="Arial"/>
          <w:sz w:val="20"/>
          <w:szCs w:val="20"/>
        </w:rPr>
        <w:t xml:space="preserve">). </w:t>
      </w:r>
      <w:r w:rsidR="002A18A2">
        <w:rPr>
          <w:rStyle w:val="Strong"/>
          <w:rFonts w:ascii="Arial" w:hAnsi="Arial" w:cs="Arial"/>
          <w:b w:val="0"/>
          <w:bCs w:val="0"/>
          <w:sz w:val="20"/>
          <w:szCs w:val="20"/>
        </w:rPr>
        <w:t xml:space="preserve">After the initial </w:t>
      </w:r>
      <w:r w:rsidR="003F0A3A">
        <w:rPr>
          <w:rStyle w:val="Strong"/>
          <w:rFonts w:ascii="Arial" w:hAnsi="Arial" w:cs="Arial"/>
          <w:b w:val="0"/>
          <w:bCs w:val="0"/>
          <w:sz w:val="20"/>
          <w:szCs w:val="20"/>
        </w:rPr>
        <w:t xml:space="preserve">compliance demonstration, </w:t>
      </w:r>
      <w:r w:rsidR="002A18A2">
        <w:rPr>
          <w:rStyle w:val="Strong"/>
          <w:rFonts w:ascii="Arial" w:hAnsi="Arial" w:cs="Arial"/>
          <w:b w:val="0"/>
          <w:bCs w:val="0"/>
          <w:sz w:val="20"/>
          <w:szCs w:val="20"/>
        </w:rPr>
        <w:t xml:space="preserve">the on-going stack sampling once per year for the main boilers (E-OGU1 and E-OGU2) is required by Special Condition No. 40. </w:t>
      </w:r>
      <w:r w:rsidR="003F0A3A">
        <w:rPr>
          <w:rStyle w:val="Strong"/>
          <w:rFonts w:ascii="Arial" w:hAnsi="Arial" w:cs="Arial"/>
          <w:b w:val="0"/>
          <w:bCs w:val="0"/>
          <w:sz w:val="20"/>
          <w:szCs w:val="20"/>
        </w:rPr>
        <w:t xml:space="preserve">The </w:t>
      </w:r>
      <w:r w:rsidR="00DB1D83">
        <w:rPr>
          <w:rStyle w:val="Strong"/>
          <w:rFonts w:ascii="Arial" w:hAnsi="Arial" w:cs="Arial"/>
          <w:b w:val="0"/>
          <w:bCs w:val="0"/>
          <w:sz w:val="20"/>
          <w:szCs w:val="20"/>
        </w:rPr>
        <w:t>new Condition</w:t>
      </w:r>
      <w:r w:rsidR="003F0A3A">
        <w:rPr>
          <w:rStyle w:val="Strong"/>
          <w:rFonts w:ascii="Arial" w:hAnsi="Arial" w:cs="Arial"/>
          <w:b w:val="0"/>
          <w:bCs w:val="0"/>
          <w:sz w:val="20"/>
          <w:szCs w:val="20"/>
        </w:rPr>
        <w:t xml:space="preserve"> 40</w:t>
      </w:r>
      <w:proofErr w:type="gramStart"/>
      <w:r w:rsidR="003F0A3A">
        <w:rPr>
          <w:rStyle w:val="Strong"/>
          <w:rFonts w:ascii="Arial" w:hAnsi="Arial" w:cs="Arial"/>
          <w:b w:val="0"/>
          <w:bCs w:val="0"/>
          <w:sz w:val="20"/>
          <w:szCs w:val="20"/>
        </w:rPr>
        <w:t>A</w:t>
      </w:r>
      <w:r>
        <w:rPr>
          <w:rStyle w:val="Strong"/>
          <w:rFonts w:ascii="Arial" w:hAnsi="Arial" w:cs="Arial"/>
          <w:b w:val="0"/>
          <w:bCs w:val="0"/>
          <w:sz w:val="20"/>
          <w:szCs w:val="20"/>
        </w:rPr>
        <w:t>(</w:t>
      </w:r>
      <w:proofErr w:type="gramEnd"/>
      <w:r>
        <w:rPr>
          <w:rStyle w:val="Strong"/>
          <w:rFonts w:ascii="Arial" w:hAnsi="Arial" w:cs="Arial"/>
          <w:b w:val="0"/>
          <w:bCs w:val="0"/>
          <w:sz w:val="20"/>
          <w:szCs w:val="20"/>
        </w:rPr>
        <w:t xml:space="preserve">1) </w:t>
      </w:r>
      <w:r w:rsidR="003F0A3A">
        <w:rPr>
          <w:rStyle w:val="Strong"/>
          <w:rFonts w:ascii="Arial" w:hAnsi="Arial" w:cs="Arial"/>
          <w:b w:val="0"/>
          <w:bCs w:val="0"/>
          <w:sz w:val="20"/>
          <w:szCs w:val="20"/>
        </w:rPr>
        <w:t xml:space="preserve">allows </w:t>
      </w:r>
      <w:r w:rsidR="002A18A2">
        <w:rPr>
          <w:rStyle w:val="Strong"/>
          <w:rFonts w:ascii="Arial" w:hAnsi="Arial" w:cs="Arial"/>
          <w:b w:val="0"/>
          <w:bCs w:val="0"/>
          <w:sz w:val="20"/>
          <w:szCs w:val="20"/>
        </w:rPr>
        <w:t xml:space="preserve">the stack sampling </w:t>
      </w:r>
      <w:r w:rsidR="003F0A3A">
        <w:rPr>
          <w:rStyle w:val="Strong"/>
          <w:rFonts w:ascii="Arial" w:hAnsi="Arial" w:cs="Arial"/>
          <w:b w:val="0"/>
          <w:bCs w:val="0"/>
          <w:sz w:val="20"/>
          <w:szCs w:val="20"/>
        </w:rPr>
        <w:t xml:space="preserve">to </w:t>
      </w:r>
      <w:r w:rsidR="002A18A2">
        <w:rPr>
          <w:rStyle w:val="Strong"/>
          <w:rFonts w:ascii="Arial" w:hAnsi="Arial" w:cs="Arial"/>
          <w:b w:val="0"/>
          <w:bCs w:val="0"/>
          <w:sz w:val="20"/>
          <w:szCs w:val="20"/>
        </w:rPr>
        <w:t>conduct once every three years</w:t>
      </w:r>
      <w:r w:rsidR="003F0A3A">
        <w:rPr>
          <w:rStyle w:val="Strong"/>
          <w:rFonts w:ascii="Arial" w:hAnsi="Arial" w:cs="Arial"/>
          <w:b w:val="0"/>
          <w:bCs w:val="0"/>
          <w:sz w:val="20"/>
          <w:szCs w:val="20"/>
        </w:rPr>
        <w:t xml:space="preserve"> a</w:t>
      </w:r>
      <w:r w:rsidR="003F0A3A" w:rsidRPr="003F0A3A">
        <w:rPr>
          <w:rFonts w:ascii="Arial" w:hAnsi="Arial" w:cs="Arial"/>
          <w:sz w:val="20"/>
          <w:szCs w:val="20"/>
        </w:rPr>
        <w:t>fter two years annual stack sampling,</w:t>
      </w:r>
      <w:r w:rsidR="003F0A3A">
        <w:rPr>
          <w:rFonts w:ascii="Arial" w:hAnsi="Arial" w:cs="Arial"/>
          <w:sz w:val="20"/>
          <w:szCs w:val="20"/>
        </w:rPr>
        <w:t xml:space="preserve"> only </w:t>
      </w:r>
      <w:r w:rsidR="002A18A2">
        <w:rPr>
          <w:rStyle w:val="Strong"/>
          <w:rFonts w:ascii="Arial" w:hAnsi="Arial" w:cs="Arial"/>
          <w:b w:val="0"/>
          <w:bCs w:val="0"/>
          <w:sz w:val="20"/>
          <w:szCs w:val="20"/>
        </w:rPr>
        <w:t xml:space="preserve">if the stack sampling results are less than 70% of applicable performance standard (BACT) identified in Special Condition No. 11B. </w:t>
      </w:r>
    </w:p>
    <w:p w14:paraId="3B49C882" w14:textId="77777777" w:rsidR="003F0A3A" w:rsidRDefault="003F0A3A" w:rsidP="002A18A2">
      <w:pPr>
        <w:pStyle w:val="Default"/>
        <w:rPr>
          <w:rStyle w:val="Strong"/>
          <w:rFonts w:ascii="Arial" w:hAnsi="Arial" w:cs="Arial"/>
          <w:b w:val="0"/>
          <w:bCs w:val="0"/>
          <w:sz w:val="20"/>
          <w:szCs w:val="20"/>
        </w:rPr>
      </w:pPr>
    </w:p>
    <w:p w14:paraId="5ABD099D" w14:textId="052AFC2D" w:rsidR="00D05F94" w:rsidRDefault="003F0A3A" w:rsidP="00183F19">
      <w:pPr>
        <w:pStyle w:val="Default"/>
        <w:rPr>
          <w:rStyle w:val="Strong"/>
          <w:rFonts w:ascii="Arial" w:hAnsi="Arial" w:cs="Arial"/>
          <w:b w:val="0"/>
          <w:bCs w:val="0"/>
          <w:sz w:val="20"/>
          <w:szCs w:val="20"/>
        </w:rPr>
      </w:pPr>
      <w:r>
        <w:rPr>
          <w:rStyle w:val="Strong"/>
          <w:rFonts w:ascii="Arial" w:hAnsi="Arial" w:cs="Arial"/>
          <w:b w:val="0"/>
          <w:bCs w:val="0"/>
          <w:sz w:val="20"/>
          <w:szCs w:val="20"/>
        </w:rPr>
        <w:t>The</w:t>
      </w:r>
      <w:r w:rsidR="00814909">
        <w:rPr>
          <w:rStyle w:val="Strong"/>
          <w:rFonts w:ascii="Arial" w:hAnsi="Arial" w:cs="Arial"/>
          <w:b w:val="0"/>
          <w:bCs w:val="0"/>
          <w:sz w:val="20"/>
          <w:szCs w:val="20"/>
        </w:rPr>
        <w:t xml:space="preserve"> detailed </w:t>
      </w:r>
      <w:r w:rsidR="00D05F94">
        <w:rPr>
          <w:rStyle w:val="Strong"/>
          <w:rFonts w:ascii="Arial" w:hAnsi="Arial" w:cs="Arial"/>
          <w:b w:val="0"/>
          <w:bCs w:val="0"/>
          <w:sz w:val="20"/>
          <w:szCs w:val="20"/>
        </w:rPr>
        <w:t>s</w:t>
      </w:r>
      <w:r w:rsidR="00305B6C">
        <w:rPr>
          <w:rStyle w:val="Strong"/>
          <w:rFonts w:ascii="Arial" w:hAnsi="Arial" w:cs="Arial"/>
          <w:b w:val="0"/>
          <w:bCs w:val="0"/>
          <w:sz w:val="20"/>
          <w:szCs w:val="20"/>
        </w:rPr>
        <w:t>tack testing</w:t>
      </w:r>
      <w:r w:rsidR="004A2CDF">
        <w:rPr>
          <w:rStyle w:val="Strong"/>
          <w:rFonts w:ascii="Arial" w:hAnsi="Arial" w:cs="Arial"/>
          <w:b w:val="0"/>
          <w:bCs w:val="0"/>
          <w:sz w:val="20"/>
          <w:szCs w:val="20"/>
        </w:rPr>
        <w:t xml:space="preserve"> and </w:t>
      </w:r>
      <w:r w:rsidR="00C10A59">
        <w:rPr>
          <w:rStyle w:val="Strong"/>
          <w:rFonts w:ascii="Arial" w:hAnsi="Arial" w:cs="Arial"/>
          <w:b w:val="0"/>
          <w:bCs w:val="0"/>
          <w:sz w:val="20"/>
          <w:szCs w:val="20"/>
        </w:rPr>
        <w:t>sampling</w:t>
      </w:r>
      <w:r w:rsidR="00F061D2">
        <w:rPr>
          <w:rStyle w:val="Strong"/>
          <w:rFonts w:ascii="Arial" w:hAnsi="Arial" w:cs="Arial"/>
          <w:b w:val="0"/>
          <w:bCs w:val="0"/>
          <w:sz w:val="20"/>
          <w:szCs w:val="20"/>
        </w:rPr>
        <w:t xml:space="preserve"> </w:t>
      </w:r>
      <w:r>
        <w:rPr>
          <w:rStyle w:val="Strong"/>
          <w:rFonts w:ascii="Arial" w:hAnsi="Arial" w:cs="Arial"/>
          <w:b w:val="0"/>
          <w:bCs w:val="0"/>
          <w:sz w:val="20"/>
          <w:szCs w:val="20"/>
        </w:rPr>
        <w:t xml:space="preserve">requirements are provided in </w:t>
      </w:r>
      <w:r w:rsidRPr="003F0A3A">
        <w:rPr>
          <w:rFonts w:ascii="Arial" w:hAnsi="Arial" w:cs="Arial"/>
          <w:sz w:val="20"/>
          <w:szCs w:val="20"/>
        </w:rPr>
        <w:t>Condition No. 33</w:t>
      </w:r>
      <w:r>
        <w:rPr>
          <w:rFonts w:ascii="Arial" w:hAnsi="Arial" w:cs="Arial"/>
          <w:sz w:val="20"/>
          <w:szCs w:val="20"/>
        </w:rPr>
        <w:t xml:space="preserve">. It </w:t>
      </w:r>
      <w:r w:rsidR="00BA7240">
        <w:rPr>
          <w:rStyle w:val="Strong"/>
          <w:rFonts w:ascii="Arial" w:hAnsi="Arial" w:cs="Arial"/>
          <w:b w:val="0"/>
          <w:bCs w:val="0"/>
          <w:sz w:val="20"/>
          <w:szCs w:val="20"/>
        </w:rPr>
        <w:t>must</w:t>
      </w:r>
      <w:r w:rsidR="00F061D2" w:rsidRPr="00F061D2">
        <w:rPr>
          <w:rStyle w:val="Strong"/>
          <w:rFonts w:ascii="Arial" w:hAnsi="Arial" w:cs="Arial"/>
          <w:b w:val="0"/>
          <w:bCs w:val="0"/>
          <w:sz w:val="20"/>
          <w:szCs w:val="20"/>
        </w:rPr>
        <w:t xml:space="preserve"> be conducted in accordance with the methods, procedures, and notification protocol specified</w:t>
      </w:r>
      <w:r w:rsidR="00D05F94">
        <w:rPr>
          <w:rStyle w:val="Strong"/>
          <w:rFonts w:ascii="Arial" w:hAnsi="Arial" w:cs="Arial"/>
          <w:b w:val="0"/>
          <w:bCs w:val="0"/>
          <w:sz w:val="20"/>
          <w:szCs w:val="20"/>
        </w:rPr>
        <w:t xml:space="preserve"> in federal and state rules</w:t>
      </w:r>
      <w:r w:rsidR="00E85652">
        <w:rPr>
          <w:rStyle w:val="Strong"/>
          <w:rFonts w:ascii="Arial" w:hAnsi="Arial" w:cs="Arial"/>
          <w:b w:val="0"/>
          <w:bCs w:val="0"/>
          <w:sz w:val="20"/>
          <w:szCs w:val="20"/>
        </w:rPr>
        <w:t>. T</w:t>
      </w:r>
      <w:r w:rsidR="00C10A59">
        <w:rPr>
          <w:rStyle w:val="Strong"/>
          <w:rFonts w:ascii="Arial" w:hAnsi="Arial" w:cs="Arial"/>
          <w:b w:val="0"/>
          <w:bCs w:val="0"/>
          <w:sz w:val="20"/>
          <w:szCs w:val="20"/>
        </w:rPr>
        <w:t>he proposal, testing methods, parameters, results, deviation, and other details shall be reported to TCEQ</w:t>
      </w:r>
      <w:r w:rsidR="00DB1D83">
        <w:rPr>
          <w:rStyle w:val="Strong"/>
          <w:rFonts w:ascii="Arial" w:hAnsi="Arial" w:cs="Arial"/>
          <w:b w:val="0"/>
          <w:bCs w:val="0"/>
          <w:sz w:val="20"/>
          <w:szCs w:val="20"/>
        </w:rPr>
        <w:t xml:space="preserve"> Region Office and </w:t>
      </w:r>
      <w:r w:rsidR="00814909">
        <w:rPr>
          <w:rStyle w:val="Strong"/>
          <w:rFonts w:ascii="Arial" w:hAnsi="Arial" w:cs="Arial"/>
          <w:b w:val="0"/>
          <w:bCs w:val="0"/>
          <w:sz w:val="20"/>
          <w:szCs w:val="20"/>
        </w:rPr>
        <w:t xml:space="preserve">Austin </w:t>
      </w:r>
      <w:r w:rsidR="00DB1D83">
        <w:rPr>
          <w:rStyle w:val="Strong"/>
          <w:rFonts w:ascii="Arial" w:hAnsi="Arial" w:cs="Arial"/>
          <w:b w:val="0"/>
          <w:bCs w:val="0"/>
          <w:sz w:val="20"/>
          <w:szCs w:val="20"/>
        </w:rPr>
        <w:t>Air Permits Division</w:t>
      </w:r>
      <w:r w:rsidR="00C10A59">
        <w:rPr>
          <w:rStyle w:val="Strong"/>
          <w:rFonts w:ascii="Arial" w:hAnsi="Arial" w:cs="Arial"/>
          <w:b w:val="0"/>
          <w:bCs w:val="0"/>
          <w:sz w:val="20"/>
          <w:szCs w:val="20"/>
        </w:rPr>
        <w:t xml:space="preserve">. </w:t>
      </w:r>
    </w:p>
    <w:p w14:paraId="758D56F4" w14:textId="4A4DB538" w:rsidR="002A18A2" w:rsidRDefault="002A18A2" w:rsidP="00183F19">
      <w:pPr>
        <w:pStyle w:val="Default"/>
        <w:rPr>
          <w:rStyle w:val="Strong"/>
          <w:rFonts w:ascii="Arial" w:hAnsi="Arial" w:cs="Arial"/>
          <w:b w:val="0"/>
          <w:bCs w:val="0"/>
          <w:sz w:val="20"/>
          <w:szCs w:val="20"/>
        </w:rPr>
      </w:pPr>
    </w:p>
    <w:p w14:paraId="0A632CB2" w14:textId="1FF4D531" w:rsidR="002A18A2" w:rsidRDefault="00D05F94" w:rsidP="00183F19">
      <w:pPr>
        <w:pStyle w:val="Default"/>
        <w:rPr>
          <w:rStyle w:val="Strong"/>
          <w:rFonts w:ascii="Arial" w:hAnsi="Arial" w:cs="Arial"/>
          <w:b w:val="0"/>
          <w:bCs w:val="0"/>
          <w:sz w:val="20"/>
          <w:szCs w:val="20"/>
        </w:rPr>
      </w:pPr>
      <w:r w:rsidRPr="00D05F94">
        <w:rPr>
          <w:rFonts w:ascii="Arial" w:hAnsi="Arial" w:cs="Arial"/>
          <w:sz w:val="20"/>
          <w:szCs w:val="20"/>
        </w:rPr>
        <w:t>Special Condition No</w:t>
      </w:r>
      <w:r w:rsidR="002A18A2">
        <w:rPr>
          <w:rFonts w:ascii="Arial" w:hAnsi="Arial" w:cs="Arial"/>
          <w:sz w:val="20"/>
          <w:szCs w:val="20"/>
        </w:rPr>
        <w:t>s</w:t>
      </w:r>
      <w:r w:rsidRPr="00D05F94">
        <w:rPr>
          <w:rFonts w:ascii="Arial" w:hAnsi="Arial" w:cs="Arial"/>
          <w:sz w:val="20"/>
          <w:szCs w:val="20"/>
        </w:rPr>
        <w:t>. 3</w:t>
      </w:r>
      <w:r>
        <w:rPr>
          <w:rFonts w:ascii="Arial" w:hAnsi="Arial" w:cs="Arial"/>
          <w:sz w:val="20"/>
          <w:szCs w:val="20"/>
        </w:rPr>
        <w:t>4</w:t>
      </w:r>
      <w:r w:rsidR="002A18A2">
        <w:rPr>
          <w:rFonts w:ascii="Arial" w:hAnsi="Arial" w:cs="Arial"/>
          <w:sz w:val="20"/>
          <w:szCs w:val="20"/>
        </w:rPr>
        <w:t xml:space="preserve"> through 37</w:t>
      </w:r>
      <w:r>
        <w:rPr>
          <w:rFonts w:ascii="Arial" w:hAnsi="Arial" w:cs="Arial"/>
          <w:sz w:val="20"/>
          <w:szCs w:val="20"/>
        </w:rPr>
        <w:t xml:space="preserve"> require applicant to </w:t>
      </w:r>
      <w:r w:rsidRPr="00D05F94">
        <w:rPr>
          <w:rFonts w:ascii="Arial" w:hAnsi="Arial" w:cs="Arial"/>
          <w:sz w:val="20"/>
          <w:szCs w:val="20"/>
        </w:rPr>
        <w:t>install, calibrate, maintain, and operate continuous emission monitoring systems (CEMS) to measure and record the concentrations of NO</w:t>
      </w:r>
      <w:r w:rsidRPr="00D05F94">
        <w:rPr>
          <w:rFonts w:ascii="Arial" w:hAnsi="Arial" w:cs="Arial"/>
          <w:sz w:val="20"/>
          <w:szCs w:val="20"/>
          <w:vertAlign w:val="subscript"/>
        </w:rPr>
        <w:t>x</w:t>
      </w:r>
      <w:r w:rsidRPr="00D05F94">
        <w:rPr>
          <w:rFonts w:ascii="Arial" w:hAnsi="Arial" w:cs="Arial"/>
          <w:sz w:val="20"/>
          <w:szCs w:val="20"/>
        </w:rPr>
        <w:t>, CO, SO</w:t>
      </w:r>
      <w:r w:rsidRPr="00D05F94">
        <w:rPr>
          <w:rFonts w:ascii="Arial" w:hAnsi="Arial" w:cs="Arial"/>
          <w:sz w:val="20"/>
          <w:szCs w:val="20"/>
          <w:vertAlign w:val="subscript"/>
        </w:rPr>
        <w:t>2</w:t>
      </w:r>
      <w:r w:rsidR="002A18A2">
        <w:rPr>
          <w:rFonts w:ascii="Arial" w:hAnsi="Arial" w:cs="Arial"/>
          <w:sz w:val="20"/>
          <w:szCs w:val="20"/>
        </w:rPr>
        <w:t>, PM/PM</w:t>
      </w:r>
      <w:r w:rsidR="002A18A2" w:rsidRPr="002A18A2">
        <w:rPr>
          <w:rFonts w:ascii="Arial" w:hAnsi="Arial" w:cs="Arial"/>
          <w:sz w:val="20"/>
          <w:szCs w:val="20"/>
          <w:vertAlign w:val="subscript"/>
        </w:rPr>
        <w:t>10</w:t>
      </w:r>
      <w:r w:rsidR="002A18A2">
        <w:rPr>
          <w:rFonts w:ascii="Arial" w:hAnsi="Arial" w:cs="Arial"/>
          <w:sz w:val="20"/>
          <w:szCs w:val="20"/>
        </w:rPr>
        <w:t>, NH</w:t>
      </w:r>
      <w:r w:rsidR="002A18A2" w:rsidRPr="002A18A2">
        <w:rPr>
          <w:rFonts w:ascii="Arial" w:hAnsi="Arial" w:cs="Arial"/>
          <w:sz w:val="20"/>
          <w:szCs w:val="20"/>
          <w:vertAlign w:val="subscript"/>
        </w:rPr>
        <w:t>3</w:t>
      </w:r>
      <w:r w:rsidR="002A18A2">
        <w:rPr>
          <w:rFonts w:ascii="Arial" w:hAnsi="Arial" w:cs="Arial"/>
          <w:sz w:val="20"/>
          <w:szCs w:val="20"/>
        </w:rPr>
        <w:t xml:space="preserve">, and </w:t>
      </w:r>
      <w:r w:rsidR="00DB1D83">
        <w:rPr>
          <w:rFonts w:ascii="Arial" w:hAnsi="Arial" w:cs="Arial"/>
          <w:sz w:val="20"/>
          <w:szCs w:val="20"/>
        </w:rPr>
        <w:t>Hg</w:t>
      </w:r>
      <w:r w:rsidR="002A18A2">
        <w:rPr>
          <w:rFonts w:ascii="Arial" w:hAnsi="Arial" w:cs="Arial"/>
          <w:sz w:val="20"/>
          <w:szCs w:val="20"/>
        </w:rPr>
        <w:t xml:space="preserve"> </w:t>
      </w:r>
      <w:r w:rsidRPr="00D05F94">
        <w:rPr>
          <w:rFonts w:ascii="Arial" w:hAnsi="Arial" w:cs="Arial"/>
          <w:sz w:val="20"/>
          <w:szCs w:val="20"/>
        </w:rPr>
        <w:t>from</w:t>
      </w:r>
      <w:r w:rsidR="002A18A2">
        <w:rPr>
          <w:rFonts w:ascii="Arial" w:hAnsi="Arial" w:cs="Arial"/>
          <w:sz w:val="20"/>
          <w:szCs w:val="20"/>
        </w:rPr>
        <w:t xml:space="preserve"> boilers</w:t>
      </w:r>
      <w:r w:rsidRPr="00D05F94">
        <w:rPr>
          <w:rFonts w:ascii="Arial" w:hAnsi="Arial" w:cs="Arial"/>
          <w:sz w:val="20"/>
          <w:szCs w:val="20"/>
        </w:rPr>
        <w:t xml:space="preserve"> E-OGU1 and E-OGU2.  Diluents to be measured include O</w:t>
      </w:r>
      <w:r w:rsidRPr="00D05F94">
        <w:rPr>
          <w:rFonts w:ascii="Arial" w:hAnsi="Arial" w:cs="Arial"/>
          <w:sz w:val="20"/>
          <w:szCs w:val="20"/>
          <w:vertAlign w:val="subscript"/>
        </w:rPr>
        <w:t>2</w:t>
      </w:r>
      <w:r w:rsidRPr="00D05F94">
        <w:rPr>
          <w:rFonts w:ascii="Arial" w:hAnsi="Arial" w:cs="Arial"/>
          <w:sz w:val="20"/>
          <w:szCs w:val="20"/>
        </w:rPr>
        <w:t xml:space="preserve"> or CO</w:t>
      </w:r>
      <w:r w:rsidRPr="00D05F94">
        <w:rPr>
          <w:rFonts w:ascii="Arial" w:hAnsi="Arial" w:cs="Arial"/>
          <w:sz w:val="20"/>
          <w:szCs w:val="20"/>
          <w:vertAlign w:val="subscript"/>
        </w:rPr>
        <w:t>2.</w:t>
      </w:r>
      <w:r w:rsidRPr="00D05F94">
        <w:rPr>
          <w:rFonts w:ascii="Arial" w:hAnsi="Arial" w:cs="Arial"/>
          <w:sz w:val="20"/>
          <w:szCs w:val="20"/>
        </w:rPr>
        <w:t xml:space="preserve">  </w:t>
      </w:r>
      <w:r w:rsidR="002A18A2">
        <w:rPr>
          <w:rStyle w:val="Strong"/>
          <w:rFonts w:ascii="Arial" w:hAnsi="Arial" w:cs="Arial"/>
          <w:b w:val="0"/>
          <w:bCs w:val="0"/>
          <w:sz w:val="20"/>
          <w:szCs w:val="20"/>
        </w:rPr>
        <w:t xml:space="preserve">The Condition No. 40D and E clarify that the ongoing compliance with various pollutants emission rates shall be demonstrated with CEMS data as specified in the MAERT for both hourly rates and annual rates.  The recordkeeping and reporting requirements are specified in </w:t>
      </w:r>
      <w:r w:rsidR="00814909">
        <w:rPr>
          <w:rStyle w:val="Strong"/>
          <w:rFonts w:ascii="Arial" w:hAnsi="Arial" w:cs="Arial"/>
          <w:b w:val="0"/>
          <w:bCs w:val="0"/>
          <w:sz w:val="20"/>
          <w:szCs w:val="20"/>
        </w:rPr>
        <w:t>C</w:t>
      </w:r>
      <w:r w:rsidR="002A18A2">
        <w:rPr>
          <w:rStyle w:val="Strong"/>
          <w:rFonts w:ascii="Arial" w:hAnsi="Arial" w:cs="Arial"/>
          <w:b w:val="0"/>
          <w:bCs w:val="0"/>
          <w:sz w:val="20"/>
          <w:szCs w:val="20"/>
        </w:rPr>
        <w:t xml:space="preserve">ondition No. 34C and D and recordkeeping </w:t>
      </w:r>
      <w:r w:rsidR="00DB1D83">
        <w:rPr>
          <w:rStyle w:val="Strong"/>
          <w:rFonts w:ascii="Arial" w:hAnsi="Arial" w:cs="Arial"/>
          <w:b w:val="0"/>
          <w:bCs w:val="0"/>
          <w:sz w:val="20"/>
          <w:szCs w:val="20"/>
        </w:rPr>
        <w:t>C</w:t>
      </w:r>
      <w:r w:rsidR="002A18A2">
        <w:rPr>
          <w:rStyle w:val="Strong"/>
          <w:rFonts w:ascii="Arial" w:hAnsi="Arial" w:cs="Arial"/>
          <w:b w:val="0"/>
          <w:bCs w:val="0"/>
          <w:sz w:val="20"/>
          <w:szCs w:val="20"/>
        </w:rPr>
        <w:t xml:space="preserve">ondition No. 45.  </w:t>
      </w:r>
    </w:p>
    <w:p w14:paraId="4CD6E0B0" w14:textId="77777777" w:rsidR="00E92996" w:rsidRPr="00E92996" w:rsidRDefault="00E92996" w:rsidP="007E33EE">
      <w:pPr>
        <w:pStyle w:val="Default"/>
        <w:rPr>
          <w:rStyle w:val="Strong"/>
          <w:rFonts w:ascii="Arial" w:hAnsi="Arial" w:cs="Arial"/>
          <w:b w:val="0"/>
          <w:bCs w:val="0"/>
          <w:sz w:val="20"/>
          <w:szCs w:val="20"/>
        </w:rPr>
      </w:pPr>
    </w:p>
    <w:p w14:paraId="6AE59442" w14:textId="3049E546" w:rsidR="00E029FE" w:rsidRPr="00615BEA" w:rsidRDefault="00615BEA" w:rsidP="007E33EE">
      <w:pPr>
        <w:pStyle w:val="Default"/>
        <w:rPr>
          <w:rStyle w:val="Strong"/>
          <w:rFonts w:ascii="Arial" w:hAnsi="Arial" w:cs="Arial"/>
          <w:b w:val="0"/>
          <w:bCs w:val="0"/>
          <w:sz w:val="20"/>
          <w:szCs w:val="20"/>
        </w:rPr>
      </w:pPr>
      <w:r w:rsidRPr="00615BEA">
        <w:rPr>
          <w:rStyle w:val="Strong"/>
          <w:rFonts w:ascii="Arial" w:hAnsi="Arial" w:cs="Arial"/>
          <w:b w:val="0"/>
          <w:bCs w:val="0"/>
          <w:sz w:val="20"/>
          <w:szCs w:val="20"/>
        </w:rPr>
        <w:t>Therefore, the annual stack sampling</w:t>
      </w:r>
      <w:r w:rsidR="004A2CDF">
        <w:rPr>
          <w:rStyle w:val="Strong"/>
          <w:rFonts w:ascii="Arial" w:hAnsi="Arial" w:cs="Arial"/>
          <w:b w:val="0"/>
          <w:bCs w:val="0"/>
          <w:sz w:val="20"/>
          <w:szCs w:val="20"/>
        </w:rPr>
        <w:t xml:space="preserve"> </w:t>
      </w:r>
      <w:r w:rsidRPr="00615BEA">
        <w:rPr>
          <w:rStyle w:val="Strong"/>
          <w:rFonts w:ascii="Arial" w:hAnsi="Arial" w:cs="Arial"/>
          <w:b w:val="0"/>
          <w:bCs w:val="0"/>
          <w:sz w:val="20"/>
          <w:szCs w:val="20"/>
        </w:rPr>
        <w:t xml:space="preserve">and continuous monitoring CEMS are sufficient to demonstrate the compliance with emission limits </w:t>
      </w:r>
      <w:r w:rsidR="006217B6">
        <w:rPr>
          <w:rStyle w:val="Strong"/>
          <w:rFonts w:ascii="Arial" w:hAnsi="Arial" w:cs="Arial"/>
          <w:b w:val="0"/>
          <w:bCs w:val="0"/>
          <w:sz w:val="20"/>
          <w:szCs w:val="20"/>
        </w:rPr>
        <w:t xml:space="preserve">in the </w:t>
      </w:r>
      <w:r w:rsidRPr="00615BEA">
        <w:rPr>
          <w:rStyle w:val="Strong"/>
          <w:rFonts w:ascii="Arial" w:hAnsi="Arial" w:cs="Arial"/>
          <w:b w:val="0"/>
          <w:bCs w:val="0"/>
          <w:sz w:val="20"/>
          <w:szCs w:val="20"/>
        </w:rPr>
        <w:t xml:space="preserve">MAERT. </w:t>
      </w:r>
      <w:r w:rsidR="006217B6">
        <w:rPr>
          <w:rStyle w:val="Strong"/>
          <w:rFonts w:ascii="Arial" w:hAnsi="Arial" w:cs="Arial"/>
          <w:b w:val="0"/>
          <w:bCs w:val="0"/>
          <w:sz w:val="20"/>
          <w:szCs w:val="20"/>
        </w:rPr>
        <w:t xml:space="preserve"> FOP O2942 is updated to incorporate by reference the updated NSR permit. </w:t>
      </w:r>
    </w:p>
    <w:p w14:paraId="4DF0263F" w14:textId="10F8295D" w:rsidR="0090088E" w:rsidRDefault="0090088E" w:rsidP="007E33EE">
      <w:pPr>
        <w:pStyle w:val="Default"/>
        <w:rPr>
          <w:sz w:val="22"/>
          <w:szCs w:val="22"/>
        </w:rPr>
      </w:pPr>
    </w:p>
    <w:p w14:paraId="1B578C89" w14:textId="65BF6F32" w:rsidR="0090088E" w:rsidRPr="00691129" w:rsidRDefault="0090088E" w:rsidP="007E33EE">
      <w:pPr>
        <w:pStyle w:val="Default"/>
        <w:rPr>
          <w:rFonts w:ascii="Arial" w:hAnsi="Arial" w:cs="Arial"/>
          <w:b/>
          <w:bCs/>
          <w:sz w:val="20"/>
          <w:szCs w:val="20"/>
        </w:rPr>
      </w:pPr>
      <w:r w:rsidRPr="00691129">
        <w:rPr>
          <w:rFonts w:ascii="Arial" w:hAnsi="Arial" w:cs="Arial"/>
          <w:b/>
          <w:bCs/>
          <w:sz w:val="20"/>
          <w:szCs w:val="20"/>
        </w:rPr>
        <w:t>Claim C.4: The Proposed Permit Fails to Assure Compliance with PM/PM</w:t>
      </w:r>
      <w:r w:rsidRPr="008E1BEF">
        <w:rPr>
          <w:rFonts w:ascii="Arial" w:hAnsi="Arial" w:cs="Arial"/>
          <w:b/>
          <w:bCs/>
          <w:sz w:val="20"/>
          <w:szCs w:val="20"/>
          <w:vertAlign w:val="subscript"/>
        </w:rPr>
        <w:t xml:space="preserve">10 </w:t>
      </w:r>
      <w:r w:rsidRPr="00691129">
        <w:rPr>
          <w:rFonts w:ascii="Arial" w:hAnsi="Arial" w:cs="Arial"/>
          <w:b/>
          <w:bCs/>
          <w:sz w:val="20"/>
          <w:szCs w:val="20"/>
        </w:rPr>
        <w:t>Emission Limits in Oak Grove’s PSD Permit.</w:t>
      </w:r>
    </w:p>
    <w:p w14:paraId="611C2623" w14:textId="77777777" w:rsidR="0090088E" w:rsidRPr="00691129" w:rsidRDefault="0090088E" w:rsidP="007E33EE">
      <w:pPr>
        <w:rPr>
          <w:rFonts w:ascii="Times New Roman" w:hAnsi="Times New Roman"/>
          <w:color w:val="000000"/>
          <w:szCs w:val="20"/>
        </w:rPr>
      </w:pPr>
    </w:p>
    <w:p w14:paraId="6DF750AE" w14:textId="38514AFA" w:rsidR="0090088E" w:rsidRPr="00691129" w:rsidRDefault="0090088E" w:rsidP="007E33EE">
      <w:pPr>
        <w:pStyle w:val="Default"/>
        <w:rPr>
          <w:rFonts w:ascii="Arial" w:hAnsi="Arial" w:cs="Arial"/>
          <w:color w:val="auto"/>
          <w:sz w:val="20"/>
          <w:szCs w:val="20"/>
        </w:rPr>
      </w:pPr>
      <w:r w:rsidRPr="00691129">
        <w:rPr>
          <w:rFonts w:ascii="Arial" w:hAnsi="Arial" w:cs="Arial"/>
          <w:b/>
          <w:bCs/>
          <w:color w:val="auto"/>
          <w:sz w:val="20"/>
          <w:szCs w:val="20"/>
        </w:rPr>
        <w:t xml:space="preserve">Direction to TCEQ: </w:t>
      </w:r>
      <w:r w:rsidRPr="00691129">
        <w:rPr>
          <w:rFonts w:ascii="Arial" w:hAnsi="Arial" w:cs="Arial"/>
          <w:color w:val="auto"/>
          <w:sz w:val="20"/>
          <w:szCs w:val="20"/>
        </w:rPr>
        <w:t>In responding to this Order, TCEQ should evaluate the chosen monitoring for PM/PM10 emissions during periods of</w:t>
      </w:r>
      <w:r w:rsidR="00956B02" w:rsidRPr="00691129">
        <w:rPr>
          <w:rFonts w:ascii="Arial" w:hAnsi="Arial" w:cs="Arial"/>
          <w:color w:val="auto"/>
          <w:sz w:val="20"/>
          <w:szCs w:val="20"/>
        </w:rPr>
        <w:t xml:space="preserve"> </w:t>
      </w:r>
      <w:r w:rsidRPr="00691129">
        <w:rPr>
          <w:rFonts w:ascii="Arial" w:hAnsi="Arial" w:cs="Arial"/>
          <w:color w:val="auto"/>
          <w:sz w:val="20"/>
          <w:szCs w:val="20"/>
        </w:rPr>
        <w:t>MSS to determine if</w:t>
      </w:r>
      <w:r w:rsidR="00956B02" w:rsidRPr="00691129">
        <w:rPr>
          <w:rFonts w:ascii="Arial" w:hAnsi="Arial" w:cs="Arial"/>
          <w:color w:val="auto"/>
          <w:sz w:val="20"/>
          <w:szCs w:val="20"/>
        </w:rPr>
        <w:t xml:space="preserve"> </w:t>
      </w:r>
      <w:r w:rsidRPr="00691129">
        <w:rPr>
          <w:rFonts w:ascii="Arial" w:hAnsi="Arial" w:cs="Arial"/>
          <w:color w:val="auto"/>
          <w:sz w:val="20"/>
          <w:szCs w:val="20"/>
        </w:rPr>
        <w:t>the monitoring is sufficient. If TCEQ determines that the parametric monitoring of</w:t>
      </w:r>
      <w:r w:rsidR="00956B02" w:rsidRPr="00691129">
        <w:rPr>
          <w:rFonts w:ascii="Arial" w:hAnsi="Arial" w:cs="Arial"/>
          <w:color w:val="auto"/>
          <w:sz w:val="20"/>
          <w:szCs w:val="20"/>
        </w:rPr>
        <w:t xml:space="preserve"> </w:t>
      </w:r>
      <w:r w:rsidRPr="00691129">
        <w:rPr>
          <w:rFonts w:ascii="Arial" w:hAnsi="Arial" w:cs="Arial"/>
          <w:color w:val="auto"/>
          <w:sz w:val="20"/>
          <w:szCs w:val="20"/>
        </w:rPr>
        <w:t>the pressure drop is sufficient, it should include justification in the permit record along with an explanation of</w:t>
      </w:r>
      <w:r w:rsidR="00956B02" w:rsidRPr="00691129">
        <w:rPr>
          <w:rFonts w:ascii="Arial" w:hAnsi="Arial" w:cs="Arial"/>
          <w:color w:val="auto"/>
          <w:sz w:val="20"/>
          <w:szCs w:val="20"/>
        </w:rPr>
        <w:t xml:space="preserve"> </w:t>
      </w:r>
      <w:r w:rsidRPr="00691129">
        <w:rPr>
          <w:rFonts w:ascii="Arial" w:hAnsi="Arial" w:cs="Arial"/>
          <w:color w:val="auto"/>
          <w:sz w:val="20"/>
          <w:szCs w:val="20"/>
        </w:rPr>
        <w:t>how it ensures compliance with annual PM/PM10 emission limits. In addition, TCEQ should modify the title V permit to include the id</w:t>
      </w:r>
      <w:r w:rsidR="00956B02" w:rsidRPr="00691129">
        <w:rPr>
          <w:rFonts w:ascii="Arial" w:hAnsi="Arial" w:cs="Arial"/>
          <w:color w:val="auto"/>
          <w:sz w:val="20"/>
          <w:szCs w:val="20"/>
        </w:rPr>
        <w:t xml:space="preserve">entified </w:t>
      </w:r>
      <w:r w:rsidRPr="00691129">
        <w:rPr>
          <w:rFonts w:ascii="Arial" w:hAnsi="Arial" w:cs="Arial"/>
          <w:color w:val="auto"/>
          <w:sz w:val="20"/>
          <w:szCs w:val="20"/>
        </w:rPr>
        <w:t>pressure drop range specified by the manufacturer.</w:t>
      </w:r>
    </w:p>
    <w:p w14:paraId="34CCB379" w14:textId="2C0DFB88" w:rsidR="0090088E" w:rsidRDefault="0090088E" w:rsidP="007E33EE">
      <w:pPr>
        <w:pStyle w:val="Default"/>
        <w:rPr>
          <w:color w:val="auto"/>
          <w:sz w:val="22"/>
          <w:szCs w:val="22"/>
        </w:rPr>
      </w:pPr>
    </w:p>
    <w:p w14:paraId="0F2287C0" w14:textId="40324141" w:rsidR="00CE7192" w:rsidRDefault="0090088E" w:rsidP="008119E3">
      <w:pPr>
        <w:pStyle w:val="Default"/>
        <w:rPr>
          <w:rStyle w:val="Strong"/>
          <w:rFonts w:ascii="Arial" w:hAnsi="Arial" w:cs="Arial"/>
          <w:b w:val="0"/>
          <w:bCs w:val="0"/>
          <w:sz w:val="20"/>
          <w:szCs w:val="20"/>
        </w:rPr>
      </w:pPr>
      <w:r w:rsidRPr="00691129">
        <w:rPr>
          <w:rStyle w:val="Strong"/>
          <w:rFonts w:ascii="Arial" w:hAnsi="Arial" w:cs="Arial"/>
          <w:sz w:val="20"/>
          <w:szCs w:val="20"/>
        </w:rPr>
        <w:t xml:space="preserve">TCEQ Response:  </w:t>
      </w:r>
      <w:r w:rsidR="008119E3" w:rsidRPr="008119E3">
        <w:rPr>
          <w:rStyle w:val="Strong"/>
          <w:rFonts w:ascii="Arial" w:hAnsi="Arial" w:cs="Arial"/>
          <w:b w:val="0"/>
          <w:bCs w:val="0"/>
          <w:sz w:val="20"/>
          <w:szCs w:val="20"/>
        </w:rPr>
        <w:t xml:space="preserve">To address </w:t>
      </w:r>
      <w:r w:rsidR="00EC34B6">
        <w:rPr>
          <w:rStyle w:val="Strong"/>
          <w:rFonts w:ascii="Arial" w:hAnsi="Arial" w:cs="Arial"/>
          <w:b w:val="0"/>
          <w:bCs w:val="0"/>
          <w:sz w:val="20"/>
          <w:szCs w:val="20"/>
        </w:rPr>
        <w:t>the EPA order</w:t>
      </w:r>
      <w:r w:rsidR="008119E3" w:rsidRPr="008119E3">
        <w:rPr>
          <w:rStyle w:val="Strong"/>
          <w:rFonts w:ascii="Arial" w:hAnsi="Arial" w:cs="Arial"/>
          <w:b w:val="0"/>
          <w:bCs w:val="0"/>
          <w:sz w:val="20"/>
          <w:szCs w:val="20"/>
        </w:rPr>
        <w:t xml:space="preserve">, the ED notes that NSR Permit 76474/PSDTX1056 issued September 30, 2022, </w:t>
      </w:r>
      <w:r w:rsidR="000E2D15" w:rsidRPr="0045383D">
        <w:rPr>
          <w:rStyle w:val="Strong"/>
          <w:rFonts w:ascii="Arial" w:hAnsi="Arial" w:cs="Arial"/>
          <w:b w:val="0"/>
          <w:bCs w:val="0"/>
          <w:sz w:val="20"/>
          <w:szCs w:val="20"/>
        </w:rPr>
        <w:t>Special Condition No. 41A was revised</w:t>
      </w:r>
      <w:r w:rsidR="0045383D" w:rsidRPr="0045383D">
        <w:rPr>
          <w:rStyle w:val="Strong"/>
          <w:rFonts w:ascii="Arial" w:hAnsi="Arial" w:cs="Arial"/>
          <w:b w:val="0"/>
          <w:bCs w:val="0"/>
          <w:sz w:val="20"/>
          <w:szCs w:val="20"/>
        </w:rPr>
        <w:t xml:space="preserve"> to include the CEMS as </w:t>
      </w:r>
      <w:r w:rsidR="009C77E7" w:rsidRPr="0045383D">
        <w:rPr>
          <w:rStyle w:val="Strong"/>
          <w:rFonts w:ascii="Arial" w:hAnsi="Arial" w:cs="Arial"/>
          <w:b w:val="0"/>
          <w:bCs w:val="0"/>
          <w:sz w:val="20"/>
          <w:szCs w:val="20"/>
        </w:rPr>
        <w:t xml:space="preserve">compliance </w:t>
      </w:r>
      <w:r w:rsidR="0045383D" w:rsidRPr="0045383D">
        <w:rPr>
          <w:rStyle w:val="Strong"/>
          <w:rFonts w:ascii="Arial" w:hAnsi="Arial" w:cs="Arial"/>
          <w:b w:val="0"/>
          <w:bCs w:val="0"/>
          <w:sz w:val="20"/>
          <w:szCs w:val="20"/>
        </w:rPr>
        <w:t>demonstration for PM/PM</w:t>
      </w:r>
      <w:r w:rsidR="0045383D" w:rsidRPr="008E1BEF">
        <w:rPr>
          <w:rStyle w:val="Strong"/>
          <w:rFonts w:ascii="Arial" w:hAnsi="Arial" w:cs="Arial"/>
          <w:b w:val="0"/>
          <w:bCs w:val="0"/>
          <w:sz w:val="20"/>
          <w:szCs w:val="20"/>
          <w:vertAlign w:val="subscript"/>
        </w:rPr>
        <w:t>10</w:t>
      </w:r>
      <w:r w:rsidR="0045383D" w:rsidRPr="0045383D">
        <w:rPr>
          <w:rStyle w:val="Strong"/>
          <w:rFonts w:ascii="Arial" w:hAnsi="Arial" w:cs="Arial"/>
          <w:b w:val="0"/>
          <w:bCs w:val="0"/>
          <w:sz w:val="20"/>
          <w:szCs w:val="20"/>
        </w:rPr>
        <w:t xml:space="preserve"> (filterable and total)</w:t>
      </w:r>
      <w:r w:rsidR="000E2D15" w:rsidRPr="0045383D">
        <w:rPr>
          <w:rStyle w:val="Strong"/>
          <w:rFonts w:ascii="Arial" w:hAnsi="Arial" w:cs="Arial"/>
          <w:b w:val="0"/>
          <w:bCs w:val="0"/>
          <w:sz w:val="20"/>
          <w:szCs w:val="20"/>
        </w:rPr>
        <w:t xml:space="preserve"> </w:t>
      </w:r>
      <w:r w:rsidR="00CE7192">
        <w:rPr>
          <w:rStyle w:val="Strong"/>
          <w:rFonts w:ascii="Arial" w:hAnsi="Arial" w:cs="Arial"/>
          <w:b w:val="0"/>
          <w:bCs w:val="0"/>
          <w:sz w:val="20"/>
          <w:szCs w:val="20"/>
        </w:rPr>
        <w:t xml:space="preserve">instead of baghouse pressure drop recordkeeping. </w:t>
      </w:r>
      <w:r w:rsidR="00A62867">
        <w:rPr>
          <w:rStyle w:val="Strong"/>
          <w:rFonts w:ascii="Arial" w:hAnsi="Arial" w:cs="Arial"/>
          <w:b w:val="0"/>
          <w:bCs w:val="0"/>
          <w:sz w:val="20"/>
          <w:szCs w:val="20"/>
        </w:rPr>
        <w:t xml:space="preserve">Revised </w:t>
      </w:r>
      <w:r w:rsidR="00CE7192">
        <w:rPr>
          <w:rStyle w:val="Strong"/>
          <w:rFonts w:ascii="Arial" w:hAnsi="Arial" w:cs="Arial"/>
          <w:b w:val="0"/>
          <w:bCs w:val="0"/>
          <w:sz w:val="20"/>
          <w:szCs w:val="20"/>
        </w:rPr>
        <w:t xml:space="preserve">Special Condition No. 35 in NSR </w:t>
      </w:r>
      <w:r w:rsidR="002A6339">
        <w:rPr>
          <w:rStyle w:val="Strong"/>
          <w:rFonts w:ascii="Arial" w:hAnsi="Arial" w:cs="Arial"/>
          <w:b w:val="0"/>
          <w:bCs w:val="0"/>
          <w:sz w:val="20"/>
          <w:szCs w:val="20"/>
        </w:rPr>
        <w:t>permit states</w:t>
      </w:r>
      <w:r w:rsidR="00CE7192">
        <w:rPr>
          <w:rStyle w:val="Strong"/>
          <w:rFonts w:ascii="Arial" w:hAnsi="Arial" w:cs="Arial"/>
          <w:b w:val="0"/>
          <w:bCs w:val="0"/>
          <w:sz w:val="20"/>
          <w:szCs w:val="20"/>
        </w:rPr>
        <w:t xml:space="preserve"> that the site shall install, calibrate, certify, operate, </w:t>
      </w:r>
      <w:r w:rsidR="00CE7192">
        <w:rPr>
          <w:rStyle w:val="Strong"/>
          <w:rFonts w:ascii="Arial" w:hAnsi="Arial" w:cs="Arial"/>
          <w:b w:val="0"/>
          <w:bCs w:val="0"/>
          <w:sz w:val="20"/>
          <w:szCs w:val="20"/>
        </w:rPr>
        <w:lastRenderedPageBreak/>
        <w:t>and maintain CEMS to measure and record the filterable PM/PM</w:t>
      </w:r>
      <w:r w:rsidR="00CE7192" w:rsidRPr="008E1BEF">
        <w:rPr>
          <w:rStyle w:val="Strong"/>
          <w:rFonts w:ascii="Arial" w:hAnsi="Arial" w:cs="Arial"/>
          <w:b w:val="0"/>
          <w:bCs w:val="0"/>
          <w:sz w:val="20"/>
          <w:szCs w:val="20"/>
          <w:vertAlign w:val="subscript"/>
        </w:rPr>
        <w:t>10</w:t>
      </w:r>
      <w:r w:rsidR="00CE7192">
        <w:rPr>
          <w:rStyle w:val="Strong"/>
          <w:rFonts w:ascii="Arial" w:hAnsi="Arial" w:cs="Arial"/>
          <w:b w:val="0"/>
          <w:bCs w:val="0"/>
          <w:sz w:val="20"/>
          <w:szCs w:val="20"/>
        </w:rPr>
        <w:t xml:space="preserve"> emissions from PC Boilers.  The CEMS data shall be used to determine continuous compliance with the filterable PM emission limitations of 0.015 </w:t>
      </w:r>
      <w:proofErr w:type="spellStart"/>
      <w:r w:rsidR="00CE7192">
        <w:rPr>
          <w:rStyle w:val="Strong"/>
          <w:rFonts w:ascii="Arial" w:hAnsi="Arial" w:cs="Arial"/>
          <w:b w:val="0"/>
          <w:bCs w:val="0"/>
          <w:sz w:val="20"/>
          <w:szCs w:val="20"/>
        </w:rPr>
        <w:t>lb</w:t>
      </w:r>
      <w:proofErr w:type="spellEnd"/>
      <w:r w:rsidR="00CE7192">
        <w:rPr>
          <w:rStyle w:val="Strong"/>
          <w:rFonts w:ascii="Arial" w:hAnsi="Arial" w:cs="Arial"/>
          <w:b w:val="0"/>
          <w:bCs w:val="0"/>
          <w:sz w:val="20"/>
          <w:szCs w:val="20"/>
        </w:rPr>
        <w:t>/MMBtu on 3-hour average, listed in Special Condition No. 11A and MAERT.</w:t>
      </w:r>
      <w:r w:rsidR="00A62867">
        <w:rPr>
          <w:rStyle w:val="Strong"/>
          <w:rFonts w:ascii="Arial" w:hAnsi="Arial" w:cs="Arial"/>
          <w:b w:val="0"/>
          <w:bCs w:val="0"/>
          <w:sz w:val="20"/>
          <w:szCs w:val="20"/>
        </w:rPr>
        <w:t xml:space="preserve">  During the MSS, the PM emission are limited to the maximum allowable emission rates listed in the MAERT, as footnote 14 states “</w:t>
      </w:r>
      <w:r w:rsidR="00A62867" w:rsidRPr="00A62867">
        <w:rPr>
          <w:rStyle w:val="Strong"/>
          <w:rFonts w:ascii="Arial" w:hAnsi="Arial" w:cs="Arial"/>
          <w:b w:val="0"/>
          <w:bCs w:val="0"/>
          <w:sz w:val="20"/>
          <w:szCs w:val="20"/>
        </w:rPr>
        <w:t>The pounds per hour and tons per year emission rate limits for these units apply to MSS operation, as well as normal operation of the unit, except as otherwise stated in these footnotes”.</w:t>
      </w:r>
      <w:r w:rsidR="00D26C05">
        <w:rPr>
          <w:rStyle w:val="Strong"/>
          <w:rFonts w:ascii="Arial" w:hAnsi="Arial" w:cs="Arial"/>
          <w:b w:val="0"/>
          <w:bCs w:val="0"/>
          <w:sz w:val="20"/>
          <w:szCs w:val="20"/>
        </w:rPr>
        <w:t xml:space="preserve"> </w:t>
      </w:r>
    </w:p>
    <w:p w14:paraId="0813F482" w14:textId="77777777" w:rsidR="009C77E7" w:rsidRPr="005328CA" w:rsidRDefault="009C77E7" w:rsidP="007E33EE">
      <w:pPr>
        <w:pStyle w:val="Default"/>
        <w:rPr>
          <w:rStyle w:val="Strong"/>
          <w:rFonts w:ascii="Arial" w:hAnsi="Arial" w:cs="Arial"/>
          <w:b w:val="0"/>
          <w:bCs w:val="0"/>
          <w:sz w:val="20"/>
          <w:szCs w:val="20"/>
        </w:rPr>
      </w:pPr>
    </w:p>
    <w:p w14:paraId="34DDD960" w14:textId="4019D072" w:rsidR="008E1BEF" w:rsidRDefault="000E6027" w:rsidP="007E33EE">
      <w:pPr>
        <w:pStyle w:val="Default"/>
        <w:rPr>
          <w:rStyle w:val="Strong"/>
          <w:rFonts w:ascii="Arial" w:hAnsi="Arial" w:cs="Arial"/>
          <w:b w:val="0"/>
          <w:bCs w:val="0"/>
          <w:sz w:val="20"/>
          <w:szCs w:val="20"/>
        </w:rPr>
      </w:pPr>
      <w:r w:rsidRPr="005328CA">
        <w:rPr>
          <w:rStyle w:val="Strong"/>
          <w:rFonts w:ascii="Arial" w:hAnsi="Arial" w:cs="Arial"/>
          <w:b w:val="0"/>
          <w:bCs w:val="0"/>
          <w:sz w:val="20"/>
          <w:szCs w:val="20"/>
        </w:rPr>
        <w:t>Therefore, Title V FOP O</w:t>
      </w:r>
      <w:r w:rsidR="00E85C32">
        <w:rPr>
          <w:rStyle w:val="Strong"/>
          <w:rFonts w:ascii="Arial" w:hAnsi="Arial" w:cs="Arial"/>
          <w:b w:val="0"/>
          <w:bCs w:val="0"/>
          <w:sz w:val="20"/>
          <w:szCs w:val="20"/>
        </w:rPr>
        <w:t>2942</w:t>
      </w:r>
      <w:r w:rsidRPr="005328CA">
        <w:rPr>
          <w:rStyle w:val="Strong"/>
          <w:rFonts w:ascii="Arial" w:hAnsi="Arial" w:cs="Arial"/>
          <w:b w:val="0"/>
          <w:bCs w:val="0"/>
          <w:sz w:val="20"/>
          <w:szCs w:val="20"/>
        </w:rPr>
        <w:t xml:space="preserve"> does not need to be modified </w:t>
      </w:r>
      <w:r w:rsidR="001665BB">
        <w:rPr>
          <w:rStyle w:val="Strong"/>
          <w:rFonts w:ascii="Arial" w:hAnsi="Arial" w:cs="Arial"/>
          <w:b w:val="0"/>
          <w:bCs w:val="0"/>
          <w:sz w:val="20"/>
          <w:szCs w:val="20"/>
        </w:rPr>
        <w:t>to</w:t>
      </w:r>
      <w:r w:rsidRPr="005328CA">
        <w:rPr>
          <w:rStyle w:val="Strong"/>
          <w:rFonts w:ascii="Arial" w:hAnsi="Arial" w:cs="Arial"/>
          <w:b w:val="0"/>
          <w:bCs w:val="0"/>
          <w:sz w:val="20"/>
          <w:szCs w:val="20"/>
        </w:rPr>
        <w:t xml:space="preserve"> include the identified pressure drop of the baghouses. </w:t>
      </w:r>
      <w:r w:rsidR="001665BB">
        <w:rPr>
          <w:rStyle w:val="Strong"/>
          <w:rFonts w:ascii="Arial" w:hAnsi="Arial" w:cs="Arial"/>
          <w:b w:val="0"/>
          <w:bCs w:val="0"/>
          <w:sz w:val="20"/>
          <w:szCs w:val="20"/>
        </w:rPr>
        <w:t>The</w:t>
      </w:r>
      <w:r w:rsidR="00557E53">
        <w:rPr>
          <w:rStyle w:val="Strong"/>
          <w:rFonts w:ascii="Arial" w:hAnsi="Arial" w:cs="Arial"/>
          <w:b w:val="0"/>
          <w:bCs w:val="0"/>
          <w:sz w:val="20"/>
          <w:szCs w:val="20"/>
        </w:rPr>
        <w:t xml:space="preserve"> </w:t>
      </w:r>
      <w:r w:rsidR="00557E53" w:rsidRPr="005328CA">
        <w:rPr>
          <w:rStyle w:val="Strong"/>
          <w:rFonts w:ascii="Arial" w:hAnsi="Arial" w:cs="Arial"/>
          <w:b w:val="0"/>
          <w:bCs w:val="0"/>
          <w:sz w:val="20"/>
          <w:szCs w:val="20"/>
        </w:rPr>
        <w:t>FOP</w:t>
      </w:r>
      <w:r w:rsidR="00557E53">
        <w:rPr>
          <w:rStyle w:val="Strong"/>
          <w:rFonts w:ascii="Arial" w:hAnsi="Arial" w:cs="Arial"/>
          <w:b w:val="0"/>
          <w:bCs w:val="0"/>
          <w:sz w:val="20"/>
          <w:szCs w:val="20"/>
        </w:rPr>
        <w:t xml:space="preserve"> O</w:t>
      </w:r>
      <w:r w:rsidR="00A11392">
        <w:rPr>
          <w:rStyle w:val="Strong"/>
          <w:rFonts w:ascii="Arial" w:hAnsi="Arial" w:cs="Arial"/>
          <w:b w:val="0"/>
          <w:bCs w:val="0"/>
          <w:sz w:val="20"/>
          <w:szCs w:val="20"/>
        </w:rPr>
        <w:t>2942</w:t>
      </w:r>
      <w:r w:rsidR="00557E53" w:rsidRPr="005328CA">
        <w:rPr>
          <w:rStyle w:val="Strong"/>
          <w:rFonts w:ascii="Arial" w:hAnsi="Arial" w:cs="Arial"/>
          <w:b w:val="0"/>
          <w:bCs w:val="0"/>
          <w:sz w:val="20"/>
          <w:szCs w:val="20"/>
        </w:rPr>
        <w:t xml:space="preserve"> is </w:t>
      </w:r>
      <w:r w:rsidR="001665BB">
        <w:rPr>
          <w:rStyle w:val="Strong"/>
          <w:rFonts w:ascii="Arial" w:hAnsi="Arial" w:cs="Arial"/>
          <w:b w:val="0"/>
          <w:bCs w:val="0"/>
          <w:sz w:val="20"/>
          <w:szCs w:val="20"/>
        </w:rPr>
        <w:t xml:space="preserve">updated </w:t>
      </w:r>
      <w:r w:rsidR="00557E53" w:rsidRPr="005328CA">
        <w:rPr>
          <w:rStyle w:val="Strong"/>
          <w:rFonts w:ascii="Arial" w:hAnsi="Arial" w:cs="Arial"/>
          <w:b w:val="0"/>
          <w:bCs w:val="0"/>
          <w:sz w:val="20"/>
          <w:szCs w:val="20"/>
        </w:rPr>
        <w:t xml:space="preserve">to </w:t>
      </w:r>
      <w:r w:rsidR="001665BB">
        <w:rPr>
          <w:rStyle w:val="Strong"/>
          <w:rFonts w:ascii="Arial" w:hAnsi="Arial" w:cs="Arial"/>
          <w:b w:val="0"/>
          <w:bCs w:val="0"/>
          <w:sz w:val="20"/>
          <w:szCs w:val="20"/>
        </w:rPr>
        <w:t xml:space="preserve">incorporate by reference the </w:t>
      </w:r>
      <w:r w:rsidR="00557E53" w:rsidRPr="005328CA">
        <w:rPr>
          <w:rStyle w:val="Strong"/>
          <w:rFonts w:ascii="Arial" w:hAnsi="Arial" w:cs="Arial"/>
          <w:b w:val="0"/>
          <w:bCs w:val="0"/>
          <w:sz w:val="20"/>
          <w:szCs w:val="20"/>
        </w:rPr>
        <w:t>NSR</w:t>
      </w:r>
      <w:r w:rsidR="00557E53">
        <w:rPr>
          <w:rStyle w:val="Strong"/>
          <w:rFonts w:ascii="Arial" w:hAnsi="Arial" w:cs="Arial"/>
          <w:b w:val="0"/>
          <w:bCs w:val="0"/>
          <w:sz w:val="20"/>
          <w:szCs w:val="20"/>
        </w:rPr>
        <w:t xml:space="preserve"> </w:t>
      </w:r>
      <w:r w:rsidR="001665BB">
        <w:rPr>
          <w:rStyle w:val="Strong"/>
          <w:rFonts w:ascii="Arial" w:hAnsi="Arial" w:cs="Arial"/>
          <w:b w:val="0"/>
          <w:bCs w:val="0"/>
          <w:sz w:val="20"/>
          <w:szCs w:val="20"/>
        </w:rPr>
        <w:t>revision</w:t>
      </w:r>
      <w:r w:rsidR="00557E53" w:rsidRPr="005328CA">
        <w:rPr>
          <w:rStyle w:val="Strong"/>
          <w:rFonts w:ascii="Arial" w:hAnsi="Arial" w:cs="Arial"/>
          <w:b w:val="0"/>
          <w:bCs w:val="0"/>
          <w:sz w:val="20"/>
          <w:szCs w:val="20"/>
        </w:rPr>
        <w:t xml:space="preserve">. </w:t>
      </w:r>
      <w:r w:rsidR="008E1BEF">
        <w:rPr>
          <w:rStyle w:val="Strong"/>
          <w:rFonts w:ascii="Arial" w:hAnsi="Arial" w:cs="Arial"/>
          <w:b w:val="0"/>
          <w:bCs w:val="0"/>
          <w:sz w:val="20"/>
          <w:szCs w:val="20"/>
        </w:rPr>
        <w:t xml:space="preserve"> </w:t>
      </w:r>
    </w:p>
    <w:p w14:paraId="316D8A40" w14:textId="77777777" w:rsidR="008E1BEF" w:rsidRDefault="008E1BEF" w:rsidP="007E33EE">
      <w:pPr>
        <w:pStyle w:val="Default"/>
        <w:rPr>
          <w:rStyle w:val="Strong"/>
          <w:rFonts w:ascii="Arial" w:hAnsi="Arial" w:cs="Arial"/>
          <w:b w:val="0"/>
          <w:bCs w:val="0"/>
          <w:sz w:val="20"/>
          <w:szCs w:val="20"/>
        </w:rPr>
      </w:pPr>
    </w:p>
    <w:p w14:paraId="3129BE6C" w14:textId="6DB86097" w:rsidR="00DF3103" w:rsidRDefault="008E1BEF" w:rsidP="007E33EE">
      <w:pPr>
        <w:pStyle w:val="Default"/>
        <w:rPr>
          <w:rStyle w:val="Strong"/>
          <w:rFonts w:ascii="Arial" w:hAnsi="Arial" w:cs="Arial"/>
          <w:b w:val="0"/>
          <w:bCs w:val="0"/>
          <w:sz w:val="20"/>
          <w:szCs w:val="20"/>
        </w:rPr>
      </w:pPr>
      <w:r>
        <w:rPr>
          <w:rStyle w:val="Strong"/>
          <w:rFonts w:ascii="Arial" w:hAnsi="Arial" w:cs="Arial"/>
          <w:b w:val="0"/>
          <w:bCs w:val="0"/>
          <w:sz w:val="20"/>
          <w:szCs w:val="20"/>
        </w:rPr>
        <w:t xml:space="preserve">Furthermore, </w:t>
      </w:r>
      <w:r w:rsidR="000E6027" w:rsidRPr="005328CA">
        <w:rPr>
          <w:rStyle w:val="Strong"/>
          <w:rFonts w:ascii="Arial" w:hAnsi="Arial" w:cs="Arial"/>
          <w:b w:val="0"/>
          <w:bCs w:val="0"/>
          <w:sz w:val="20"/>
          <w:szCs w:val="20"/>
        </w:rPr>
        <w:t>FOP O2942 include</w:t>
      </w:r>
      <w:r w:rsidR="00A544B6">
        <w:rPr>
          <w:rStyle w:val="Strong"/>
          <w:rFonts w:ascii="Arial" w:hAnsi="Arial" w:cs="Arial"/>
          <w:b w:val="0"/>
          <w:bCs w:val="0"/>
          <w:sz w:val="20"/>
          <w:szCs w:val="20"/>
        </w:rPr>
        <w:t>s</w:t>
      </w:r>
      <w:r w:rsidR="000E6027" w:rsidRPr="005328CA">
        <w:rPr>
          <w:rStyle w:val="Strong"/>
          <w:rFonts w:ascii="Arial" w:hAnsi="Arial" w:cs="Arial"/>
          <w:b w:val="0"/>
          <w:bCs w:val="0"/>
          <w:sz w:val="20"/>
          <w:szCs w:val="20"/>
        </w:rPr>
        <w:t xml:space="preserve"> </w:t>
      </w:r>
      <w:r w:rsidR="007638E7">
        <w:rPr>
          <w:rStyle w:val="Strong"/>
          <w:rFonts w:ascii="Arial" w:hAnsi="Arial" w:cs="Arial"/>
          <w:b w:val="0"/>
          <w:bCs w:val="0"/>
          <w:sz w:val="20"/>
          <w:szCs w:val="20"/>
        </w:rPr>
        <w:t xml:space="preserve">sufficient </w:t>
      </w:r>
      <w:r w:rsidR="005328CA" w:rsidRPr="005328CA">
        <w:rPr>
          <w:rStyle w:val="Strong"/>
          <w:rFonts w:ascii="Arial" w:hAnsi="Arial" w:cs="Arial"/>
          <w:b w:val="0"/>
          <w:bCs w:val="0"/>
          <w:sz w:val="20"/>
          <w:szCs w:val="20"/>
        </w:rPr>
        <w:t>monitoring</w:t>
      </w:r>
      <w:r w:rsidR="004240A9">
        <w:rPr>
          <w:rStyle w:val="Strong"/>
          <w:rFonts w:ascii="Arial" w:hAnsi="Arial" w:cs="Arial"/>
          <w:b w:val="0"/>
          <w:bCs w:val="0"/>
          <w:sz w:val="20"/>
          <w:szCs w:val="20"/>
        </w:rPr>
        <w:t>,</w:t>
      </w:r>
      <w:r w:rsidR="00A544B6">
        <w:rPr>
          <w:rStyle w:val="Strong"/>
          <w:rFonts w:ascii="Arial" w:hAnsi="Arial" w:cs="Arial"/>
          <w:b w:val="0"/>
          <w:bCs w:val="0"/>
          <w:sz w:val="20"/>
          <w:szCs w:val="20"/>
        </w:rPr>
        <w:t xml:space="preserve"> recordkeeping</w:t>
      </w:r>
      <w:r w:rsidR="004240A9">
        <w:rPr>
          <w:rStyle w:val="Strong"/>
          <w:rFonts w:ascii="Arial" w:hAnsi="Arial" w:cs="Arial"/>
          <w:b w:val="0"/>
          <w:bCs w:val="0"/>
          <w:sz w:val="20"/>
          <w:szCs w:val="20"/>
        </w:rPr>
        <w:t xml:space="preserve">, and reporting requirements </w:t>
      </w:r>
      <w:r w:rsidR="000E6027" w:rsidRPr="005328CA">
        <w:rPr>
          <w:rStyle w:val="Strong"/>
          <w:rFonts w:ascii="Arial" w:hAnsi="Arial" w:cs="Arial"/>
          <w:b w:val="0"/>
          <w:bCs w:val="0"/>
          <w:sz w:val="20"/>
          <w:szCs w:val="20"/>
        </w:rPr>
        <w:t xml:space="preserve">for </w:t>
      </w:r>
      <w:r w:rsidR="007638E7">
        <w:rPr>
          <w:rStyle w:val="Strong"/>
          <w:rFonts w:ascii="Arial" w:hAnsi="Arial" w:cs="Arial"/>
          <w:b w:val="0"/>
          <w:bCs w:val="0"/>
          <w:sz w:val="20"/>
          <w:szCs w:val="20"/>
        </w:rPr>
        <w:t xml:space="preserve">pollutant </w:t>
      </w:r>
      <w:r w:rsidR="000E6027" w:rsidRPr="005328CA">
        <w:rPr>
          <w:rStyle w:val="Strong"/>
          <w:rFonts w:ascii="Arial" w:hAnsi="Arial" w:cs="Arial"/>
          <w:b w:val="0"/>
          <w:bCs w:val="0"/>
          <w:sz w:val="20"/>
          <w:szCs w:val="20"/>
        </w:rPr>
        <w:t>PM</w:t>
      </w:r>
      <w:r w:rsidR="004240A9">
        <w:rPr>
          <w:rStyle w:val="Strong"/>
          <w:rFonts w:ascii="Arial" w:hAnsi="Arial" w:cs="Arial"/>
          <w:b w:val="0"/>
          <w:bCs w:val="0"/>
          <w:sz w:val="20"/>
          <w:szCs w:val="20"/>
        </w:rPr>
        <w:t xml:space="preserve"> </w:t>
      </w:r>
      <w:r w:rsidR="001E7902">
        <w:rPr>
          <w:rStyle w:val="Strong"/>
          <w:rFonts w:ascii="Arial" w:hAnsi="Arial" w:cs="Arial"/>
          <w:b w:val="0"/>
          <w:bCs w:val="0"/>
          <w:sz w:val="20"/>
          <w:szCs w:val="20"/>
        </w:rPr>
        <w:t xml:space="preserve">emitted from </w:t>
      </w:r>
      <w:r w:rsidR="001665BB">
        <w:rPr>
          <w:rStyle w:val="Strong"/>
          <w:rFonts w:ascii="Arial" w:hAnsi="Arial" w:cs="Arial"/>
          <w:b w:val="0"/>
          <w:bCs w:val="0"/>
          <w:sz w:val="20"/>
          <w:szCs w:val="20"/>
        </w:rPr>
        <w:t>b</w:t>
      </w:r>
      <w:r w:rsidR="001E7902">
        <w:rPr>
          <w:rStyle w:val="Strong"/>
          <w:rFonts w:ascii="Arial" w:hAnsi="Arial" w:cs="Arial"/>
          <w:b w:val="0"/>
          <w:bCs w:val="0"/>
          <w:sz w:val="20"/>
          <w:szCs w:val="20"/>
        </w:rPr>
        <w:t>oilers</w:t>
      </w:r>
      <w:r w:rsidR="000E6027" w:rsidRPr="005328CA">
        <w:rPr>
          <w:rStyle w:val="Strong"/>
          <w:rFonts w:ascii="Arial" w:hAnsi="Arial" w:cs="Arial"/>
          <w:b w:val="0"/>
          <w:bCs w:val="0"/>
          <w:sz w:val="20"/>
          <w:szCs w:val="20"/>
        </w:rPr>
        <w:t xml:space="preserve">. The boilers are assigned </w:t>
      </w:r>
      <w:r w:rsidR="009C77E7">
        <w:rPr>
          <w:rStyle w:val="Strong"/>
          <w:rFonts w:ascii="Arial" w:hAnsi="Arial" w:cs="Arial"/>
          <w:b w:val="0"/>
          <w:bCs w:val="0"/>
          <w:sz w:val="20"/>
          <w:szCs w:val="20"/>
        </w:rPr>
        <w:t xml:space="preserve">as </w:t>
      </w:r>
      <w:r w:rsidR="00A544B6">
        <w:rPr>
          <w:rStyle w:val="Strong"/>
          <w:rFonts w:ascii="Arial" w:hAnsi="Arial" w:cs="Arial"/>
          <w:b w:val="0"/>
          <w:bCs w:val="0"/>
          <w:sz w:val="20"/>
          <w:szCs w:val="20"/>
        </w:rPr>
        <w:t>Unit 1 Boiler (ID: F</w:t>
      </w:r>
      <w:r w:rsidR="000E6027" w:rsidRPr="005328CA">
        <w:rPr>
          <w:rStyle w:val="Strong"/>
          <w:rFonts w:ascii="Arial" w:hAnsi="Arial" w:cs="Arial"/>
          <w:b w:val="0"/>
          <w:bCs w:val="0"/>
          <w:sz w:val="20"/>
          <w:szCs w:val="20"/>
        </w:rPr>
        <w:t>-OGU1</w:t>
      </w:r>
      <w:r w:rsidR="00A544B6">
        <w:rPr>
          <w:rStyle w:val="Strong"/>
          <w:rFonts w:ascii="Arial" w:hAnsi="Arial" w:cs="Arial"/>
          <w:b w:val="0"/>
          <w:bCs w:val="0"/>
          <w:sz w:val="20"/>
          <w:szCs w:val="20"/>
        </w:rPr>
        <w:t>)</w:t>
      </w:r>
      <w:r w:rsidR="000E6027" w:rsidRPr="005328CA">
        <w:rPr>
          <w:rStyle w:val="Strong"/>
          <w:rFonts w:ascii="Arial" w:hAnsi="Arial" w:cs="Arial"/>
          <w:b w:val="0"/>
          <w:bCs w:val="0"/>
          <w:sz w:val="20"/>
          <w:szCs w:val="20"/>
        </w:rPr>
        <w:t xml:space="preserve"> and </w:t>
      </w:r>
      <w:r w:rsidR="00A544B6">
        <w:rPr>
          <w:rStyle w:val="Strong"/>
          <w:rFonts w:ascii="Arial" w:hAnsi="Arial" w:cs="Arial"/>
          <w:b w:val="0"/>
          <w:bCs w:val="0"/>
          <w:sz w:val="20"/>
          <w:szCs w:val="20"/>
        </w:rPr>
        <w:t>Unit 2 Boiler (ID: F</w:t>
      </w:r>
      <w:r w:rsidR="000E6027" w:rsidRPr="005328CA">
        <w:rPr>
          <w:rStyle w:val="Strong"/>
          <w:rFonts w:ascii="Arial" w:hAnsi="Arial" w:cs="Arial"/>
          <w:b w:val="0"/>
          <w:bCs w:val="0"/>
          <w:sz w:val="20"/>
          <w:szCs w:val="20"/>
        </w:rPr>
        <w:t>-OGU2</w:t>
      </w:r>
      <w:r w:rsidR="00A544B6">
        <w:rPr>
          <w:rStyle w:val="Strong"/>
          <w:rFonts w:ascii="Arial" w:hAnsi="Arial" w:cs="Arial"/>
          <w:b w:val="0"/>
          <w:bCs w:val="0"/>
          <w:sz w:val="20"/>
          <w:szCs w:val="20"/>
        </w:rPr>
        <w:t>)</w:t>
      </w:r>
      <w:r w:rsidR="00D26C05">
        <w:rPr>
          <w:rStyle w:val="Strong"/>
          <w:rFonts w:ascii="Arial" w:hAnsi="Arial" w:cs="Arial"/>
          <w:b w:val="0"/>
          <w:bCs w:val="0"/>
          <w:sz w:val="20"/>
          <w:szCs w:val="20"/>
        </w:rPr>
        <w:t xml:space="preserve"> in the permit</w:t>
      </w:r>
      <w:r w:rsidR="00B752C1">
        <w:rPr>
          <w:rStyle w:val="Strong"/>
          <w:rFonts w:ascii="Arial" w:hAnsi="Arial" w:cs="Arial"/>
          <w:b w:val="0"/>
          <w:bCs w:val="0"/>
          <w:sz w:val="20"/>
          <w:szCs w:val="20"/>
        </w:rPr>
        <w:t xml:space="preserve">, under group </w:t>
      </w:r>
      <w:r w:rsidR="000E6027" w:rsidRPr="005328CA">
        <w:rPr>
          <w:rStyle w:val="Strong"/>
          <w:rFonts w:ascii="Arial" w:hAnsi="Arial" w:cs="Arial"/>
          <w:b w:val="0"/>
          <w:bCs w:val="0"/>
          <w:sz w:val="20"/>
          <w:szCs w:val="20"/>
        </w:rPr>
        <w:t>GRPBOIL</w:t>
      </w:r>
      <w:r w:rsidR="001E0173">
        <w:rPr>
          <w:rStyle w:val="Strong"/>
          <w:rFonts w:ascii="Arial" w:hAnsi="Arial" w:cs="Arial"/>
          <w:b w:val="0"/>
          <w:bCs w:val="0"/>
          <w:sz w:val="20"/>
          <w:szCs w:val="20"/>
        </w:rPr>
        <w:t>ERS</w:t>
      </w:r>
      <w:r w:rsidR="000E6027" w:rsidRPr="005328CA">
        <w:rPr>
          <w:rStyle w:val="Strong"/>
          <w:rFonts w:ascii="Arial" w:hAnsi="Arial" w:cs="Arial"/>
          <w:b w:val="0"/>
          <w:bCs w:val="0"/>
          <w:sz w:val="20"/>
          <w:szCs w:val="20"/>
        </w:rPr>
        <w:t>.</w:t>
      </w:r>
      <w:r w:rsidR="00B752C1">
        <w:rPr>
          <w:rStyle w:val="Strong"/>
          <w:rFonts w:ascii="Arial" w:hAnsi="Arial" w:cs="Arial"/>
          <w:b w:val="0"/>
          <w:bCs w:val="0"/>
          <w:sz w:val="20"/>
          <w:szCs w:val="20"/>
        </w:rPr>
        <w:t xml:space="preserve">  </w:t>
      </w:r>
      <w:r w:rsidR="001E7902">
        <w:rPr>
          <w:rStyle w:val="Strong"/>
          <w:rFonts w:ascii="Arial" w:hAnsi="Arial" w:cs="Arial"/>
          <w:b w:val="0"/>
          <w:bCs w:val="0"/>
          <w:sz w:val="20"/>
          <w:szCs w:val="20"/>
        </w:rPr>
        <w:t xml:space="preserve">The boilers </w:t>
      </w:r>
      <w:r w:rsidR="00557E53">
        <w:rPr>
          <w:rStyle w:val="Strong"/>
          <w:rFonts w:ascii="Arial" w:hAnsi="Arial" w:cs="Arial"/>
          <w:b w:val="0"/>
          <w:bCs w:val="0"/>
          <w:sz w:val="20"/>
          <w:szCs w:val="20"/>
        </w:rPr>
        <w:t>(G</w:t>
      </w:r>
      <w:r w:rsidR="001E7902">
        <w:rPr>
          <w:rStyle w:val="Strong"/>
          <w:rFonts w:ascii="Arial" w:hAnsi="Arial" w:cs="Arial"/>
          <w:b w:val="0"/>
          <w:bCs w:val="0"/>
          <w:sz w:val="20"/>
          <w:szCs w:val="20"/>
        </w:rPr>
        <w:t>RPBOILERS</w:t>
      </w:r>
      <w:r w:rsidR="00557E53">
        <w:rPr>
          <w:rStyle w:val="Strong"/>
          <w:rFonts w:ascii="Arial" w:hAnsi="Arial" w:cs="Arial"/>
          <w:b w:val="0"/>
          <w:bCs w:val="0"/>
          <w:sz w:val="20"/>
          <w:szCs w:val="20"/>
        </w:rPr>
        <w:t>)</w:t>
      </w:r>
      <w:r w:rsidR="001E7902">
        <w:rPr>
          <w:rStyle w:val="Strong"/>
          <w:rFonts w:ascii="Arial" w:hAnsi="Arial" w:cs="Arial"/>
          <w:b w:val="0"/>
          <w:bCs w:val="0"/>
          <w:sz w:val="20"/>
          <w:szCs w:val="20"/>
        </w:rPr>
        <w:t xml:space="preserve"> </w:t>
      </w:r>
      <w:r w:rsidR="00557E53">
        <w:rPr>
          <w:rStyle w:val="Strong"/>
          <w:rFonts w:ascii="Arial" w:hAnsi="Arial" w:cs="Arial"/>
          <w:b w:val="0"/>
          <w:bCs w:val="0"/>
          <w:sz w:val="20"/>
          <w:szCs w:val="20"/>
        </w:rPr>
        <w:t>are</w:t>
      </w:r>
      <w:r w:rsidR="001E7902">
        <w:rPr>
          <w:rStyle w:val="Strong"/>
          <w:rFonts w:ascii="Arial" w:hAnsi="Arial" w:cs="Arial"/>
          <w:b w:val="0"/>
          <w:bCs w:val="0"/>
          <w:sz w:val="20"/>
          <w:szCs w:val="20"/>
        </w:rPr>
        <w:t xml:space="preserve"> subject to </w:t>
      </w:r>
      <w:r w:rsidR="00557E53">
        <w:rPr>
          <w:rStyle w:val="Strong"/>
          <w:rFonts w:ascii="Arial" w:hAnsi="Arial" w:cs="Arial"/>
          <w:b w:val="0"/>
          <w:bCs w:val="0"/>
          <w:sz w:val="20"/>
          <w:szCs w:val="20"/>
        </w:rPr>
        <w:t>state rule 30 TAC Chapter 111, federal rule</w:t>
      </w:r>
      <w:r w:rsidR="00D26C05">
        <w:rPr>
          <w:rStyle w:val="Strong"/>
          <w:rFonts w:ascii="Arial" w:hAnsi="Arial" w:cs="Arial"/>
          <w:b w:val="0"/>
          <w:bCs w:val="0"/>
          <w:sz w:val="20"/>
          <w:szCs w:val="20"/>
        </w:rPr>
        <w:t>s</w:t>
      </w:r>
      <w:r w:rsidR="00557E53">
        <w:rPr>
          <w:rStyle w:val="Strong"/>
          <w:rFonts w:ascii="Arial" w:hAnsi="Arial" w:cs="Arial"/>
          <w:b w:val="0"/>
          <w:bCs w:val="0"/>
          <w:sz w:val="20"/>
          <w:szCs w:val="20"/>
        </w:rPr>
        <w:t xml:space="preserve"> </w:t>
      </w:r>
      <w:r w:rsidR="001E7902">
        <w:rPr>
          <w:rStyle w:val="Strong"/>
          <w:rFonts w:ascii="Arial" w:hAnsi="Arial" w:cs="Arial"/>
          <w:b w:val="0"/>
          <w:bCs w:val="0"/>
          <w:sz w:val="20"/>
          <w:szCs w:val="20"/>
        </w:rPr>
        <w:t>40 CFR Part 60, Subpart Da</w:t>
      </w:r>
      <w:r w:rsidR="00557E53">
        <w:rPr>
          <w:rStyle w:val="Strong"/>
          <w:rFonts w:ascii="Arial" w:hAnsi="Arial" w:cs="Arial"/>
          <w:b w:val="0"/>
          <w:bCs w:val="0"/>
          <w:sz w:val="20"/>
          <w:szCs w:val="20"/>
        </w:rPr>
        <w:t xml:space="preserve"> and</w:t>
      </w:r>
      <w:r w:rsidR="001E7902">
        <w:rPr>
          <w:rStyle w:val="Strong"/>
          <w:rFonts w:ascii="Arial" w:hAnsi="Arial" w:cs="Arial"/>
          <w:b w:val="0"/>
          <w:bCs w:val="0"/>
          <w:sz w:val="20"/>
          <w:szCs w:val="20"/>
        </w:rPr>
        <w:t xml:space="preserve"> 40 CFR Part 63 Subpart UUU</w:t>
      </w:r>
      <w:r w:rsidR="007638E7">
        <w:rPr>
          <w:rStyle w:val="Strong"/>
          <w:rFonts w:ascii="Arial" w:hAnsi="Arial" w:cs="Arial"/>
          <w:b w:val="0"/>
          <w:bCs w:val="0"/>
          <w:sz w:val="20"/>
          <w:szCs w:val="20"/>
        </w:rPr>
        <w:t xml:space="preserve"> for pollutant PM</w:t>
      </w:r>
      <w:r w:rsidR="001E7902">
        <w:rPr>
          <w:rStyle w:val="Strong"/>
          <w:rFonts w:ascii="Arial" w:hAnsi="Arial" w:cs="Arial"/>
          <w:b w:val="0"/>
          <w:bCs w:val="0"/>
          <w:sz w:val="20"/>
          <w:szCs w:val="20"/>
        </w:rPr>
        <w:t xml:space="preserve">. The permit Applicable Requirement </w:t>
      </w:r>
      <w:r w:rsidR="00557E53">
        <w:rPr>
          <w:rStyle w:val="Strong"/>
          <w:rFonts w:ascii="Arial" w:hAnsi="Arial" w:cs="Arial"/>
          <w:b w:val="0"/>
          <w:bCs w:val="0"/>
          <w:sz w:val="20"/>
          <w:szCs w:val="20"/>
        </w:rPr>
        <w:t xml:space="preserve">Summary </w:t>
      </w:r>
      <w:r w:rsidR="001E7902">
        <w:rPr>
          <w:rStyle w:val="Strong"/>
          <w:rFonts w:ascii="Arial" w:hAnsi="Arial" w:cs="Arial"/>
          <w:b w:val="0"/>
          <w:bCs w:val="0"/>
          <w:sz w:val="20"/>
          <w:szCs w:val="20"/>
        </w:rPr>
        <w:t xml:space="preserve">Table lists monitoring, recordkeeping, and reporting requirements </w:t>
      </w:r>
      <w:r w:rsidR="00CC1BCA">
        <w:rPr>
          <w:rStyle w:val="Strong"/>
          <w:rFonts w:ascii="Arial" w:hAnsi="Arial" w:cs="Arial"/>
          <w:b w:val="0"/>
          <w:bCs w:val="0"/>
          <w:sz w:val="20"/>
          <w:szCs w:val="20"/>
        </w:rPr>
        <w:t>for</w:t>
      </w:r>
      <w:r w:rsidR="00DF3103">
        <w:rPr>
          <w:rStyle w:val="Strong"/>
          <w:rFonts w:ascii="Arial" w:hAnsi="Arial" w:cs="Arial"/>
          <w:b w:val="0"/>
          <w:bCs w:val="0"/>
          <w:sz w:val="20"/>
          <w:szCs w:val="20"/>
        </w:rPr>
        <w:t xml:space="preserve"> each </w:t>
      </w:r>
      <w:r w:rsidR="00CC1BCA">
        <w:rPr>
          <w:rStyle w:val="Strong"/>
          <w:rFonts w:ascii="Arial" w:hAnsi="Arial" w:cs="Arial"/>
          <w:b w:val="0"/>
          <w:bCs w:val="0"/>
          <w:sz w:val="20"/>
          <w:szCs w:val="20"/>
        </w:rPr>
        <w:t xml:space="preserve">applicable </w:t>
      </w:r>
      <w:r w:rsidR="00DF3103">
        <w:rPr>
          <w:rStyle w:val="Strong"/>
          <w:rFonts w:ascii="Arial" w:hAnsi="Arial" w:cs="Arial"/>
          <w:b w:val="0"/>
          <w:bCs w:val="0"/>
          <w:sz w:val="20"/>
          <w:szCs w:val="20"/>
        </w:rPr>
        <w:t xml:space="preserve">rule, as mentioned above in TCEQ </w:t>
      </w:r>
      <w:r w:rsidR="00D26C05">
        <w:rPr>
          <w:rStyle w:val="Strong"/>
          <w:rFonts w:ascii="Arial" w:hAnsi="Arial" w:cs="Arial"/>
          <w:b w:val="0"/>
          <w:bCs w:val="0"/>
          <w:sz w:val="20"/>
          <w:szCs w:val="20"/>
        </w:rPr>
        <w:t>Re</w:t>
      </w:r>
      <w:r w:rsidR="00DF3103">
        <w:rPr>
          <w:rStyle w:val="Strong"/>
          <w:rFonts w:ascii="Arial" w:hAnsi="Arial" w:cs="Arial"/>
          <w:b w:val="0"/>
          <w:bCs w:val="0"/>
          <w:sz w:val="20"/>
          <w:szCs w:val="20"/>
        </w:rPr>
        <w:t xml:space="preserve">sponse to Claim C1. </w:t>
      </w:r>
    </w:p>
    <w:p w14:paraId="6ED91646" w14:textId="77777777" w:rsidR="00DF3103" w:rsidRDefault="00DF3103" w:rsidP="007E33EE">
      <w:pPr>
        <w:pStyle w:val="Default"/>
        <w:rPr>
          <w:rStyle w:val="Strong"/>
          <w:rFonts w:ascii="Arial" w:hAnsi="Arial" w:cs="Arial"/>
          <w:b w:val="0"/>
          <w:bCs w:val="0"/>
          <w:sz w:val="20"/>
          <w:szCs w:val="20"/>
        </w:rPr>
      </w:pPr>
    </w:p>
    <w:p w14:paraId="69CA8EA4" w14:textId="57FF4267" w:rsidR="00D26C05" w:rsidRDefault="00557E53" w:rsidP="007E33EE">
      <w:pPr>
        <w:pStyle w:val="Default"/>
        <w:rPr>
          <w:rStyle w:val="Strong"/>
          <w:rFonts w:ascii="Arial" w:hAnsi="Arial" w:cs="Arial"/>
          <w:b w:val="0"/>
          <w:bCs w:val="0"/>
          <w:sz w:val="20"/>
          <w:szCs w:val="20"/>
        </w:rPr>
      </w:pPr>
      <w:r>
        <w:rPr>
          <w:rStyle w:val="Strong"/>
          <w:rFonts w:ascii="Arial" w:hAnsi="Arial" w:cs="Arial"/>
          <w:b w:val="0"/>
          <w:bCs w:val="0"/>
          <w:sz w:val="20"/>
          <w:szCs w:val="20"/>
        </w:rPr>
        <w:t>In addition, the permit</w:t>
      </w:r>
      <w:r w:rsidR="001E0173">
        <w:rPr>
          <w:rStyle w:val="Strong"/>
          <w:rFonts w:ascii="Arial" w:hAnsi="Arial" w:cs="Arial"/>
          <w:b w:val="0"/>
          <w:bCs w:val="0"/>
          <w:sz w:val="20"/>
          <w:szCs w:val="20"/>
        </w:rPr>
        <w:t xml:space="preserve"> Attachment - Additional Monitoring Requirements contains case-by-case CAM for group GRPBOILERS</w:t>
      </w:r>
      <w:r w:rsidR="00D26C05">
        <w:rPr>
          <w:rStyle w:val="Strong"/>
          <w:rFonts w:ascii="Arial" w:hAnsi="Arial" w:cs="Arial"/>
          <w:b w:val="0"/>
          <w:bCs w:val="0"/>
          <w:sz w:val="20"/>
          <w:szCs w:val="20"/>
        </w:rPr>
        <w:t xml:space="preserve"> for </w:t>
      </w:r>
      <w:r w:rsidR="001E0173">
        <w:rPr>
          <w:rStyle w:val="Strong"/>
          <w:rFonts w:ascii="Arial" w:hAnsi="Arial" w:cs="Arial"/>
          <w:b w:val="0"/>
          <w:bCs w:val="0"/>
          <w:sz w:val="20"/>
          <w:szCs w:val="20"/>
        </w:rPr>
        <w:t>comply</w:t>
      </w:r>
      <w:r w:rsidR="00D26C05">
        <w:rPr>
          <w:rStyle w:val="Strong"/>
          <w:rFonts w:ascii="Arial" w:hAnsi="Arial" w:cs="Arial"/>
          <w:b w:val="0"/>
          <w:bCs w:val="0"/>
          <w:sz w:val="20"/>
          <w:szCs w:val="20"/>
        </w:rPr>
        <w:t>ing</w:t>
      </w:r>
      <w:r w:rsidR="001E0173">
        <w:rPr>
          <w:rStyle w:val="Strong"/>
          <w:rFonts w:ascii="Arial" w:hAnsi="Arial" w:cs="Arial"/>
          <w:b w:val="0"/>
          <w:bCs w:val="0"/>
          <w:sz w:val="20"/>
          <w:szCs w:val="20"/>
        </w:rPr>
        <w:t xml:space="preserve"> with 30 TAC Chapter 111, </w:t>
      </w:r>
      <w:r w:rsidR="005D3270">
        <w:rPr>
          <w:rStyle w:val="Strong"/>
          <w:rFonts w:ascii="Arial" w:hAnsi="Arial" w:cs="Arial"/>
          <w:b w:val="0"/>
          <w:bCs w:val="0"/>
          <w:sz w:val="20"/>
          <w:szCs w:val="20"/>
        </w:rPr>
        <w:t>Subpart A, Division 5 – Emission Limits on Nonagricultural Process</w:t>
      </w:r>
      <w:r w:rsidR="00D26C05">
        <w:rPr>
          <w:rStyle w:val="Strong"/>
          <w:rFonts w:ascii="Arial" w:hAnsi="Arial" w:cs="Arial"/>
          <w:b w:val="0"/>
          <w:bCs w:val="0"/>
          <w:sz w:val="20"/>
          <w:szCs w:val="20"/>
        </w:rPr>
        <w:t xml:space="preserve">. The </w:t>
      </w:r>
      <w:r w:rsidR="004240A9">
        <w:rPr>
          <w:rStyle w:val="Strong"/>
          <w:rFonts w:ascii="Arial" w:hAnsi="Arial" w:cs="Arial"/>
          <w:b w:val="0"/>
          <w:bCs w:val="0"/>
          <w:sz w:val="20"/>
          <w:szCs w:val="20"/>
        </w:rPr>
        <w:t>applicant shall</w:t>
      </w:r>
      <w:r w:rsidR="005D3270">
        <w:rPr>
          <w:rStyle w:val="Strong"/>
          <w:rFonts w:ascii="Arial" w:hAnsi="Arial" w:cs="Arial"/>
          <w:b w:val="0"/>
          <w:bCs w:val="0"/>
          <w:sz w:val="20"/>
          <w:szCs w:val="20"/>
        </w:rPr>
        <w:t xml:space="preserve"> monitor the </w:t>
      </w:r>
      <w:r w:rsidR="000467E5">
        <w:rPr>
          <w:rStyle w:val="Strong"/>
          <w:rFonts w:ascii="Arial" w:hAnsi="Arial" w:cs="Arial"/>
          <w:b w:val="0"/>
          <w:bCs w:val="0"/>
          <w:sz w:val="20"/>
          <w:szCs w:val="20"/>
        </w:rPr>
        <w:t>PM four times per hour and the PM emission rate</w:t>
      </w:r>
      <w:r w:rsidR="00CC1BCA">
        <w:rPr>
          <w:rStyle w:val="Strong"/>
          <w:rFonts w:ascii="Arial" w:hAnsi="Arial" w:cs="Arial"/>
          <w:b w:val="0"/>
          <w:bCs w:val="0"/>
          <w:sz w:val="20"/>
          <w:szCs w:val="20"/>
        </w:rPr>
        <w:t xml:space="preserve"> shall be no</w:t>
      </w:r>
      <w:r w:rsidR="000467E5">
        <w:rPr>
          <w:rStyle w:val="Strong"/>
          <w:rFonts w:ascii="Arial" w:hAnsi="Arial" w:cs="Arial"/>
          <w:b w:val="0"/>
          <w:bCs w:val="0"/>
          <w:sz w:val="20"/>
          <w:szCs w:val="20"/>
        </w:rPr>
        <w:t xml:space="preserve"> greater than 0.1 </w:t>
      </w:r>
      <w:proofErr w:type="spellStart"/>
      <w:r w:rsidR="000467E5">
        <w:rPr>
          <w:rStyle w:val="Strong"/>
          <w:rFonts w:ascii="Arial" w:hAnsi="Arial" w:cs="Arial"/>
          <w:b w:val="0"/>
          <w:bCs w:val="0"/>
          <w:sz w:val="20"/>
          <w:szCs w:val="20"/>
        </w:rPr>
        <w:t>lb</w:t>
      </w:r>
      <w:proofErr w:type="spellEnd"/>
      <w:r w:rsidR="001E0173" w:rsidRPr="005328CA">
        <w:rPr>
          <w:rStyle w:val="Strong"/>
          <w:rFonts w:ascii="Arial" w:hAnsi="Arial" w:cs="Arial"/>
          <w:b w:val="0"/>
          <w:bCs w:val="0"/>
          <w:sz w:val="20"/>
          <w:szCs w:val="20"/>
        </w:rPr>
        <w:t>/MMBtu in 2</w:t>
      </w:r>
      <w:r w:rsidR="004240A9">
        <w:rPr>
          <w:rStyle w:val="Strong"/>
          <w:rFonts w:ascii="Arial" w:hAnsi="Arial" w:cs="Arial"/>
          <w:b w:val="0"/>
          <w:bCs w:val="0"/>
          <w:sz w:val="20"/>
          <w:szCs w:val="20"/>
        </w:rPr>
        <w:t>-</w:t>
      </w:r>
      <w:r w:rsidR="001E0173" w:rsidRPr="005328CA">
        <w:rPr>
          <w:rStyle w:val="Strong"/>
          <w:rFonts w:ascii="Arial" w:hAnsi="Arial" w:cs="Arial"/>
          <w:b w:val="0"/>
          <w:bCs w:val="0"/>
          <w:sz w:val="20"/>
          <w:szCs w:val="20"/>
        </w:rPr>
        <w:t>hour block average</w:t>
      </w:r>
      <w:r w:rsidR="001E0173" w:rsidRPr="00980AFD">
        <w:rPr>
          <w:rStyle w:val="Strong"/>
          <w:rFonts w:ascii="Arial" w:hAnsi="Arial" w:cs="Arial"/>
          <w:b w:val="0"/>
          <w:bCs w:val="0"/>
          <w:sz w:val="20"/>
          <w:szCs w:val="20"/>
        </w:rPr>
        <w:t xml:space="preserve">. </w:t>
      </w:r>
      <w:r w:rsidR="00980AFD" w:rsidRPr="00980AFD">
        <w:rPr>
          <w:rStyle w:val="Strong"/>
          <w:rFonts w:ascii="Arial" w:hAnsi="Arial" w:cs="Arial"/>
          <w:b w:val="0"/>
          <w:bCs w:val="0"/>
          <w:sz w:val="20"/>
          <w:szCs w:val="20"/>
        </w:rPr>
        <w:t xml:space="preserve">The </w:t>
      </w:r>
      <w:r w:rsidR="00980AFD">
        <w:rPr>
          <w:rStyle w:val="Strong"/>
          <w:rFonts w:ascii="Arial" w:hAnsi="Arial" w:cs="Arial"/>
          <w:b w:val="0"/>
          <w:bCs w:val="0"/>
          <w:sz w:val="20"/>
          <w:szCs w:val="20"/>
        </w:rPr>
        <w:t>deviation limit and stringent l</w:t>
      </w:r>
      <w:r w:rsidR="00980AFD" w:rsidRPr="00980AFD">
        <w:rPr>
          <w:rStyle w:val="Strong"/>
          <w:rFonts w:ascii="Arial" w:hAnsi="Arial" w:cs="Arial"/>
          <w:b w:val="0"/>
          <w:bCs w:val="0"/>
          <w:sz w:val="20"/>
          <w:szCs w:val="20"/>
        </w:rPr>
        <w:t xml:space="preserve">evel </w:t>
      </w:r>
      <w:r w:rsidR="00980AFD">
        <w:rPr>
          <w:rStyle w:val="Strong"/>
          <w:rFonts w:ascii="Arial" w:hAnsi="Arial" w:cs="Arial"/>
          <w:b w:val="0"/>
          <w:bCs w:val="0"/>
          <w:sz w:val="20"/>
          <w:szCs w:val="20"/>
        </w:rPr>
        <w:t>are</w:t>
      </w:r>
      <w:r w:rsidR="00980AFD" w:rsidRPr="00980AFD">
        <w:rPr>
          <w:rStyle w:val="Strong"/>
          <w:rFonts w:ascii="Arial" w:hAnsi="Arial" w:cs="Arial"/>
          <w:b w:val="0"/>
          <w:bCs w:val="0"/>
          <w:sz w:val="20"/>
          <w:szCs w:val="20"/>
        </w:rPr>
        <w:t xml:space="preserve"> depending on the </w:t>
      </w:r>
      <w:r w:rsidR="00980AFD">
        <w:rPr>
          <w:rStyle w:val="Strong"/>
          <w:rFonts w:ascii="Arial" w:hAnsi="Arial" w:cs="Arial"/>
          <w:b w:val="0"/>
          <w:bCs w:val="0"/>
          <w:sz w:val="20"/>
          <w:szCs w:val="20"/>
        </w:rPr>
        <w:t xml:space="preserve">specific applicable </w:t>
      </w:r>
      <w:r w:rsidR="00980AFD" w:rsidRPr="00980AFD">
        <w:rPr>
          <w:rStyle w:val="Strong"/>
          <w:rFonts w:ascii="Arial" w:hAnsi="Arial" w:cs="Arial"/>
          <w:b w:val="0"/>
          <w:bCs w:val="0"/>
          <w:sz w:val="20"/>
          <w:szCs w:val="20"/>
        </w:rPr>
        <w:t>rule.</w:t>
      </w:r>
      <w:r w:rsidR="00D26C05" w:rsidRPr="00980AFD">
        <w:rPr>
          <w:rStyle w:val="Strong"/>
          <w:rFonts w:ascii="Arial" w:hAnsi="Arial" w:cs="Arial"/>
          <w:b w:val="0"/>
          <w:bCs w:val="0"/>
          <w:sz w:val="20"/>
          <w:szCs w:val="20"/>
        </w:rPr>
        <w:t xml:space="preserve"> </w:t>
      </w:r>
      <w:r w:rsidR="005328CA" w:rsidRPr="00980AFD">
        <w:rPr>
          <w:rStyle w:val="Strong"/>
          <w:rFonts w:ascii="Arial" w:hAnsi="Arial" w:cs="Arial"/>
          <w:b w:val="0"/>
          <w:bCs w:val="0"/>
          <w:sz w:val="20"/>
          <w:szCs w:val="20"/>
        </w:rPr>
        <w:t>T</w:t>
      </w:r>
      <w:r w:rsidR="000E6027" w:rsidRPr="00980AFD">
        <w:rPr>
          <w:rStyle w:val="Strong"/>
          <w:rFonts w:ascii="Arial" w:hAnsi="Arial" w:cs="Arial"/>
          <w:b w:val="0"/>
          <w:bCs w:val="0"/>
          <w:sz w:val="20"/>
          <w:szCs w:val="20"/>
        </w:rPr>
        <w:t xml:space="preserve">itle V </w:t>
      </w:r>
      <w:r w:rsidR="00CC1BCA" w:rsidRPr="00980AFD">
        <w:rPr>
          <w:rStyle w:val="Strong"/>
          <w:rFonts w:ascii="Arial" w:hAnsi="Arial" w:cs="Arial"/>
          <w:b w:val="0"/>
          <w:bCs w:val="0"/>
          <w:sz w:val="20"/>
          <w:szCs w:val="20"/>
        </w:rPr>
        <w:t xml:space="preserve">permit </w:t>
      </w:r>
      <w:r w:rsidR="000E6027" w:rsidRPr="00980AFD">
        <w:rPr>
          <w:rStyle w:val="Strong"/>
          <w:rFonts w:ascii="Arial" w:hAnsi="Arial" w:cs="Arial"/>
          <w:b w:val="0"/>
          <w:bCs w:val="0"/>
          <w:sz w:val="20"/>
          <w:szCs w:val="20"/>
        </w:rPr>
        <w:t xml:space="preserve">is </w:t>
      </w:r>
      <w:r w:rsidR="005328CA" w:rsidRPr="00980AFD">
        <w:rPr>
          <w:rStyle w:val="Strong"/>
          <w:rFonts w:ascii="Arial" w:hAnsi="Arial" w:cs="Arial"/>
          <w:b w:val="0"/>
          <w:bCs w:val="0"/>
          <w:sz w:val="20"/>
          <w:szCs w:val="20"/>
        </w:rPr>
        <w:t>operating permit which does not distinguish</w:t>
      </w:r>
      <w:r w:rsidR="005328CA" w:rsidRPr="005328CA">
        <w:rPr>
          <w:rStyle w:val="Strong"/>
          <w:rFonts w:ascii="Arial" w:hAnsi="Arial" w:cs="Arial"/>
          <w:b w:val="0"/>
          <w:bCs w:val="0"/>
          <w:sz w:val="20"/>
          <w:szCs w:val="20"/>
        </w:rPr>
        <w:t xml:space="preserve"> normal operation and MSS period</w:t>
      </w:r>
      <w:r w:rsidR="00CC1BCA">
        <w:rPr>
          <w:rStyle w:val="Strong"/>
          <w:rFonts w:ascii="Arial" w:hAnsi="Arial" w:cs="Arial"/>
          <w:b w:val="0"/>
          <w:bCs w:val="0"/>
          <w:sz w:val="20"/>
          <w:szCs w:val="20"/>
        </w:rPr>
        <w:t xml:space="preserve"> emissions because the rule does not split into MSS and normal operation</w:t>
      </w:r>
      <w:r w:rsidR="005328CA" w:rsidRPr="005328CA">
        <w:rPr>
          <w:rStyle w:val="Strong"/>
          <w:rFonts w:ascii="Arial" w:hAnsi="Arial" w:cs="Arial"/>
          <w:b w:val="0"/>
          <w:bCs w:val="0"/>
          <w:sz w:val="20"/>
          <w:szCs w:val="20"/>
        </w:rPr>
        <w:t xml:space="preserve">. The facility and the units are subject to the federal and state rules during all time and conditions. The FOP Special Terms and Conditions and Attachment Additional </w:t>
      </w:r>
      <w:r w:rsidR="00D26C05">
        <w:rPr>
          <w:rStyle w:val="Strong"/>
          <w:rFonts w:ascii="Arial" w:hAnsi="Arial" w:cs="Arial"/>
          <w:b w:val="0"/>
          <w:bCs w:val="0"/>
          <w:sz w:val="20"/>
          <w:szCs w:val="20"/>
        </w:rPr>
        <w:t>M</w:t>
      </w:r>
      <w:r w:rsidR="005328CA" w:rsidRPr="005328CA">
        <w:rPr>
          <w:rStyle w:val="Strong"/>
          <w:rFonts w:ascii="Arial" w:hAnsi="Arial" w:cs="Arial"/>
          <w:b w:val="0"/>
          <w:bCs w:val="0"/>
          <w:sz w:val="20"/>
          <w:szCs w:val="20"/>
        </w:rPr>
        <w:t xml:space="preserve">onitoring are enforceable </w:t>
      </w:r>
      <w:r>
        <w:rPr>
          <w:rStyle w:val="Strong"/>
          <w:rFonts w:ascii="Arial" w:hAnsi="Arial" w:cs="Arial"/>
          <w:b w:val="0"/>
          <w:bCs w:val="0"/>
          <w:sz w:val="20"/>
          <w:szCs w:val="20"/>
        </w:rPr>
        <w:t>during the entire operation.</w:t>
      </w:r>
      <w:r w:rsidR="000E6027" w:rsidRPr="005328CA">
        <w:rPr>
          <w:rStyle w:val="Strong"/>
          <w:rFonts w:ascii="Arial" w:hAnsi="Arial" w:cs="Arial"/>
          <w:b w:val="0"/>
          <w:bCs w:val="0"/>
          <w:sz w:val="20"/>
          <w:szCs w:val="20"/>
        </w:rPr>
        <w:t xml:space="preserve"> </w:t>
      </w:r>
    </w:p>
    <w:p w14:paraId="14414058" w14:textId="77777777" w:rsidR="00D26C05" w:rsidRDefault="00D26C05" w:rsidP="007E33EE">
      <w:pPr>
        <w:pStyle w:val="Default"/>
        <w:rPr>
          <w:rStyle w:val="Strong"/>
          <w:rFonts w:ascii="Arial" w:hAnsi="Arial" w:cs="Arial"/>
          <w:b w:val="0"/>
          <w:bCs w:val="0"/>
          <w:sz w:val="20"/>
          <w:szCs w:val="20"/>
        </w:rPr>
      </w:pPr>
    </w:p>
    <w:p w14:paraId="3A3CB045" w14:textId="7AEAF2BC" w:rsidR="00691129" w:rsidRDefault="00D03B6C" w:rsidP="007E33EE">
      <w:pPr>
        <w:pStyle w:val="Default"/>
        <w:rPr>
          <w:rStyle w:val="Strong"/>
          <w:rFonts w:ascii="Arial" w:hAnsi="Arial" w:cs="Arial"/>
          <w:b w:val="0"/>
          <w:bCs w:val="0"/>
          <w:sz w:val="20"/>
          <w:szCs w:val="20"/>
        </w:rPr>
      </w:pPr>
      <w:r>
        <w:rPr>
          <w:rStyle w:val="Strong"/>
          <w:rFonts w:ascii="Arial" w:hAnsi="Arial" w:cs="Arial"/>
          <w:b w:val="0"/>
          <w:bCs w:val="0"/>
          <w:sz w:val="20"/>
          <w:szCs w:val="20"/>
        </w:rPr>
        <w:t>FOP</w:t>
      </w:r>
      <w:r w:rsidR="00D26C05">
        <w:rPr>
          <w:rStyle w:val="Strong"/>
          <w:rFonts w:ascii="Arial" w:hAnsi="Arial" w:cs="Arial"/>
          <w:b w:val="0"/>
          <w:bCs w:val="0"/>
          <w:sz w:val="20"/>
          <w:szCs w:val="20"/>
        </w:rPr>
        <w:t xml:space="preserve"> assure</w:t>
      </w:r>
      <w:r>
        <w:rPr>
          <w:rStyle w:val="Strong"/>
          <w:rFonts w:ascii="Arial" w:hAnsi="Arial" w:cs="Arial"/>
          <w:b w:val="0"/>
          <w:bCs w:val="0"/>
          <w:sz w:val="20"/>
          <w:szCs w:val="20"/>
        </w:rPr>
        <w:t>s</w:t>
      </w:r>
      <w:r w:rsidR="00D26C05">
        <w:rPr>
          <w:rStyle w:val="Strong"/>
          <w:rFonts w:ascii="Arial" w:hAnsi="Arial" w:cs="Arial"/>
          <w:b w:val="0"/>
          <w:bCs w:val="0"/>
          <w:sz w:val="20"/>
          <w:szCs w:val="20"/>
        </w:rPr>
        <w:t xml:space="preserve"> compliance with </w:t>
      </w:r>
      <w:r w:rsidR="00377FC5">
        <w:rPr>
          <w:rStyle w:val="Strong"/>
          <w:rFonts w:ascii="Arial" w:hAnsi="Arial" w:cs="Arial"/>
          <w:b w:val="0"/>
          <w:bCs w:val="0"/>
          <w:sz w:val="20"/>
          <w:szCs w:val="20"/>
        </w:rPr>
        <w:t xml:space="preserve">all </w:t>
      </w:r>
      <w:r w:rsidR="00D26C05">
        <w:rPr>
          <w:rStyle w:val="Strong"/>
          <w:rFonts w:ascii="Arial" w:hAnsi="Arial" w:cs="Arial"/>
          <w:b w:val="0"/>
          <w:bCs w:val="0"/>
          <w:sz w:val="20"/>
          <w:szCs w:val="20"/>
        </w:rPr>
        <w:t xml:space="preserve">applicable requirements. </w:t>
      </w:r>
      <w:r w:rsidR="00CC1BCA">
        <w:rPr>
          <w:rStyle w:val="Strong"/>
          <w:rFonts w:ascii="Arial" w:hAnsi="Arial" w:cs="Arial"/>
          <w:b w:val="0"/>
          <w:bCs w:val="0"/>
          <w:sz w:val="20"/>
          <w:szCs w:val="20"/>
        </w:rPr>
        <w:t xml:space="preserve">For </w:t>
      </w:r>
      <w:r>
        <w:rPr>
          <w:rStyle w:val="Strong"/>
          <w:rFonts w:ascii="Arial" w:hAnsi="Arial" w:cs="Arial"/>
          <w:b w:val="0"/>
          <w:bCs w:val="0"/>
          <w:sz w:val="20"/>
          <w:szCs w:val="20"/>
        </w:rPr>
        <w:t>example</w:t>
      </w:r>
      <w:r w:rsidR="00F449A8">
        <w:rPr>
          <w:rStyle w:val="Strong"/>
          <w:rFonts w:ascii="Arial" w:hAnsi="Arial" w:cs="Arial"/>
          <w:b w:val="0"/>
          <w:bCs w:val="0"/>
          <w:sz w:val="20"/>
          <w:szCs w:val="20"/>
        </w:rPr>
        <w:t xml:space="preserve">, the </w:t>
      </w:r>
      <w:r>
        <w:rPr>
          <w:rStyle w:val="Strong"/>
          <w:rFonts w:ascii="Arial" w:hAnsi="Arial" w:cs="Arial"/>
          <w:b w:val="0"/>
          <w:bCs w:val="0"/>
          <w:sz w:val="20"/>
          <w:szCs w:val="20"/>
        </w:rPr>
        <w:t xml:space="preserve">permit </w:t>
      </w:r>
      <w:r w:rsidR="00F449A8">
        <w:rPr>
          <w:rStyle w:val="Strong"/>
          <w:rFonts w:ascii="Arial" w:hAnsi="Arial" w:cs="Arial"/>
          <w:b w:val="0"/>
          <w:bCs w:val="0"/>
          <w:sz w:val="20"/>
          <w:szCs w:val="20"/>
        </w:rPr>
        <w:t>compliance certificat</w:t>
      </w:r>
      <w:r w:rsidR="00A72984">
        <w:rPr>
          <w:rStyle w:val="Strong"/>
          <w:rFonts w:ascii="Arial" w:hAnsi="Arial" w:cs="Arial"/>
          <w:b w:val="0"/>
          <w:bCs w:val="0"/>
          <w:sz w:val="20"/>
          <w:szCs w:val="20"/>
        </w:rPr>
        <w:t xml:space="preserve">ion (PCC) </w:t>
      </w:r>
      <w:r w:rsidR="00F449A8">
        <w:rPr>
          <w:rStyle w:val="Strong"/>
          <w:rFonts w:ascii="Arial" w:hAnsi="Arial" w:cs="Arial"/>
          <w:b w:val="0"/>
          <w:bCs w:val="0"/>
          <w:sz w:val="20"/>
          <w:szCs w:val="20"/>
        </w:rPr>
        <w:t>forms are required to submit</w:t>
      </w:r>
      <w:r w:rsidR="00F72C6B">
        <w:rPr>
          <w:rStyle w:val="Strong"/>
          <w:rFonts w:ascii="Arial" w:hAnsi="Arial" w:cs="Arial"/>
          <w:b w:val="0"/>
          <w:bCs w:val="0"/>
          <w:sz w:val="20"/>
          <w:szCs w:val="20"/>
        </w:rPr>
        <w:t xml:space="preserve"> </w:t>
      </w:r>
      <w:r w:rsidR="00A72984">
        <w:rPr>
          <w:rStyle w:val="Strong"/>
          <w:rFonts w:ascii="Arial" w:hAnsi="Arial" w:cs="Arial"/>
          <w:b w:val="0"/>
          <w:bCs w:val="0"/>
          <w:sz w:val="20"/>
          <w:szCs w:val="20"/>
        </w:rPr>
        <w:t xml:space="preserve">annually and OP-ACPS form </w:t>
      </w:r>
      <w:r w:rsidR="001C560F">
        <w:rPr>
          <w:rStyle w:val="Strong"/>
          <w:rFonts w:ascii="Arial" w:hAnsi="Arial" w:cs="Arial"/>
          <w:b w:val="0"/>
          <w:bCs w:val="0"/>
          <w:sz w:val="20"/>
          <w:szCs w:val="20"/>
        </w:rPr>
        <w:t xml:space="preserve">is submitted </w:t>
      </w:r>
      <w:r w:rsidR="00F72C6B">
        <w:rPr>
          <w:rStyle w:val="Strong"/>
          <w:rFonts w:ascii="Arial" w:hAnsi="Arial" w:cs="Arial"/>
          <w:b w:val="0"/>
          <w:bCs w:val="0"/>
          <w:sz w:val="20"/>
          <w:szCs w:val="20"/>
        </w:rPr>
        <w:t xml:space="preserve">with the </w:t>
      </w:r>
      <w:r w:rsidR="00CC1BCA">
        <w:rPr>
          <w:rStyle w:val="Strong"/>
          <w:rFonts w:ascii="Arial" w:hAnsi="Arial" w:cs="Arial"/>
          <w:b w:val="0"/>
          <w:bCs w:val="0"/>
          <w:sz w:val="20"/>
          <w:szCs w:val="20"/>
        </w:rPr>
        <w:t xml:space="preserve">renewal </w:t>
      </w:r>
      <w:r w:rsidR="00F72C6B">
        <w:rPr>
          <w:rStyle w:val="Strong"/>
          <w:rFonts w:ascii="Arial" w:hAnsi="Arial" w:cs="Arial"/>
          <w:b w:val="0"/>
          <w:bCs w:val="0"/>
          <w:sz w:val="20"/>
          <w:szCs w:val="20"/>
        </w:rPr>
        <w:t>application</w:t>
      </w:r>
      <w:r w:rsidR="00F449A8">
        <w:rPr>
          <w:rStyle w:val="Strong"/>
          <w:rFonts w:ascii="Arial" w:hAnsi="Arial" w:cs="Arial"/>
          <w:b w:val="0"/>
          <w:bCs w:val="0"/>
          <w:sz w:val="20"/>
          <w:szCs w:val="20"/>
        </w:rPr>
        <w:t xml:space="preserve">. </w:t>
      </w:r>
      <w:r w:rsidR="00A72984">
        <w:rPr>
          <w:rStyle w:val="Strong"/>
          <w:rFonts w:ascii="Arial" w:hAnsi="Arial" w:cs="Arial"/>
          <w:b w:val="0"/>
          <w:bCs w:val="0"/>
          <w:sz w:val="20"/>
          <w:szCs w:val="20"/>
        </w:rPr>
        <w:t>If required</w:t>
      </w:r>
      <w:r w:rsidR="001C560F">
        <w:rPr>
          <w:rStyle w:val="Strong"/>
          <w:rFonts w:ascii="Arial" w:hAnsi="Arial" w:cs="Arial"/>
          <w:b w:val="0"/>
          <w:bCs w:val="0"/>
          <w:sz w:val="20"/>
          <w:szCs w:val="20"/>
        </w:rPr>
        <w:t>,</w:t>
      </w:r>
      <w:r w:rsidR="00A72984">
        <w:rPr>
          <w:rStyle w:val="Strong"/>
          <w:rFonts w:ascii="Arial" w:hAnsi="Arial" w:cs="Arial"/>
          <w:b w:val="0"/>
          <w:bCs w:val="0"/>
          <w:sz w:val="20"/>
          <w:szCs w:val="20"/>
        </w:rPr>
        <w:t xml:space="preserve"> any</w:t>
      </w:r>
      <w:r w:rsidR="00F449A8">
        <w:rPr>
          <w:rStyle w:val="Strong"/>
          <w:rFonts w:ascii="Arial" w:hAnsi="Arial" w:cs="Arial"/>
          <w:b w:val="0"/>
          <w:bCs w:val="0"/>
          <w:sz w:val="20"/>
          <w:szCs w:val="20"/>
        </w:rPr>
        <w:t xml:space="preserve"> out of compliance units</w:t>
      </w:r>
      <w:r w:rsidR="00365E0F">
        <w:rPr>
          <w:rStyle w:val="Strong"/>
          <w:rFonts w:ascii="Arial" w:hAnsi="Arial" w:cs="Arial"/>
          <w:b w:val="0"/>
          <w:bCs w:val="0"/>
          <w:sz w:val="20"/>
          <w:szCs w:val="20"/>
        </w:rPr>
        <w:t xml:space="preserve">, violation </w:t>
      </w:r>
      <w:r w:rsidR="00F72C6B">
        <w:rPr>
          <w:rStyle w:val="Strong"/>
          <w:rFonts w:ascii="Arial" w:hAnsi="Arial" w:cs="Arial"/>
          <w:b w:val="0"/>
          <w:bCs w:val="0"/>
          <w:sz w:val="20"/>
          <w:szCs w:val="20"/>
        </w:rPr>
        <w:t xml:space="preserve">reasons, </w:t>
      </w:r>
      <w:r w:rsidR="00365E0F">
        <w:rPr>
          <w:rStyle w:val="Strong"/>
          <w:rFonts w:ascii="Arial" w:hAnsi="Arial" w:cs="Arial"/>
          <w:b w:val="0"/>
          <w:bCs w:val="0"/>
          <w:sz w:val="20"/>
          <w:szCs w:val="20"/>
        </w:rPr>
        <w:t xml:space="preserve">citations, </w:t>
      </w:r>
      <w:r w:rsidR="00F449A8">
        <w:rPr>
          <w:rStyle w:val="Strong"/>
          <w:rFonts w:ascii="Arial" w:hAnsi="Arial" w:cs="Arial"/>
          <w:b w:val="0"/>
          <w:bCs w:val="0"/>
          <w:sz w:val="20"/>
          <w:szCs w:val="20"/>
        </w:rPr>
        <w:t xml:space="preserve">and action plan will be included in the </w:t>
      </w:r>
      <w:r w:rsidR="00F72C6B">
        <w:rPr>
          <w:rStyle w:val="Strong"/>
          <w:rFonts w:ascii="Arial" w:hAnsi="Arial" w:cs="Arial"/>
          <w:b w:val="0"/>
          <w:bCs w:val="0"/>
          <w:sz w:val="20"/>
          <w:szCs w:val="20"/>
        </w:rPr>
        <w:t xml:space="preserve">permit </w:t>
      </w:r>
      <w:r w:rsidR="001C560F">
        <w:rPr>
          <w:rStyle w:val="Strong"/>
          <w:rFonts w:ascii="Arial" w:hAnsi="Arial" w:cs="Arial"/>
          <w:b w:val="0"/>
          <w:bCs w:val="0"/>
          <w:sz w:val="20"/>
          <w:szCs w:val="20"/>
        </w:rPr>
        <w:t>under a</w:t>
      </w:r>
      <w:r w:rsidR="00F72C6B">
        <w:rPr>
          <w:rStyle w:val="Strong"/>
          <w:rFonts w:ascii="Arial" w:hAnsi="Arial" w:cs="Arial"/>
          <w:b w:val="0"/>
          <w:bCs w:val="0"/>
          <w:sz w:val="20"/>
          <w:szCs w:val="20"/>
        </w:rPr>
        <w:t xml:space="preserve"> Compliance</w:t>
      </w:r>
      <w:r w:rsidR="001C560F">
        <w:rPr>
          <w:rStyle w:val="Strong"/>
          <w:rFonts w:ascii="Arial" w:hAnsi="Arial" w:cs="Arial"/>
          <w:b w:val="0"/>
          <w:bCs w:val="0"/>
          <w:sz w:val="20"/>
          <w:szCs w:val="20"/>
        </w:rPr>
        <w:t xml:space="preserve"> Schedule</w:t>
      </w:r>
      <w:r w:rsidR="00F449A8">
        <w:rPr>
          <w:rStyle w:val="Strong"/>
          <w:rFonts w:ascii="Arial" w:hAnsi="Arial" w:cs="Arial"/>
          <w:b w:val="0"/>
          <w:bCs w:val="0"/>
          <w:sz w:val="20"/>
          <w:szCs w:val="20"/>
        </w:rPr>
        <w:t xml:space="preserve">. </w:t>
      </w:r>
      <w:r w:rsidR="00437DFA">
        <w:rPr>
          <w:rStyle w:val="Strong"/>
          <w:rFonts w:ascii="Arial" w:hAnsi="Arial" w:cs="Arial"/>
          <w:b w:val="0"/>
          <w:bCs w:val="0"/>
          <w:sz w:val="20"/>
          <w:szCs w:val="20"/>
        </w:rPr>
        <w:t>The company</w:t>
      </w:r>
      <w:r w:rsidR="00377FC5">
        <w:rPr>
          <w:rStyle w:val="Strong"/>
          <w:rFonts w:ascii="Arial" w:hAnsi="Arial" w:cs="Arial"/>
          <w:b w:val="0"/>
          <w:bCs w:val="0"/>
          <w:sz w:val="20"/>
          <w:szCs w:val="20"/>
        </w:rPr>
        <w:t>’s</w:t>
      </w:r>
      <w:r w:rsidR="00437DFA">
        <w:rPr>
          <w:rStyle w:val="Strong"/>
          <w:rFonts w:ascii="Arial" w:hAnsi="Arial" w:cs="Arial"/>
          <w:b w:val="0"/>
          <w:bCs w:val="0"/>
          <w:sz w:val="20"/>
          <w:szCs w:val="20"/>
        </w:rPr>
        <w:t xml:space="preserve"> compliance history rat</w:t>
      </w:r>
      <w:r w:rsidR="001C560F">
        <w:rPr>
          <w:rStyle w:val="Strong"/>
          <w:rFonts w:ascii="Arial" w:hAnsi="Arial" w:cs="Arial"/>
          <w:b w:val="0"/>
          <w:bCs w:val="0"/>
          <w:sz w:val="20"/>
          <w:szCs w:val="20"/>
        </w:rPr>
        <w:t>ing</w:t>
      </w:r>
      <w:r w:rsidR="00437DFA">
        <w:rPr>
          <w:rStyle w:val="Strong"/>
          <w:rFonts w:ascii="Arial" w:hAnsi="Arial" w:cs="Arial"/>
          <w:b w:val="0"/>
          <w:bCs w:val="0"/>
          <w:sz w:val="20"/>
          <w:szCs w:val="20"/>
        </w:rPr>
        <w:t xml:space="preserve"> is </w:t>
      </w:r>
      <w:r w:rsidR="001C560F">
        <w:rPr>
          <w:rStyle w:val="Strong"/>
          <w:rFonts w:ascii="Arial" w:hAnsi="Arial" w:cs="Arial"/>
          <w:b w:val="0"/>
          <w:bCs w:val="0"/>
          <w:sz w:val="20"/>
          <w:szCs w:val="20"/>
        </w:rPr>
        <w:t>determined on an annual basis</w:t>
      </w:r>
      <w:r w:rsidR="00437DFA">
        <w:rPr>
          <w:rStyle w:val="Strong"/>
          <w:rFonts w:ascii="Arial" w:hAnsi="Arial" w:cs="Arial"/>
          <w:b w:val="0"/>
          <w:bCs w:val="0"/>
          <w:sz w:val="20"/>
          <w:szCs w:val="20"/>
        </w:rPr>
        <w:t xml:space="preserve"> by </w:t>
      </w:r>
      <w:r w:rsidR="001C560F">
        <w:rPr>
          <w:rStyle w:val="Strong"/>
          <w:rFonts w:ascii="Arial" w:hAnsi="Arial" w:cs="Arial"/>
          <w:b w:val="0"/>
          <w:bCs w:val="0"/>
          <w:sz w:val="20"/>
          <w:szCs w:val="20"/>
        </w:rPr>
        <w:t>T</w:t>
      </w:r>
      <w:r w:rsidR="00377FC5">
        <w:rPr>
          <w:rStyle w:val="Strong"/>
          <w:rFonts w:ascii="Arial" w:hAnsi="Arial" w:cs="Arial"/>
          <w:b w:val="0"/>
          <w:bCs w:val="0"/>
          <w:sz w:val="20"/>
          <w:szCs w:val="20"/>
        </w:rPr>
        <w:t xml:space="preserve">CEQ’s Office of </w:t>
      </w:r>
      <w:r w:rsidR="00437DFA">
        <w:rPr>
          <w:rStyle w:val="Strong"/>
          <w:rFonts w:ascii="Arial" w:hAnsi="Arial" w:cs="Arial"/>
          <w:b w:val="0"/>
          <w:bCs w:val="0"/>
          <w:sz w:val="20"/>
          <w:szCs w:val="20"/>
        </w:rPr>
        <w:t xml:space="preserve">Compliance and Enforcement </w:t>
      </w:r>
      <w:r w:rsidR="00FA2EF1">
        <w:rPr>
          <w:rStyle w:val="Strong"/>
          <w:rFonts w:ascii="Arial" w:hAnsi="Arial" w:cs="Arial"/>
          <w:b w:val="0"/>
          <w:bCs w:val="0"/>
          <w:sz w:val="20"/>
          <w:szCs w:val="20"/>
        </w:rPr>
        <w:t xml:space="preserve">(OCE) </w:t>
      </w:r>
      <w:r w:rsidR="00437DFA">
        <w:rPr>
          <w:rStyle w:val="Strong"/>
          <w:rFonts w:ascii="Arial" w:hAnsi="Arial" w:cs="Arial"/>
          <w:b w:val="0"/>
          <w:bCs w:val="0"/>
          <w:sz w:val="20"/>
          <w:szCs w:val="20"/>
        </w:rPr>
        <w:t xml:space="preserve">Office. </w:t>
      </w:r>
      <w:r w:rsidR="00F72C6B">
        <w:rPr>
          <w:rStyle w:val="Strong"/>
          <w:rFonts w:ascii="Arial" w:hAnsi="Arial" w:cs="Arial"/>
          <w:b w:val="0"/>
          <w:bCs w:val="0"/>
          <w:sz w:val="20"/>
          <w:szCs w:val="20"/>
        </w:rPr>
        <w:t xml:space="preserve">The </w:t>
      </w:r>
      <w:r w:rsidR="00FA2EF1">
        <w:rPr>
          <w:rStyle w:val="Strong"/>
          <w:rFonts w:ascii="Arial" w:hAnsi="Arial" w:cs="Arial"/>
          <w:b w:val="0"/>
          <w:bCs w:val="0"/>
          <w:sz w:val="20"/>
          <w:szCs w:val="20"/>
        </w:rPr>
        <w:t>OCE</w:t>
      </w:r>
      <w:r w:rsidR="00F72C6B">
        <w:rPr>
          <w:rStyle w:val="Strong"/>
          <w:rFonts w:ascii="Arial" w:hAnsi="Arial" w:cs="Arial"/>
          <w:b w:val="0"/>
          <w:bCs w:val="0"/>
          <w:sz w:val="20"/>
          <w:szCs w:val="20"/>
        </w:rPr>
        <w:t xml:space="preserve"> link is provided for more information</w:t>
      </w:r>
      <w:r w:rsidR="00377FC5">
        <w:rPr>
          <w:rStyle w:val="Strong"/>
          <w:rFonts w:ascii="Arial" w:hAnsi="Arial" w:cs="Arial"/>
          <w:b w:val="0"/>
          <w:bCs w:val="0"/>
          <w:sz w:val="20"/>
          <w:szCs w:val="20"/>
        </w:rPr>
        <w:t>:</w:t>
      </w:r>
      <w:r w:rsidR="00F72C6B">
        <w:rPr>
          <w:rStyle w:val="Strong"/>
          <w:rFonts w:ascii="Arial" w:hAnsi="Arial" w:cs="Arial"/>
          <w:b w:val="0"/>
          <w:bCs w:val="0"/>
          <w:sz w:val="20"/>
          <w:szCs w:val="20"/>
        </w:rPr>
        <w:t xml:space="preserve"> </w:t>
      </w:r>
      <w:r w:rsidR="00437DFA">
        <w:rPr>
          <w:rStyle w:val="Strong"/>
          <w:rFonts w:ascii="Arial" w:hAnsi="Arial" w:cs="Arial"/>
          <w:b w:val="0"/>
          <w:bCs w:val="0"/>
          <w:sz w:val="20"/>
          <w:szCs w:val="20"/>
        </w:rPr>
        <w:t xml:space="preserve"> </w:t>
      </w:r>
      <w:hyperlink r:id="rId17" w:history="1">
        <w:r w:rsidR="00437DFA" w:rsidRPr="00086F3B">
          <w:rPr>
            <w:rStyle w:val="Hyperlink"/>
            <w:rFonts w:ascii="Arial" w:hAnsi="Arial" w:cs="Arial"/>
            <w:sz w:val="20"/>
            <w:szCs w:val="20"/>
          </w:rPr>
          <w:t>https://www.tceq.texas.gov/compliance</w:t>
        </w:r>
      </w:hyperlink>
      <w:r w:rsidR="00F72C6B">
        <w:rPr>
          <w:rStyle w:val="Strong"/>
          <w:rFonts w:ascii="Arial" w:hAnsi="Arial" w:cs="Arial"/>
          <w:b w:val="0"/>
          <w:bCs w:val="0"/>
          <w:sz w:val="20"/>
          <w:szCs w:val="20"/>
        </w:rPr>
        <w:t xml:space="preserve">. </w:t>
      </w:r>
      <w:r w:rsidR="00365E0F">
        <w:rPr>
          <w:rStyle w:val="Strong"/>
          <w:rFonts w:ascii="Arial" w:hAnsi="Arial" w:cs="Arial"/>
          <w:b w:val="0"/>
          <w:bCs w:val="0"/>
          <w:sz w:val="20"/>
          <w:szCs w:val="20"/>
        </w:rPr>
        <w:t xml:space="preserve"> </w:t>
      </w:r>
    </w:p>
    <w:sectPr w:rsidR="00691129" w:rsidSect="00917B86">
      <w:headerReference w:type="default" r:id="rId18"/>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93F64" w14:textId="77777777" w:rsidR="00F008F6" w:rsidRDefault="00F008F6">
      <w:r>
        <w:separator/>
      </w:r>
    </w:p>
  </w:endnote>
  <w:endnote w:type="continuationSeparator" w:id="0">
    <w:p w14:paraId="04FF67CD" w14:textId="77777777" w:rsidR="00F008F6" w:rsidRDefault="00F00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3B05B" w14:textId="77777777" w:rsidR="00D42A8F" w:rsidRPr="00095CE7" w:rsidRDefault="00D42A8F" w:rsidP="00095CE7">
    <w:pPr>
      <w:pStyle w:val="AgencyFooter"/>
    </w:pPr>
    <w:r w:rsidRPr="00095CE7">
      <w:t>P.O. Box 13087   •   Austin, Texas 78711-3087   •   512-239-1000   •   tceq.texas.gov</w:t>
    </w:r>
  </w:p>
  <w:p w14:paraId="5B417FA1"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7ACA24F7"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37F923FF"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84CC7"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78062570"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1ED72DE7"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4008C644"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859D4"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852CA"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8280FA" w14:textId="77777777" w:rsidR="00F008F6" w:rsidRDefault="00F008F6">
      <w:r>
        <w:separator/>
      </w:r>
    </w:p>
  </w:footnote>
  <w:footnote w:type="continuationSeparator" w:id="0">
    <w:p w14:paraId="6EB90D4E" w14:textId="77777777" w:rsidR="00F008F6" w:rsidRDefault="00F008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7D32D" w14:textId="77777777" w:rsidR="00D42A8F" w:rsidRPr="00A85FC2" w:rsidRDefault="005A1F83" w:rsidP="00DF682A">
    <w:pPr>
      <w:pStyle w:val="LetterheadNames"/>
    </w:pPr>
    <w:r>
      <w:pict w14:anchorId="2B225F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mso-position-horizontal-relative:text;mso-position-vertical-relative:text">
          <v:imagedata r:id="rId1" o:title="TX-SEAL"/>
        </v:shape>
      </w:pict>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75ED32F8"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27C95B31" w14:textId="77777777" w:rsidR="00D42A8F" w:rsidRPr="00A85FC2" w:rsidRDefault="00D42A8F" w:rsidP="00DF682A">
    <w:pPr>
      <w:pStyle w:val="LetterheadNames"/>
    </w:pPr>
    <w:r w:rsidRPr="002F0C19">
      <w:t xml:space="preserve">Bobby Janecka, </w:t>
    </w:r>
    <w:r w:rsidRPr="00DC1939">
      <w:rPr>
        <w:i/>
      </w:rPr>
      <w:t>Commissioner</w:t>
    </w:r>
  </w:p>
  <w:p w14:paraId="319C2529" w14:textId="77777777" w:rsidR="005A1F83" w:rsidRPr="005A1F83" w:rsidRDefault="005A1F83" w:rsidP="005A1F83">
    <w:pPr>
      <w:pStyle w:val="LetterheadNames"/>
    </w:pPr>
    <w:r w:rsidRPr="005A1F83">
      <w:t xml:space="preserve">Erin E. Chancellor, </w:t>
    </w:r>
    <w:r w:rsidRPr="005A1F83">
      <w:rPr>
        <w:i/>
      </w:rPr>
      <w:t>Interim Executive Director</w:t>
    </w:r>
  </w:p>
  <w:p w14:paraId="3828C65C" w14:textId="77777777" w:rsidR="00D42A8F" w:rsidRPr="003079D9" w:rsidRDefault="00D42A8F" w:rsidP="00DF682A">
    <w:pPr>
      <w:pStyle w:val="LetterHeadTitle"/>
    </w:pPr>
    <w:r w:rsidRPr="003079D9">
      <w:t>Texas Commission on Environmental Quality</w:t>
    </w:r>
  </w:p>
  <w:p w14:paraId="0F4E7DC8" w14:textId="77777777" w:rsidR="00D42A8F" w:rsidRDefault="00D42A8F" w:rsidP="00DF682A">
    <w:pPr>
      <w:pStyle w:val="LetterheadSubheading"/>
    </w:pPr>
    <w:r w:rsidRPr="00E73ABD">
      <w:t xml:space="preserve">Protecting Texas by Reducing and Preventing </w:t>
    </w:r>
    <w:r w:rsidRPr="00B242EB">
      <w:t>Pollution</w:t>
    </w:r>
  </w:p>
  <w:p w14:paraId="513C2AA3"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D62ED"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5A1F83">
      <w:pict w14:anchorId="60BAEB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09B8DC11"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13DF33F9" w14:textId="77777777" w:rsidR="00D42A8F" w:rsidRPr="00A85FC2" w:rsidRDefault="00D42A8F" w:rsidP="00DF682A">
    <w:pPr>
      <w:pStyle w:val="LetterheadNames"/>
    </w:pPr>
    <w:r w:rsidRPr="002F0C19">
      <w:t xml:space="preserve">Bobby Janecka, </w:t>
    </w:r>
    <w:r w:rsidRPr="00DC1939">
      <w:rPr>
        <w:i/>
      </w:rPr>
      <w:t>Commissioner</w:t>
    </w:r>
  </w:p>
  <w:p w14:paraId="74D988FB"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586907DB" w14:textId="77777777" w:rsidR="00D42A8F" w:rsidRPr="003079D9" w:rsidRDefault="00D42A8F" w:rsidP="00DF682A">
    <w:pPr>
      <w:pStyle w:val="LetterHeadTitle"/>
    </w:pPr>
    <w:r w:rsidRPr="003079D9">
      <w:t>Texas Commission on Environmental Quality</w:t>
    </w:r>
  </w:p>
  <w:p w14:paraId="505F545E" w14:textId="77777777" w:rsidR="00D42A8F" w:rsidRDefault="00D42A8F" w:rsidP="00DF682A">
    <w:pPr>
      <w:pStyle w:val="LetterheadSubheading"/>
    </w:pPr>
    <w:r w:rsidRPr="00E73ABD">
      <w:t xml:space="preserve">Protecting Texas by Reducing and Preventing </w:t>
    </w:r>
    <w:r w:rsidRPr="00B242EB">
      <w:t>Pollution</w:t>
    </w:r>
  </w:p>
  <w:p w14:paraId="743484FE"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BC680" w14:textId="77777777" w:rsidR="00725612" w:rsidRDefault="00286734">
    <w:r w:rsidRPr="00286734">
      <w:rPr>
        <w:color w:val="000000"/>
      </w:rPr>
      <w:t>Mr. Jeffrey Robinson</w:t>
    </w:r>
  </w:p>
  <w:p w14:paraId="539B0300"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7CCF036B" w14:textId="3AF17AD3" w:rsidR="00725612" w:rsidRDefault="00411F2B">
    <w:r>
      <w:t xml:space="preserve">May 5, </w:t>
    </w:r>
    <w:r w:rsidR="00060C4C">
      <w:t>2023</w:t>
    </w:r>
  </w:p>
  <w:p w14:paraId="2CC319B5"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A4140"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40568" w14:textId="77777777" w:rsidR="00725612" w:rsidRDefault="00725612">
    <w:pPr>
      <w:rPr>
        <w:bCs/>
      </w:rPr>
    </w:pPr>
    <w:r w:rsidRPr="002C7CC9">
      <w:rPr>
        <w:bCs/>
      </w:rPr>
      <w:t>EXECUTIVE DIRECTOR’S RESPONSE TO EPA OBJECTION</w:t>
    </w:r>
  </w:p>
  <w:p w14:paraId="57402D23" w14:textId="77777777" w:rsidR="00725612" w:rsidRDefault="00725612">
    <w:pPr>
      <w:rPr>
        <w:bCs/>
      </w:rPr>
    </w:pPr>
    <w:r>
      <w:rPr>
        <w:bCs/>
      </w:rPr>
      <w:t xml:space="preserve">Permit Number </w:t>
    </w:r>
    <w:r w:rsidR="00A27E27">
      <w:rPr>
        <w:bCs/>
      </w:rPr>
      <w:t>O2942</w:t>
    </w:r>
  </w:p>
  <w:p w14:paraId="5410870F"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91A2125" w14:textId="77777777" w:rsidR="00725612" w:rsidRDefault="00725612"/>
  <w:p w14:paraId="1A7641FD"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9A27D1"/>
    <w:multiLevelType w:val="hybridMultilevel"/>
    <w:tmpl w:val="128E2E9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5BB412B"/>
    <w:multiLevelType w:val="hybridMultilevel"/>
    <w:tmpl w:val="128E2E9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426C592C"/>
    <w:multiLevelType w:val="multilevel"/>
    <w:tmpl w:val="E29C32B2"/>
    <w:lvl w:ilvl="0">
      <w:start w:val="1"/>
      <w:numFmt w:val="decimal"/>
      <w:pStyle w:val="Level1"/>
      <w:lvlText w:val="%1."/>
      <w:lvlJc w:val="left"/>
      <w:pPr>
        <w:ind w:left="547" w:hanging="547"/>
      </w:pPr>
      <w:rPr>
        <w:rFonts w:ascii="Arial" w:hAnsi="Arial" w:hint="default"/>
        <w:b w:val="0"/>
        <w:i w:val="0"/>
        <w:color w:val="auto"/>
        <w:spacing w:val="0"/>
        <w:w w:val="100"/>
        <w:kern w:val="0"/>
        <w:position w:val="0"/>
        <w:sz w:val="20"/>
      </w:rPr>
    </w:lvl>
    <w:lvl w:ilvl="1">
      <w:start w:val="1"/>
      <w:numFmt w:val="upperLetter"/>
      <w:pStyle w:val="Level2"/>
      <w:lvlText w:val="%2."/>
      <w:lvlJc w:val="left"/>
      <w:pPr>
        <w:ind w:left="1094" w:hanging="547"/>
      </w:pPr>
      <w:rPr>
        <w:rFonts w:hint="default"/>
        <w:b w:val="0"/>
      </w:rPr>
    </w:lvl>
    <w:lvl w:ilvl="2">
      <w:start w:val="1"/>
      <w:numFmt w:val="decimal"/>
      <w:pStyle w:val="Level3"/>
      <w:lvlText w:val="(%3)"/>
      <w:lvlJc w:val="left"/>
      <w:pPr>
        <w:ind w:left="1641" w:hanging="547"/>
      </w:pPr>
      <w:rPr>
        <w:rFonts w:hint="default"/>
      </w:rPr>
    </w:lvl>
    <w:lvl w:ilvl="3">
      <w:start w:val="1"/>
      <w:numFmt w:val="lowerLetter"/>
      <w:pStyle w:val="Level4"/>
      <w:lvlText w:val="(%4)"/>
      <w:lvlJc w:val="left"/>
      <w:pPr>
        <w:ind w:left="2188" w:hanging="547"/>
      </w:pPr>
      <w:rPr>
        <w:rFonts w:hint="default"/>
      </w:rPr>
    </w:lvl>
    <w:lvl w:ilvl="4">
      <w:start w:val="1"/>
      <w:numFmt w:val="lowerRoman"/>
      <w:pStyle w:val="Level5"/>
      <w:lvlText w:val="%5."/>
      <w:lvlJc w:val="left"/>
      <w:pPr>
        <w:ind w:left="2735" w:hanging="547"/>
      </w:pPr>
      <w:rPr>
        <w:rFonts w:hint="default"/>
      </w:rPr>
    </w:lvl>
    <w:lvl w:ilvl="5">
      <w:start w:val="1"/>
      <w:numFmt w:val="none"/>
      <w:lvlText w:val=""/>
      <w:lvlJc w:val="left"/>
      <w:pPr>
        <w:ind w:left="3282" w:hanging="547"/>
      </w:pPr>
      <w:rPr>
        <w:rFonts w:hint="default"/>
      </w:rPr>
    </w:lvl>
    <w:lvl w:ilvl="6">
      <w:start w:val="1"/>
      <w:numFmt w:val="none"/>
      <w:lvlText w:val=""/>
      <w:lvlJc w:val="left"/>
      <w:pPr>
        <w:ind w:left="3829" w:hanging="547"/>
      </w:pPr>
      <w:rPr>
        <w:rFonts w:hint="default"/>
      </w:rPr>
    </w:lvl>
    <w:lvl w:ilvl="7">
      <w:start w:val="1"/>
      <w:numFmt w:val="none"/>
      <w:lvlText w:val=""/>
      <w:lvlJc w:val="left"/>
      <w:pPr>
        <w:ind w:left="4376" w:hanging="547"/>
      </w:pPr>
      <w:rPr>
        <w:rFonts w:hint="default"/>
      </w:rPr>
    </w:lvl>
    <w:lvl w:ilvl="8">
      <w:start w:val="1"/>
      <w:numFmt w:val="none"/>
      <w:lvlText w:val=""/>
      <w:lvlJc w:val="left"/>
      <w:pPr>
        <w:ind w:left="4923" w:hanging="547"/>
      </w:pPr>
      <w:rPr>
        <w:rFonts w:hint="default"/>
      </w:rPr>
    </w:lvl>
  </w:abstractNum>
  <w:abstractNum w:abstractNumId="18"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9" w15:restartNumberingAfterBreak="0">
    <w:nsid w:val="724477D9"/>
    <w:multiLevelType w:val="hybridMultilevel"/>
    <w:tmpl w:val="128E2E9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37735193">
    <w:abstractNumId w:val="11"/>
  </w:num>
  <w:num w:numId="2" w16cid:durableId="669987969">
    <w:abstractNumId w:val="14"/>
  </w:num>
  <w:num w:numId="3" w16cid:durableId="1468234589">
    <w:abstractNumId w:val="13"/>
  </w:num>
  <w:num w:numId="4" w16cid:durableId="747461348">
    <w:abstractNumId w:val="16"/>
  </w:num>
  <w:num w:numId="5" w16cid:durableId="1439912378">
    <w:abstractNumId w:val="18"/>
  </w:num>
  <w:num w:numId="6" w16cid:durableId="647173490">
    <w:abstractNumId w:val="15"/>
  </w:num>
  <w:num w:numId="7" w16cid:durableId="352190581">
    <w:abstractNumId w:val="9"/>
  </w:num>
  <w:num w:numId="8" w16cid:durableId="1331102971">
    <w:abstractNumId w:val="7"/>
  </w:num>
  <w:num w:numId="9" w16cid:durableId="1165391283">
    <w:abstractNumId w:val="6"/>
  </w:num>
  <w:num w:numId="10" w16cid:durableId="308750556">
    <w:abstractNumId w:val="5"/>
  </w:num>
  <w:num w:numId="11" w16cid:durableId="966859690">
    <w:abstractNumId w:val="4"/>
  </w:num>
  <w:num w:numId="12" w16cid:durableId="283973931">
    <w:abstractNumId w:val="8"/>
  </w:num>
  <w:num w:numId="13" w16cid:durableId="843669998">
    <w:abstractNumId w:val="3"/>
  </w:num>
  <w:num w:numId="14" w16cid:durableId="1462763937">
    <w:abstractNumId w:val="2"/>
  </w:num>
  <w:num w:numId="15" w16cid:durableId="954823605">
    <w:abstractNumId w:val="1"/>
  </w:num>
  <w:num w:numId="16" w16cid:durableId="2132822479">
    <w:abstractNumId w:val="0"/>
  </w:num>
  <w:num w:numId="17" w16cid:durableId="1445422309">
    <w:abstractNumId w:val="12"/>
  </w:num>
  <w:num w:numId="18" w16cid:durableId="202719676">
    <w:abstractNumId w:val="10"/>
  </w:num>
  <w:num w:numId="19" w16cid:durableId="1113406108">
    <w:abstractNumId w:val="17"/>
  </w:num>
  <w:num w:numId="20" w16cid:durableId="182264800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E27"/>
    <w:rsid w:val="00001360"/>
    <w:rsid w:val="0000201B"/>
    <w:rsid w:val="000037EF"/>
    <w:rsid w:val="00004BC2"/>
    <w:rsid w:val="00005845"/>
    <w:rsid w:val="00006829"/>
    <w:rsid w:val="00006A7B"/>
    <w:rsid w:val="00007D4E"/>
    <w:rsid w:val="00010F20"/>
    <w:rsid w:val="000164A9"/>
    <w:rsid w:val="00016871"/>
    <w:rsid w:val="00017137"/>
    <w:rsid w:val="000203F9"/>
    <w:rsid w:val="00020EAA"/>
    <w:rsid w:val="000266E0"/>
    <w:rsid w:val="000303A6"/>
    <w:rsid w:val="000305C2"/>
    <w:rsid w:val="000307AE"/>
    <w:rsid w:val="00037C5C"/>
    <w:rsid w:val="00043A9C"/>
    <w:rsid w:val="00043F07"/>
    <w:rsid w:val="00045AAC"/>
    <w:rsid w:val="000467E5"/>
    <w:rsid w:val="00052B43"/>
    <w:rsid w:val="00056D1D"/>
    <w:rsid w:val="00060C4C"/>
    <w:rsid w:val="0006529B"/>
    <w:rsid w:val="00071065"/>
    <w:rsid w:val="00072817"/>
    <w:rsid w:val="0007348A"/>
    <w:rsid w:val="0008015C"/>
    <w:rsid w:val="00091318"/>
    <w:rsid w:val="00094A5D"/>
    <w:rsid w:val="00094F7E"/>
    <w:rsid w:val="00097BAC"/>
    <w:rsid w:val="000A2596"/>
    <w:rsid w:val="000A3D0D"/>
    <w:rsid w:val="000A4DA5"/>
    <w:rsid w:val="000A7048"/>
    <w:rsid w:val="000B0B8A"/>
    <w:rsid w:val="000B4909"/>
    <w:rsid w:val="000C00DF"/>
    <w:rsid w:val="000C2448"/>
    <w:rsid w:val="000C251C"/>
    <w:rsid w:val="000C2EF6"/>
    <w:rsid w:val="000D073C"/>
    <w:rsid w:val="000D0956"/>
    <w:rsid w:val="000D2925"/>
    <w:rsid w:val="000E2D15"/>
    <w:rsid w:val="000E6027"/>
    <w:rsid w:val="000F23FB"/>
    <w:rsid w:val="000F4A62"/>
    <w:rsid w:val="000F4FF6"/>
    <w:rsid w:val="0010000F"/>
    <w:rsid w:val="001017F7"/>
    <w:rsid w:val="00114058"/>
    <w:rsid w:val="0011410A"/>
    <w:rsid w:val="001207D8"/>
    <w:rsid w:val="00120988"/>
    <w:rsid w:val="00121AE9"/>
    <w:rsid w:val="00122659"/>
    <w:rsid w:val="00122ADD"/>
    <w:rsid w:val="0012541A"/>
    <w:rsid w:val="0013073E"/>
    <w:rsid w:val="00133CF9"/>
    <w:rsid w:val="00136B69"/>
    <w:rsid w:val="00144203"/>
    <w:rsid w:val="0014747F"/>
    <w:rsid w:val="001566D1"/>
    <w:rsid w:val="001569E6"/>
    <w:rsid w:val="00164455"/>
    <w:rsid w:val="0016507E"/>
    <w:rsid w:val="001665BB"/>
    <w:rsid w:val="00166D19"/>
    <w:rsid w:val="00183F19"/>
    <w:rsid w:val="001848E5"/>
    <w:rsid w:val="00192543"/>
    <w:rsid w:val="00193AEB"/>
    <w:rsid w:val="0019444E"/>
    <w:rsid w:val="001A27E0"/>
    <w:rsid w:val="001A36F1"/>
    <w:rsid w:val="001A46C2"/>
    <w:rsid w:val="001B1E9E"/>
    <w:rsid w:val="001B2155"/>
    <w:rsid w:val="001B693E"/>
    <w:rsid w:val="001B69CA"/>
    <w:rsid w:val="001B7B61"/>
    <w:rsid w:val="001C0844"/>
    <w:rsid w:val="001C1776"/>
    <w:rsid w:val="001C34CD"/>
    <w:rsid w:val="001C3884"/>
    <w:rsid w:val="001C560F"/>
    <w:rsid w:val="001C76BA"/>
    <w:rsid w:val="001D0A4F"/>
    <w:rsid w:val="001E0173"/>
    <w:rsid w:val="001E2CE5"/>
    <w:rsid w:val="001E7902"/>
    <w:rsid w:val="001F020D"/>
    <w:rsid w:val="001F1EF4"/>
    <w:rsid w:val="001F57D3"/>
    <w:rsid w:val="001F59B8"/>
    <w:rsid w:val="001F78E0"/>
    <w:rsid w:val="002043BC"/>
    <w:rsid w:val="0021057B"/>
    <w:rsid w:val="002164CE"/>
    <w:rsid w:val="002174A5"/>
    <w:rsid w:val="0022087E"/>
    <w:rsid w:val="00220DC2"/>
    <w:rsid w:val="00224FF9"/>
    <w:rsid w:val="00235B59"/>
    <w:rsid w:val="0024486E"/>
    <w:rsid w:val="00244C20"/>
    <w:rsid w:val="00254FA9"/>
    <w:rsid w:val="00261BA5"/>
    <w:rsid w:val="00266DF5"/>
    <w:rsid w:val="0028041B"/>
    <w:rsid w:val="0028672F"/>
    <w:rsid w:val="00286734"/>
    <w:rsid w:val="00287A91"/>
    <w:rsid w:val="0029305F"/>
    <w:rsid w:val="00295012"/>
    <w:rsid w:val="002967D7"/>
    <w:rsid w:val="00296DBA"/>
    <w:rsid w:val="0029718B"/>
    <w:rsid w:val="00297443"/>
    <w:rsid w:val="002A03C6"/>
    <w:rsid w:val="002A09E3"/>
    <w:rsid w:val="002A18A2"/>
    <w:rsid w:val="002A2539"/>
    <w:rsid w:val="002A602F"/>
    <w:rsid w:val="002A6339"/>
    <w:rsid w:val="002A6CF8"/>
    <w:rsid w:val="002A6F7E"/>
    <w:rsid w:val="002B2996"/>
    <w:rsid w:val="002B40D4"/>
    <w:rsid w:val="002B53A5"/>
    <w:rsid w:val="002C1E6A"/>
    <w:rsid w:val="002C271F"/>
    <w:rsid w:val="002C7BAB"/>
    <w:rsid w:val="002C7CC9"/>
    <w:rsid w:val="002D1BD3"/>
    <w:rsid w:val="002E0FEB"/>
    <w:rsid w:val="002E3EBB"/>
    <w:rsid w:val="002E4A5F"/>
    <w:rsid w:val="002E54F4"/>
    <w:rsid w:val="002F38EB"/>
    <w:rsid w:val="00303746"/>
    <w:rsid w:val="00305B6C"/>
    <w:rsid w:val="00307909"/>
    <w:rsid w:val="00307FF9"/>
    <w:rsid w:val="00324345"/>
    <w:rsid w:val="00343734"/>
    <w:rsid w:val="00346BE6"/>
    <w:rsid w:val="00352BBD"/>
    <w:rsid w:val="00356B34"/>
    <w:rsid w:val="0036069D"/>
    <w:rsid w:val="00365BEC"/>
    <w:rsid w:val="00365E0F"/>
    <w:rsid w:val="00366088"/>
    <w:rsid w:val="003663C5"/>
    <w:rsid w:val="00370488"/>
    <w:rsid w:val="00371E1C"/>
    <w:rsid w:val="00372DE1"/>
    <w:rsid w:val="00373788"/>
    <w:rsid w:val="00373F9C"/>
    <w:rsid w:val="00374655"/>
    <w:rsid w:val="00377EE4"/>
    <w:rsid w:val="00377FC5"/>
    <w:rsid w:val="00383EE1"/>
    <w:rsid w:val="00384C60"/>
    <w:rsid w:val="0038556C"/>
    <w:rsid w:val="0039132E"/>
    <w:rsid w:val="00391448"/>
    <w:rsid w:val="0039254B"/>
    <w:rsid w:val="003935D7"/>
    <w:rsid w:val="00395BB0"/>
    <w:rsid w:val="00395D5A"/>
    <w:rsid w:val="003B014B"/>
    <w:rsid w:val="003B0176"/>
    <w:rsid w:val="003B042B"/>
    <w:rsid w:val="003B0FFF"/>
    <w:rsid w:val="003B3C14"/>
    <w:rsid w:val="003B432A"/>
    <w:rsid w:val="003D3FB5"/>
    <w:rsid w:val="003D7E37"/>
    <w:rsid w:val="003E2511"/>
    <w:rsid w:val="003E5C67"/>
    <w:rsid w:val="003F0A3A"/>
    <w:rsid w:val="003F540F"/>
    <w:rsid w:val="003F591E"/>
    <w:rsid w:val="00400D50"/>
    <w:rsid w:val="00402B49"/>
    <w:rsid w:val="0041044A"/>
    <w:rsid w:val="00411F2B"/>
    <w:rsid w:val="00414F82"/>
    <w:rsid w:val="004150F7"/>
    <w:rsid w:val="00422165"/>
    <w:rsid w:val="004240A9"/>
    <w:rsid w:val="004274AD"/>
    <w:rsid w:val="00430FC5"/>
    <w:rsid w:val="004363F4"/>
    <w:rsid w:val="00437DFA"/>
    <w:rsid w:val="00440D78"/>
    <w:rsid w:val="00441847"/>
    <w:rsid w:val="00443CC0"/>
    <w:rsid w:val="004445BE"/>
    <w:rsid w:val="0044637B"/>
    <w:rsid w:val="00447066"/>
    <w:rsid w:val="004522A1"/>
    <w:rsid w:val="004535E5"/>
    <w:rsid w:val="0045383D"/>
    <w:rsid w:val="0045426A"/>
    <w:rsid w:val="00456EDA"/>
    <w:rsid w:val="00457F2D"/>
    <w:rsid w:val="004641F1"/>
    <w:rsid w:val="00464268"/>
    <w:rsid w:val="00467238"/>
    <w:rsid w:val="00472324"/>
    <w:rsid w:val="00472C1C"/>
    <w:rsid w:val="0047414E"/>
    <w:rsid w:val="00474220"/>
    <w:rsid w:val="00476AD9"/>
    <w:rsid w:val="00480163"/>
    <w:rsid w:val="004816F3"/>
    <w:rsid w:val="00484D06"/>
    <w:rsid w:val="00485DDD"/>
    <w:rsid w:val="00486E73"/>
    <w:rsid w:val="0049517B"/>
    <w:rsid w:val="00495BF6"/>
    <w:rsid w:val="004972D9"/>
    <w:rsid w:val="00497C1C"/>
    <w:rsid w:val="004A2975"/>
    <w:rsid w:val="004A2CDF"/>
    <w:rsid w:val="004A33E2"/>
    <w:rsid w:val="004B0019"/>
    <w:rsid w:val="004B1792"/>
    <w:rsid w:val="004B7434"/>
    <w:rsid w:val="004C0E98"/>
    <w:rsid w:val="004C79B1"/>
    <w:rsid w:val="004C7D7C"/>
    <w:rsid w:val="004D09DA"/>
    <w:rsid w:val="004D7AA4"/>
    <w:rsid w:val="004D7E20"/>
    <w:rsid w:val="004E4BD7"/>
    <w:rsid w:val="004E6A7D"/>
    <w:rsid w:val="004F3640"/>
    <w:rsid w:val="004F47FA"/>
    <w:rsid w:val="004F4F76"/>
    <w:rsid w:val="004F57C8"/>
    <w:rsid w:val="0050063A"/>
    <w:rsid w:val="0050105D"/>
    <w:rsid w:val="0050494A"/>
    <w:rsid w:val="00505576"/>
    <w:rsid w:val="00505B63"/>
    <w:rsid w:val="005071BF"/>
    <w:rsid w:val="005075FE"/>
    <w:rsid w:val="005141B1"/>
    <w:rsid w:val="00515277"/>
    <w:rsid w:val="005157B4"/>
    <w:rsid w:val="005208C0"/>
    <w:rsid w:val="00521E39"/>
    <w:rsid w:val="00522E8A"/>
    <w:rsid w:val="0052541D"/>
    <w:rsid w:val="00527028"/>
    <w:rsid w:val="00527797"/>
    <w:rsid w:val="0053074E"/>
    <w:rsid w:val="005328CA"/>
    <w:rsid w:val="00532ECC"/>
    <w:rsid w:val="00547D56"/>
    <w:rsid w:val="00550A55"/>
    <w:rsid w:val="00555259"/>
    <w:rsid w:val="00557E53"/>
    <w:rsid w:val="00560966"/>
    <w:rsid w:val="005610B3"/>
    <w:rsid w:val="00565712"/>
    <w:rsid w:val="00572423"/>
    <w:rsid w:val="00572EEF"/>
    <w:rsid w:val="00584834"/>
    <w:rsid w:val="00586DB4"/>
    <w:rsid w:val="0058728B"/>
    <w:rsid w:val="0059613A"/>
    <w:rsid w:val="0059704F"/>
    <w:rsid w:val="005A1F83"/>
    <w:rsid w:val="005B00BF"/>
    <w:rsid w:val="005B5105"/>
    <w:rsid w:val="005B6DD7"/>
    <w:rsid w:val="005C193B"/>
    <w:rsid w:val="005C2EB9"/>
    <w:rsid w:val="005C33EC"/>
    <w:rsid w:val="005C495D"/>
    <w:rsid w:val="005C6581"/>
    <w:rsid w:val="005C7298"/>
    <w:rsid w:val="005C7AB8"/>
    <w:rsid w:val="005D1239"/>
    <w:rsid w:val="005D3270"/>
    <w:rsid w:val="005D3AE5"/>
    <w:rsid w:val="005D7725"/>
    <w:rsid w:val="005D7754"/>
    <w:rsid w:val="005D7AD3"/>
    <w:rsid w:val="005E0AB3"/>
    <w:rsid w:val="005E171F"/>
    <w:rsid w:val="005E1C62"/>
    <w:rsid w:val="005E2990"/>
    <w:rsid w:val="005E31F8"/>
    <w:rsid w:val="005F41AB"/>
    <w:rsid w:val="006041F7"/>
    <w:rsid w:val="00604CFD"/>
    <w:rsid w:val="0061027B"/>
    <w:rsid w:val="00611D2E"/>
    <w:rsid w:val="0061318A"/>
    <w:rsid w:val="00615BEA"/>
    <w:rsid w:val="006217B6"/>
    <w:rsid w:val="00624A86"/>
    <w:rsid w:val="0063197D"/>
    <w:rsid w:val="006353A7"/>
    <w:rsid w:val="00640A43"/>
    <w:rsid w:val="00640FB9"/>
    <w:rsid w:val="00643290"/>
    <w:rsid w:val="00656AED"/>
    <w:rsid w:val="0065730C"/>
    <w:rsid w:val="00657CD8"/>
    <w:rsid w:val="006643C1"/>
    <w:rsid w:val="00667E0A"/>
    <w:rsid w:val="00670B0B"/>
    <w:rsid w:val="00671D73"/>
    <w:rsid w:val="00672B10"/>
    <w:rsid w:val="006808BE"/>
    <w:rsid w:val="00680BBF"/>
    <w:rsid w:val="006821E5"/>
    <w:rsid w:val="00687335"/>
    <w:rsid w:val="00691129"/>
    <w:rsid w:val="00692798"/>
    <w:rsid w:val="00693046"/>
    <w:rsid w:val="006930B6"/>
    <w:rsid w:val="00694087"/>
    <w:rsid w:val="00694B7B"/>
    <w:rsid w:val="006B4181"/>
    <w:rsid w:val="006B588D"/>
    <w:rsid w:val="006C122A"/>
    <w:rsid w:val="006F2795"/>
    <w:rsid w:val="006F716D"/>
    <w:rsid w:val="00700C8D"/>
    <w:rsid w:val="00704CA5"/>
    <w:rsid w:val="00707021"/>
    <w:rsid w:val="00707DB9"/>
    <w:rsid w:val="00713ACC"/>
    <w:rsid w:val="00713E90"/>
    <w:rsid w:val="00722D15"/>
    <w:rsid w:val="00724059"/>
    <w:rsid w:val="00725138"/>
    <w:rsid w:val="00725612"/>
    <w:rsid w:val="00726BA2"/>
    <w:rsid w:val="00727BCB"/>
    <w:rsid w:val="00733400"/>
    <w:rsid w:val="00735862"/>
    <w:rsid w:val="00742207"/>
    <w:rsid w:val="00750BAE"/>
    <w:rsid w:val="00755565"/>
    <w:rsid w:val="007558B9"/>
    <w:rsid w:val="00762145"/>
    <w:rsid w:val="007630D4"/>
    <w:rsid w:val="007638E7"/>
    <w:rsid w:val="00767223"/>
    <w:rsid w:val="00771094"/>
    <w:rsid w:val="007809B9"/>
    <w:rsid w:val="00781240"/>
    <w:rsid w:val="007816E8"/>
    <w:rsid w:val="0078426F"/>
    <w:rsid w:val="0078493E"/>
    <w:rsid w:val="00785C7E"/>
    <w:rsid w:val="00790412"/>
    <w:rsid w:val="00791E10"/>
    <w:rsid w:val="0079223C"/>
    <w:rsid w:val="007925FA"/>
    <w:rsid w:val="0079387D"/>
    <w:rsid w:val="0079550B"/>
    <w:rsid w:val="0079652D"/>
    <w:rsid w:val="00796F14"/>
    <w:rsid w:val="007A274B"/>
    <w:rsid w:val="007A313C"/>
    <w:rsid w:val="007A7829"/>
    <w:rsid w:val="007C290A"/>
    <w:rsid w:val="007C4FCE"/>
    <w:rsid w:val="007C6EB1"/>
    <w:rsid w:val="007D4986"/>
    <w:rsid w:val="007D4D5C"/>
    <w:rsid w:val="007D611D"/>
    <w:rsid w:val="007E22B2"/>
    <w:rsid w:val="007E33EE"/>
    <w:rsid w:val="007E7B3C"/>
    <w:rsid w:val="007E7D5B"/>
    <w:rsid w:val="007F0660"/>
    <w:rsid w:val="007F65B7"/>
    <w:rsid w:val="008025DA"/>
    <w:rsid w:val="008100B7"/>
    <w:rsid w:val="008119E3"/>
    <w:rsid w:val="00812E13"/>
    <w:rsid w:val="00813C0A"/>
    <w:rsid w:val="00814909"/>
    <w:rsid w:val="00817FE6"/>
    <w:rsid w:val="008217B5"/>
    <w:rsid w:val="00824453"/>
    <w:rsid w:val="00824872"/>
    <w:rsid w:val="00827C2F"/>
    <w:rsid w:val="00831240"/>
    <w:rsid w:val="008330ED"/>
    <w:rsid w:val="00836359"/>
    <w:rsid w:val="008370B2"/>
    <w:rsid w:val="00840A20"/>
    <w:rsid w:val="00841B88"/>
    <w:rsid w:val="0084399C"/>
    <w:rsid w:val="00843CD8"/>
    <w:rsid w:val="008503D9"/>
    <w:rsid w:val="00851F49"/>
    <w:rsid w:val="008523E2"/>
    <w:rsid w:val="00855845"/>
    <w:rsid w:val="00855BB2"/>
    <w:rsid w:val="00863C52"/>
    <w:rsid w:val="00864539"/>
    <w:rsid w:val="00864B6D"/>
    <w:rsid w:val="00867E09"/>
    <w:rsid w:val="00885087"/>
    <w:rsid w:val="008918C9"/>
    <w:rsid w:val="008927FA"/>
    <w:rsid w:val="0089546D"/>
    <w:rsid w:val="008A2873"/>
    <w:rsid w:val="008A35DA"/>
    <w:rsid w:val="008A3AFA"/>
    <w:rsid w:val="008A4F9E"/>
    <w:rsid w:val="008A58D1"/>
    <w:rsid w:val="008A6A11"/>
    <w:rsid w:val="008B5266"/>
    <w:rsid w:val="008B5608"/>
    <w:rsid w:val="008B5FCC"/>
    <w:rsid w:val="008C0333"/>
    <w:rsid w:val="008C2D92"/>
    <w:rsid w:val="008C56D9"/>
    <w:rsid w:val="008D6819"/>
    <w:rsid w:val="008E1BEF"/>
    <w:rsid w:val="008E2C95"/>
    <w:rsid w:val="008E4217"/>
    <w:rsid w:val="008E6534"/>
    <w:rsid w:val="008E711B"/>
    <w:rsid w:val="008F1956"/>
    <w:rsid w:val="008F1F97"/>
    <w:rsid w:val="008F4A6B"/>
    <w:rsid w:val="008F4EAC"/>
    <w:rsid w:val="0090088E"/>
    <w:rsid w:val="00902089"/>
    <w:rsid w:val="0090780B"/>
    <w:rsid w:val="00916409"/>
    <w:rsid w:val="00917B86"/>
    <w:rsid w:val="009219F7"/>
    <w:rsid w:val="00922CE2"/>
    <w:rsid w:val="00923142"/>
    <w:rsid w:val="00931153"/>
    <w:rsid w:val="009330A2"/>
    <w:rsid w:val="00936039"/>
    <w:rsid w:val="00936555"/>
    <w:rsid w:val="00937E9E"/>
    <w:rsid w:val="00940B10"/>
    <w:rsid w:val="009458A8"/>
    <w:rsid w:val="009478DE"/>
    <w:rsid w:val="00951375"/>
    <w:rsid w:val="00956B02"/>
    <w:rsid w:val="00967902"/>
    <w:rsid w:val="00967B5F"/>
    <w:rsid w:val="0097201C"/>
    <w:rsid w:val="00972C20"/>
    <w:rsid w:val="00974EF0"/>
    <w:rsid w:val="0098060C"/>
    <w:rsid w:val="00980AFD"/>
    <w:rsid w:val="00981ABF"/>
    <w:rsid w:val="0098201D"/>
    <w:rsid w:val="00983E83"/>
    <w:rsid w:val="00984F02"/>
    <w:rsid w:val="00987DD3"/>
    <w:rsid w:val="00996BD0"/>
    <w:rsid w:val="009A2A64"/>
    <w:rsid w:val="009A327B"/>
    <w:rsid w:val="009A4314"/>
    <w:rsid w:val="009A4E5D"/>
    <w:rsid w:val="009A56BB"/>
    <w:rsid w:val="009A5847"/>
    <w:rsid w:val="009A619F"/>
    <w:rsid w:val="009B2563"/>
    <w:rsid w:val="009B3CF2"/>
    <w:rsid w:val="009B58F7"/>
    <w:rsid w:val="009B6055"/>
    <w:rsid w:val="009C01D9"/>
    <w:rsid w:val="009C186B"/>
    <w:rsid w:val="009C2C50"/>
    <w:rsid w:val="009C65A4"/>
    <w:rsid w:val="009C77E7"/>
    <w:rsid w:val="009D49F0"/>
    <w:rsid w:val="009E235D"/>
    <w:rsid w:val="009E34BB"/>
    <w:rsid w:val="009E58E2"/>
    <w:rsid w:val="009E681C"/>
    <w:rsid w:val="009F077D"/>
    <w:rsid w:val="009F0A7B"/>
    <w:rsid w:val="009F4248"/>
    <w:rsid w:val="009F5379"/>
    <w:rsid w:val="00A007B1"/>
    <w:rsid w:val="00A01245"/>
    <w:rsid w:val="00A023D2"/>
    <w:rsid w:val="00A1009D"/>
    <w:rsid w:val="00A10D30"/>
    <w:rsid w:val="00A11392"/>
    <w:rsid w:val="00A1268D"/>
    <w:rsid w:val="00A14443"/>
    <w:rsid w:val="00A15F29"/>
    <w:rsid w:val="00A16C13"/>
    <w:rsid w:val="00A203E5"/>
    <w:rsid w:val="00A20C27"/>
    <w:rsid w:val="00A256A1"/>
    <w:rsid w:val="00A25AAD"/>
    <w:rsid w:val="00A263F3"/>
    <w:rsid w:val="00A26D77"/>
    <w:rsid w:val="00A27E27"/>
    <w:rsid w:val="00A3047A"/>
    <w:rsid w:val="00A36D27"/>
    <w:rsid w:val="00A40E01"/>
    <w:rsid w:val="00A41561"/>
    <w:rsid w:val="00A536BE"/>
    <w:rsid w:val="00A544B6"/>
    <w:rsid w:val="00A62867"/>
    <w:rsid w:val="00A65594"/>
    <w:rsid w:val="00A72984"/>
    <w:rsid w:val="00A75D74"/>
    <w:rsid w:val="00A76226"/>
    <w:rsid w:val="00A90FE1"/>
    <w:rsid w:val="00A9169B"/>
    <w:rsid w:val="00A95C9A"/>
    <w:rsid w:val="00AB22E8"/>
    <w:rsid w:val="00AB2A16"/>
    <w:rsid w:val="00AB3DA2"/>
    <w:rsid w:val="00AB4D35"/>
    <w:rsid w:val="00AC02DF"/>
    <w:rsid w:val="00AD1CA2"/>
    <w:rsid w:val="00AD1CDB"/>
    <w:rsid w:val="00AD334F"/>
    <w:rsid w:val="00AE0188"/>
    <w:rsid w:val="00AE4720"/>
    <w:rsid w:val="00AE4911"/>
    <w:rsid w:val="00AE5D95"/>
    <w:rsid w:val="00AF2F95"/>
    <w:rsid w:val="00AF4573"/>
    <w:rsid w:val="00AF5033"/>
    <w:rsid w:val="00AF62A5"/>
    <w:rsid w:val="00B01DA0"/>
    <w:rsid w:val="00B044C2"/>
    <w:rsid w:val="00B1263D"/>
    <w:rsid w:val="00B13DE7"/>
    <w:rsid w:val="00B147E4"/>
    <w:rsid w:val="00B260C4"/>
    <w:rsid w:val="00B26D25"/>
    <w:rsid w:val="00B333D0"/>
    <w:rsid w:val="00B34FB5"/>
    <w:rsid w:val="00B40E63"/>
    <w:rsid w:val="00B43997"/>
    <w:rsid w:val="00B47C25"/>
    <w:rsid w:val="00B53884"/>
    <w:rsid w:val="00B60C19"/>
    <w:rsid w:val="00B66291"/>
    <w:rsid w:val="00B71E9D"/>
    <w:rsid w:val="00B72A8F"/>
    <w:rsid w:val="00B7451E"/>
    <w:rsid w:val="00B752C1"/>
    <w:rsid w:val="00B812F1"/>
    <w:rsid w:val="00B81F0F"/>
    <w:rsid w:val="00B82213"/>
    <w:rsid w:val="00B82781"/>
    <w:rsid w:val="00B84057"/>
    <w:rsid w:val="00B8447A"/>
    <w:rsid w:val="00B84C8F"/>
    <w:rsid w:val="00B866C7"/>
    <w:rsid w:val="00B924FC"/>
    <w:rsid w:val="00B96A90"/>
    <w:rsid w:val="00B97AEA"/>
    <w:rsid w:val="00BA0D82"/>
    <w:rsid w:val="00BA531E"/>
    <w:rsid w:val="00BA711E"/>
    <w:rsid w:val="00BA7240"/>
    <w:rsid w:val="00BB4187"/>
    <w:rsid w:val="00BB61A5"/>
    <w:rsid w:val="00BB74F1"/>
    <w:rsid w:val="00BC0B64"/>
    <w:rsid w:val="00BC137E"/>
    <w:rsid w:val="00BC1F1E"/>
    <w:rsid w:val="00BD1AFA"/>
    <w:rsid w:val="00BD1E3B"/>
    <w:rsid w:val="00BD3616"/>
    <w:rsid w:val="00BD7424"/>
    <w:rsid w:val="00BE0D9A"/>
    <w:rsid w:val="00BE2C7A"/>
    <w:rsid w:val="00BF0C59"/>
    <w:rsid w:val="00BF25C6"/>
    <w:rsid w:val="00BF65A0"/>
    <w:rsid w:val="00C03A90"/>
    <w:rsid w:val="00C0453D"/>
    <w:rsid w:val="00C04EA2"/>
    <w:rsid w:val="00C07B6D"/>
    <w:rsid w:val="00C10A59"/>
    <w:rsid w:val="00C11B26"/>
    <w:rsid w:val="00C12FC2"/>
    <w:rsid w:val="00C261E3"/>
    <w:rsid w:val="00C3122D"/>
    <w:rsid w:val="00C31467"/>
    <w:rsid w:val="00C37374"/>
    <w:rsid w:val="00C37AE2"/>
    <w:rsid w:val="00C45D0D"/>
    <w:rsid w:val="00C4738D"/>
    <w:rsid w:val="00C4740A"/>
    <w:rsid w:val="00C51607"/>
    <w:rsid w:val="00C53AF2"/>
    <w:rsid w:val="00C54BE1"/>
    <w:rsid w:val="00C55326"/>
    <w:rsid w:val="00C638EF"/>
    <w:rsid w:val="00C6567D"/>
    <w:rsid w:val="00C65695"/>
    <w:rsid w:val="00C76D42"/>
    <w:rsid w:val="00C7775F"/>
    <w:rsid w:val="00C90321"/>
    <w:rsid w:val="00C905DD"/>
    <w:rsid w:val="00C95418"/>
    <w:rsid w:val="00C9744B"/>
    <w:rsid w:val="00CC1BCA"/>
    <w:rsid w:val="00CC27C3"/>
    <w:rsid w:val="00CC73E1"/>
    <w:rsid w:val="00CD132C"/>
    <w:rsid w:val="00CD6DAE"/>
    <w:rsid w:val="00CE4ABC"/>
    <w:rsid w:val="00CE7192"/>
    <w:rsid w:val="00CF1385"/>
    <w:rsid w:val="00CF2078"/>
    <w:rsid w:val="00CF20A1"/>
    <w:rsid w:val="00CF3DED"/>
    <w:rsid w:val="00CF3FCD"/>
    <w:rsid w:val="00D0059E"/>
    <w:rsid w:val="00D02759"/>
    <w:rsid w:val="00D03B6C"/>
    <w:rsid w:val="00D0502A"/>
    <w:rsid w:val="00D052ED"/>
    <w:rsid w:val="00D05924"/>
    <w:rsid w:val="00D05F94"/>
    <w:rsid w:val="00D10838"/>
    <w:rsid w:val="00D11D24"/>
    <w:rsid w:val="00D134D0"/>
    <w:rsid w:val="00D1524F"/>
    <w:rsid w:val="00D209C0"/>
    <w:rsid w:val="00D22DC2"/>
    <w:rsid w:val="00D248C8"/>
    <w:rsid w:val="00D2553E"/>
    <w:rsid w:val="00D26C05"/>
    <w:rsid w:val="00D30FE9"/>
    <w:rsid w:val="00D31E45"/>
    <w:rsid w:val="00D35057"/>
    <w:rsid w:val="00D35365"/>
    <w:rsid w:val="00D35BB8"/>
    <w:rsid w:val="00D42324"/>
    <w:rsid w:val="00D42A8F"/>
    <w:rsid w:val="00D46F84"/>
    <w:rsid w:val="00D503B0"/>
    <w:rsid w:val="00D5560A"/>
    <w:rsid w:val="00D57749"/>
    <w:rsid w:val="00D57B60"/>
    <w:rsid w:val="00D646BA"/>
    <w:rsid w:val="00D77F7F"/>
    <w:rsid w:val="00D8209A"/>
    <w:rsid w:val="00D82874"/>
    <w:rsid w:val="00D82977"/>
    <w:rsid w:val="00D84C9B"/>
    <w:rsid w:val="00D86B5E"/>
    <w:rsid w:val="00D86D75"/>
    <w:rsid w:val="00D91F37"/>
    <w:rsid w:val="00D924CF"/>
    <w:rsid w:val="00D93201"/>
    <w:rsid w:val="00D9621D"/>
    <w:rsid w:val="00DA6209"/>
    <w:rsid w:val="00DA76A1"/>
    <w:rsid w:val="00DB052E"/>
    <w:rsid w:val="00DB1D83"/>
    <w:rsid w:val="00DC0938"/>
    <w:rsid w:val="00DC21C3"/>
    <w:rsid w:val="00DC41BB"/>
    <w:rsid w:val="00DD0530"/>
    <w:rsid w:val="00DD2820"/>
    <w:rsid w:val="00DD6792"/>
    <w:rsid w:val="00DE058B"/>
    <w:rsid w:val="00DE533D"/>
    <w:rsid w:val="00DE7A12"/>
    <w:rsid w:val="00DF2979"/>
    <w:rsid w:val="00DF3103"/>
    <w:rsid w:val="00DF34EC"/>
    <w:rsid w:val="00DF4A16"/>
    <w:rsid w:val="00E01245"/>
    <w:rsid w:val="00E029FE"/>
    <w:rsid w:val="00E07D70"/>
    <w:rsid w:val="00E10B11"/>
    <w:rsid w:val="00E11704"/>
    <w:rsid w:val="00E15980"/>
    <w:rsid w:val="00E16ABF"/>
    <w:rsid w:val="00E23946"/>
    <w:rsid w:val="00E256B0"/>
    <w:rsid w:val="00E26C07"/>
    <w:rsid w:val="00E30ACA"/>
    <w:rsid w:val="00E30C50"/>
    <w:rsid w:val="00E30D8E"/>
    <w:rsid w:val="00E313B5"/>
    <w:rsid w:val="00E34263"/>
    <w:rsid w:val="00E34725"/>
    <w:rsid w:val="00E356CF"/>
    <w:rsid w:val="00E44DE2"/>
    <w:rsid w:val="00E50621"/>
    <w:rsid w:val="00E55C0E"/>
    <w:rsid w:val="00E5754F"/>
    <w:rsid w:val="00E60C3E"/>
    <w:rsid w:val="00E63063"/>
    <w:rsid w:val="00E675F3"/>
    <w:rsid w:val="00E71778"/>
    <w:rsid w:val="00E8493D"/>
    <w:rsid w:val="00E85652"/>
    <w:rsid w:val="00E85C32"/>
    <w:rsid w:val="00E86085"/>
    <w:rsid w:val="00E90A8C"/>
    <w:rsid w:val="00E92996"/>
    <w:rsid w:val="00E95305"/>
    <w:rsid w:val="00E97313"/>
    <w:rsid w:val="00EA4182"/>
    <w:rsid w:val="00EB1789"/>
    <w:rsid w:val="00EB3691"/>
    <w:rsid w:val="00EB40EC"/>
    <w:rsid w:val="00EB7545"/>
    <w:rsid w:val="00EC0FC8"/>
    <w:rsid w:val="00EC1374"/>
    <w:rsid w:val="00EC31DE"/>
    <w:rsid w:val="00EC34B6"/>
    <w:rsid w:val="00EC5413"/>
    <w:rsid w:val="00EC6896"/>
    <w:rsid w:val="00EC7B36"/>
    <w:rsid w:val="00ED2116"/>
    <w:rsid w:val="00ED5D7F"/>
    <w:rsid w:val="00ED5FE5"/>
    <w:rsid w:val="00EE119E"/>
    <w:rsid w:val="00EE3008"/>
    <w:rsid w:val="00EF0A63"/>
    <w:rsid w:val="00EF4033"/>
    <w:rsid w:val="00EF58B3"/>
    <w:rsid w:val="00F008F6"/>
    <w:rsid w:val="00F011AB"/>
    <w:rsid w:val="00F03415"/>
    <w:rsid w:val="00F0608F"/>
    <w:rsid w:val="00F061D2"/>
    <w:rsid w:val="00F0672E"/>
    <w:rsid w:val="00F06CE4"/>
    <w:rsid w:val="00F06EAC"/>
    <w:rsid w:val="00F21A29"/>
    <w:rsid w:val="00F248D0"/>
    <w:rsid w:val="00F263F1"/>
    <w:rsid w:val="00F30D71"/>
    <w:rsid w:val="00F32BD3"/>
    <w:rsid w:val="00F338F5"/>
    <w:rsid w:val="00F37138"/>
    <w:rsid w:val="00F4070E"/>
    <w:rsid w:val="00F40DF7"/>
    <w:rsid w:val="00F435F5"/>
    <w:rsid w:val="00F449A8"/>
    <w:rsid w:val="00F47FC1"/>
    <w:rsid w:val="00F55101"/>
    <w:rsid w:val="00F624CA"/>
    <w:rsid w:val="00F629EF"/>
    <w:rsid w:val="00F62FBE"/>
    <w:rsid w:val="00F668F4"/>
    <w:rsid w:val="00F720A4"/>
    <w:rsid w:val="00F72C6B"/>
    <w:rsid w:val="00F73278"/>
    <w:rsid w:val="00F7414D"/>
    <w:rsid w:val="00F769B4"/>
    <w:rsid w:val="00F80038"/>
    <w:rsid w:val="00F80DAF"/>
    <w:rsid w:val="00F927C4"/>
    <w:rsid w:val="00F95E47"/>
    <w:rsid w:val="00F95F69"/>
    <w:rsid w:val="00F97449"/>
    <w:rsid w:val="00FA2EF1"/>
    <w:rsid w:val="00FA52E3"/>
    <w:rsid w:val="00FB18AD"/>
    <w:rsid w:val="00FB333F"/>
    <w:rsid w:val="00FC2FA2"/>
    <w:rsid w:val="00FD5D07"/>
    <w:rsid w:val="00FD67EE"/>
    <w:rsid w:val="00FD7E00"/>
    <w:rsid w:val="00FE02A2"/>
    <w:rsid w:val="00FE1A5A"/>
    <w:rsid w:val="00FE53FD"/>
    <w:rsid w:val="00FF05A4"/>
    <w:rsid w:val="00FF05F6"/>
    <w:rsid w:val="00FF0F4A"/>
    <w:rsid w:val="00FF2C3A"/>
    <w:rsid w:val="00FF466F"/>
    <w:rsid w:val="00FF4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28B59EB5"/>
  <w15:docId w15:val="{7DCEA745-2624-4A21-9FE5-6CC608910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uiPriority w:val="99"/>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uiPriority w:val="99"/>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customStyle="1" w:styleId="CM3">
    <w:name w:val="CM3"/>
    <w:basedOn w:val="Normal"/>
    <w:next w:val="Normal"/>
    <w:uiPriority w:val="99"/>
    <w:rsid w:val="00D02759"/>
    <w:pPr>
      <w:spacing w:line="276" w:lineRule="atLeast"/>
    </w:pPr>
    <w:rPr>
      <w:rFonts w:ascii="Times New Roman" w:hAnsi="Times New Roman"/>
      <w:sz w:val="24"/>
    </w:rPr>
  </w:style>
  <w:style w:type="paragraph" w:customStyle="1" w:styleId="CM1">
    <w:name w:val="CM1"/>
    <w:basedOn w:val="Normal"/>
    <w:next w:val="Normal"/>
    <w:uiPriority w:val="99"/>
    <w:rsid w:val="000203F9"/>
    <w:pPr>
      <w:spacing w:line="276" w:lineRule="atLeast"/>
    </w:pPr>
    <w:rPr>
      <w:rFonts w:ascii="Times New Roman" w:hAnsi="Times New Roman"/>
      <w:sz w:val="24"/>
    </w:rPr>
  </w:style>
  <w:style w:type="paragraph" w:customStyle="1" w:styleId="Default">
    <w:name w:val="Default"/>
    <w:rsid w:val="00266DF5"/>
    <w:pPr>
      <w:autoSpaceDE w:val="0"/>
      <w:autoSpaceDN w:val="0"/>
      <w:adjustRightInd w:val="0"/>
    </w:pPr>
    <w:rPr>
      <w:rFonts w:ascii="Times New Roman" w:hAnsi="Times New Roman"/>
      <w:color w:val="000000"/>
      <w:sz w:val="24"/>
      <w:szCs w:val="24"/>
    </w:rPr>
  </w:style>
  <w:style w:type="paragraph" w:customStyle="1" w:styleId="CM18">
    <w:name w:val="CM18"/>
    <w:basedOn w:val="Default"/>
    <w:next w:val="Default"/>
    <w:uiPriority w:val="99"/>
    <w:rsid w:val="00B34FB5"/>
    <w:rPr>
      <w:color w:val="auto"/>
    </w:rPr>
  </w:style>
  <w:style w:type="table" w:styleId="TableGrid">
    <w:name w:val="Table Grid"/>
    <w:basedOn w:val="TableNormal"/>
    <w:rsid w:val="00BA0D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1">
    <w:name w:val="CM11"/>
    <w:basedOn w:val="Default"/>
    <w:next w:val="Default"/>
    <w:uiPriority w:val="99"/>
    <w:rsid w:val="00BA0D82"/>
    <w:pPr>
      <w:spacing w:line="276" w:lineRule="atLeast"/>
    </w:pPr>
    <w:rPr>
      <w:color w:val="auto"/>
    </w:rPr>
  </w:style>
  <w:style w:type="paragraph" w:customStyle="1" w:styleId="Level1">
    <w:name w:val="Level 1"/>
    <w:qFormat/>
    <w:rsid w:val="00DD0530"/>
    <w:pPr>
      <w:numPr>
        <w:numId w:val="19"/>
      </w:numPr>
      <w:spacing w:before="240" w:after="240"/>
    </w:pPr>
    <w:rPr>
      <w:rFonts w:ascii="Arial" w:eastAsia="Calibri" w:hAnsi="Arial"/>
    </w:rPr>
  </w:style>
  <w:style w:type="paragraph" w:customStyle="1" w:styleId="Level2">
    <w:name w:val="Level 2"/>
    <w:basedOn w:val="Level1"/>
    <w:qFormat/>
    <w:rsid w:val="00DD0530"/>
    <w:pPr>
      <w:numPr>
        <w:ilvl w:val="1"/>
      </w:numPr>
      <w:spacing w:before="120" w:after="120"/>
    </w:pPr>
  </w:style>
  <w:style w:type="paragraph" w:customStyle="1" w:styleId="Level3">
    <w:name w:val="Level 3"/>
    <w:basedOn w:val="Level1"/>
    <w:qFormat/>
    <w:rsid w:val="00DD0530"/>
    <w:pPr>
      <w:numPr>
        <w:ilvl w:val="2"/>
      </w:numPr>
      <w:spacing w:before="120" w:after="120"/>
    </w:pPr>
  </w:style>
  <w:style w:type="paragraph" w:customStyle="1" w:styleId="Level4">
    <w:name w:val="Level 4"/>
    <w:basedOn w:val="Level1"/>
    <w:qFormat/>
    <w:rsid w:val="00DD0530"/>
    <w:pPr>
      <w:numPr>
        <w:ilvl w:val="3"/>
      </w:numPr>
      <w:spacing w:before="120" w:after="120"/>
      <w:ind w:left="2189"/>
    </w:pPr>
  </w:style>
  <w:style w:type="paragraph" w:customStyle="1" w:styleId="Level5">
    <w:name w:val="Level 5"/>
    <w:basedOn w:val="Level1"/>
    <w:qFormat/>
    <w:rsid w:val="00DD0530"/>
    <w:pPr>
      <w:numPr>
        <w:ilvl w:val="4"/>
      </w:numPr>
      <w:autoSpaceDE w:val="0"/>
      <w:autoSpaceDN w:val="0"/>
      <w:adjustRightInd w:val="0"/>
      <w:spacing w:before="120" w:after="120"/>
      <w:ind w:left="2736"/>
    </w:pPr>
    <w:rPr>
      <w:rFonts w:eastAsia="Times New Roman"/>
    </w:rPr>
  </w:style>
  <w:style w:type="paragraph" w:customStyle="1" w:styleId="SOPTable1">
    <w:name w:val="SOP Table 1"/>
    <w:basedOn w:val="Normal"/>
    <w:qFormat/>
    <w:rsid w:val="00A75D74"/>
    <w:pPr>
      <w:widowControl w:val="0"/>
    </w:pPr>
    <w:rPr>
      <w:szCs w:val="22"/>
    </w:rPr>
  </w:style>
  <w:style w:type="character" w:styleId="Hyperlink">
    <w:name w:val="Hyperlink"/>
    <w:basedOn w:val="DefaultParagraphFont"/>
    <w:unhideWhenUsed/>
    <w:rsid w:val="00F72C6B"/>
    <w:rPr>
      <w:color w:val="0000FF" w:themeColor="hyperlink"/>
      <w:u w:val="single"/>
    </w:rPr>
  </w:style>
  <w:style w:type="character" w:styleId="UnresolvedMention">
    <w:name w:val="Unresolved Mention"/>
    <w:basedOn w:val="DefaultParagraphFont"/>
    <w:uiPriority w:val="99"/>
    <w:semiHidden/>
    <w:unhideWhenUsed/>
    <w:rsid w:val="00F72C6B"/>
    <w:rPr>
      <w:color w:val="605E5C"/>
      <w:shd w:val="clear" w:color="auto" w:fill="E1DFDD"/>
    </w:rPr>
  </w:style>
  <w:style w:type="character" w:styleId="FollowedHyperlink">
    <w:name w:val="FollowedHyperlink"/>
    <w:basedOn w:val="DefaultParagraphFont"/>
    <w:semiHidden/>
    <w:unhideWhenUsed/>
    <w:rsid w:val="00437D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yperlink" Target="https://www.tceq.texas.gov/compliance"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2.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850259EEB5D54B82285C7A072ADD9F" ma:contentTypeVersion="57" ma:contentTypeDescription="Create a new document." ma:contentTypeScope="" ma:versionID="8dad674b630bebf21c6e1c441d68569a">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418781f-cc46-40e4-b612-10a9484df075" xmlns:ns6="a9ce77d5-4681-4a65-b9b2-894449cee962" targetNamespace="http://schemas.microsoft.com/office/2006/metadata/properties" ma:root="true" ma:fieldsID="8dc183a5b98dbc98fa8f397349810f1d" ns1:_="" ns2:_="" ns3:_="" ns4:_="" ns5:_="" ns6:_="">
    <xsd:import namespace="http://schemas.microsoft.com/sharepoint/v3"/>
    <xsd:import namespace="4ffa91fb-a0ff-4ac5-b2db-65c790d184a4"/>
    <xsd:import namespace="http://schemas.microsoft.com/sharepoint.v3"/>
    <xsd:import namespace="http://schemas.microsoft.com/sharepoint/v3/fields"/>
    <xsd:import namespace="6418781f-cc46-40e4-b612-10a9484df075"/>
    <xsd:import namespace="a9ce77d5-4681-4a65-b9b2-894449cee96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element ref="ns1:_ip_UnifiedCompliancePolicyProperties" minOccurs="0"/>
                <xsd:element ref="ns1:_ip_UnifiedCompliancePolicyUIAction" minOccurs="0"/>
                <xsd:element ref="ns6:lcf76f155ced4ddcb4097134ff3c332f"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3b49083f-3e1d-465f-a6e7-c9c77c10caed}" ma:internalName="TaxCatchAllLabel" ma:readOnly="true" ma:showField="CatchAllDataLabel"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3b49083f-3e1d-465f-a6e7-c9c77c10caed}" ma:internalName="TaxCatchAll" ma:showField="CatchAllData"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18781f-cc46-40e4-b612-10a9484df07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ce77d5-4681-4a65-b9b2-894449cee962"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lcf76f155ced4ddcb4097134ff3c332f" ma:index="44"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FC0A00-8188-4F53-9EFB-FA41198F5034}"/>
</file>

<file path=customXml/itemProps2.xml><?xml version="1.0" encoding="utf-8"?>
<ds:datastoreItem xmlns:ds="http://schemas.openxmlformats.org/officeDocument/2006/customXml" ds:itemID="{34A556CB-179C-4F4F-A77E-EDD49E633111}"/>
</file>

<file path=customXml/itemProps3.xml><?xml version="1.0" encoding="utf-8"?>
<ds:datastoreItem xmlns:ds="http://schemas.openxmlformats.org/officeDocument/2006/customXml" ds:itemID="{ACD51B17-18D3-4186-839D-B9689980AE0C}"/>
</file>

<file path=docProps/app.xml><?xml version="1.0" encoding="utf-8"?>
<Properties xmlns="http://schemas.openxmlformats.org/officeDocument/2006/extended-properties" xmlns:vt="http://schemas.openxmlformats.org/officeDocument/2006/docPropsVTypes">
  <Template>Normal.dotm</Template>
  <TotalTime>260</TotalTime>
  <Pages>10</Pages>
  <Words>5163</Words>
  <Characters>28610</Characters>
  <Application>Microsoft Office Word</Application>
  <DocSecurity>0</DocSecurity>
  <Lines>794</Lines>
  <Paragraphs>402</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33371</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Jasmine Yuan</cp:lastModifiedBy>
  <cp:revision>36</cp:revision>
  <dcterms:created xsi:type="dcterms:W3CDTF">2022-10-28T17:46:00Z</dcterms:created>
  <dcterms:modified xsi:type="dcterms:W3CDTF">2023-05-03T16:42:00Z</dcterms:modified>
</cp:coreProperties>
</file>