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9DE39B" w14:textId="5B7D944B" w:rsidR="00ED2116" w:rsidRPr="0058728B" w:rsidRDefault="00234DA7" w:rsidP="0065730C">
      <w:pPr>
        <w:jc w:val="right"/>
        <w:rPr>
          <w:lang w:val="en-CA"/>
        </w:rPr>
      </w:pPr>
      <w:r>
        <w:rPr>
          <w:lang w:val="en-CA"/>
        </w:rPr>
        <w:t>July 14</w:t>
      </w:r>
      <w:r w:rsidR="00951F7A">
        <w:rPr>
          <w:lang w:val="en-CA"/>
        </w:rPr>
        <w:t>, 2023</w:t>
      </w:r>
    </w:p>
    <w:p w14:paraId="67319C4E" w14:textId="77777777" w:rsidR="00286734" w:rsidRDefault="00286734" w:rsidP="00286734">
      <w:r>
        <w:t>MR JEFFREY ROBINSON</w:t>
      </w:r>
    </w:p>
    <w:p w14:paraId="75465BF0" w14:textId="77777777" w:rsidR="00286734" w:rsidRDefault="00286734" w:rsidP="00286734">
      <w:r>
        <w:t>BRANCH CHIEF AIR PERMITS AND MONITORING</w:t>
      </w:r>
    </w:p>
    <w:p w14:paraId="2741ECD7" w14:textId="77777777" w:rsidR="00286734" w:rsidRDefault="00286734" w:rsidP="00286734">
      <w:r>
        <w:t>US ENVIRONMENTAL PROTECTION AGENCY REGION 6</w:t>
      </w:r>
    </w:p>
    <w:p w14:paraId="2727C840" w14:textId="77777777" w:rsidR="00286734" w:rsidRDefault="00286734" w:rsidP="00286734">
      <w:r>
        <w:t>1201 ELM ST STE 500</w:t>
      </w:r>
    </w:p>
    <w:p w14:paraId="3C3A186A" w14:textId="77777777" w:rsidR="002A602F" w:rsidRDefault="00286734" w:rsidP="00286734">
      <w:r>
        <w:t>DALLAS TX  75270</w:t>
      </w:r>
    </w:p>
    <w:p w14:paraId="1BC77A32" w14:textId="77777777" w:rsidR="00286734" w:rsidRDefault="00286734" w:rsidP="00286734"/>
    <w:p w14:paraId="4EA781EA" w14:textId="77777777" w:rsidR="00BD7424" w:rsidRPr="00C04EA2" w:rsidRDefault="00BD7424" w:rsidP="0065730C"/>
    <w:p w14:paraId="0B2FDF3A" w14:textId="77777777" w:rsidR="00C4738D" w:rsidRPr="00C04EA2" w:rsidRDefault="00C4738D" w:rsidP="004C79B1">
      <w:pPr>
        <w:tabs>
          <w:tab w:val="left" w:pos="446"/>
        </w:tabs>
        <w:outlineLvl w:val="0"/>
      </w:pPr>
      <w:r w:rsidRPr="00C04EA2">
        <w:t>Re:</w:t>
      </w:r>
      <w:r w:rsidRPr="00C04EA2">
        <w:tab/>
      </w:r>
      <w:r w:rsidR="00C6567D" w:rsidRPr="00C04EA2">
        <w:t>Executive Director’s Response to EPA Objection</w:t>
      </w:r>
    </w:p>
    <w:p w14:paraId="46937927" w14:textId="77777777" w:rsidR="00C4738D" w:rsidRPr="00C04EA2" w:rsidRDefault="00565291" w:rsidP="0065730C">
      <w:pPr>
        <w:ind w:left="446"/>
      </w:pPr>
      <w:r>
        <w:t>Renewal</w:t>
      </w:r>
    </w:p>
    <w:p w14:paraId="229BB924" w14:textId="77777777" w:rsidR="00C4738D" w:rsidRPr="00C04EA2" w:rsidRDefault="00D35BB8" w:rsidP="0065730C">
      <w:pPr>
        <w:ind w:left="446"/>
      </w:pPr>
      <w:r w:rsidRPr="00C04EA2">
        <w:t xml:space="preserve">Permit Number:  </w:t>
      </w:r>
      <w:r w:rsidR="00565291">
        <w:t>O3785</w:t>
      </w:r>
    </w:p>
    <w:p w14:paraId="4B1A6A1A" w14:textId="77777777" w:rsidR="00C4738D" w:rsidRPr="00C04EA2" w:rsidRDefault="00565291" w:rsidP="0065730C">
      <w:pPr>
        <w:ind w:left="446"/>
      </w:pPr>
      <w:r>
        <w:t>Intercontinental Terminals Company LLC</w:t>
      </w:r>
    </w:p>
    <w:p w14:paraId="4F6540FC" w14:textId="320A4AD3" w:rsidR="00C4738D" w:rsidRPr="00C04EA2" w:rsidRDefault="00565291" w:rsidP="0065730C">
      <w:pPr>
        <w:ind w:left="446"/>
      </w:pPr>
      <w:r>
        <w:t>I</w:t>
      </w:r>
      <w:r w:rsidR="00E5705E">
        <w:t>TC</w:t>
      </w:r>
      <w:r>
        <w:t xml:space="preserve"> Pasadena Terminal</w:t>
      </w:r>
    </w:p>
    <w:p w14:paraId="7A7ADFB5" w14:textId="77777777" w:rsidR="00C4738D" w:rsidRPr="00C04EA2" w:rsidRDefault="00565291" w:rsidP="0065730C">
      <w:pPr>
        <w:ind w:left="446"/>
      </w:pPr>
      <w:r>
        <w:t>Pasadena, Harris County</w:t>
      </w:r>
    </w:p>
    <w:p w14:paraId="56E50CA0" w14:textId="77777777" w:rsidR="00C4738D" w:rsidRPr="00C04EA2" w:rsidRDefault="00C4738D" w:rsidP="0065730C">
      <w:pPr>
        <w:ind w:left="446"/>
      </w:pPr>
      <w:r w:rsidRPr="00C04EA2">
        <w:t xml:space="preserve">Regulated Entity Number:  </w:t>
      </w:r>
      <w:r w:rsidR="00565291">
        <w:t>RN106119175</w:t>
      </w:r>
    </w:p>
    <w:p w14:paraId="2C22494B" w14:textId="77777777" w:rsidR="00C4738D" w:rsidRPr="00C04EA2" w:rsidRDefault="00C4738D" w:rsidP="0065730C">
      <w:pPr>
        <w:ind w:left="446"/>
      </w:pPr>
      <w:r w:rsidRPr="00C04EA2">
        <w:t xml:space="preserve">Customer Reference Number:  </w:t>
      </w:r>
      <w:r w:rsidR="00565291">
        <w:t>CN601470222</w:t>
      </w:r>
    </w:p>
    <w:p w14:paraId="3A627CB1" w14:textId="77777777" w:rsidR="00F263F1" w:rsidRPr="00C04EA2" w:rsidRDefault="00F263F1" w:rsidP="0065730C">
      <w:pPr>
        <w:ind w:left="450"/>
      </w:pPr>
    </w:p>
    <w:p w14:paraId="6F565FD9" w14:textId="77777777" w:rsidR="00C4738D" w:rsidRPr="00C04EA2" w:rsidRDefault="00C4738D" w:rsidP="0065730C">
      <w:r w:rsidRPr="00C04EA2">
        <w:t xml:space="preserve">Dear </w:t>
      </w:r>
      <w:r w:rsidR="00F06EAC" w:rsidRPr="00C04EA2">
        <w:t xml:space="preserve">Mr. </w:t>
      </w:r>
      <w:r w:rsidR="00286734" w:rsidRPr="00286734">
        <w:t>Robinson</w:t>
      </w:r>
      <w:r w:rsidRPr="00C04EA2">
        <w:t>:</w:t>
      </w:r>
    </w:p>
    <w:p w14:paraId="5FA807F5" w14:textId="77777777" w:rsidR="00AE0188" w:rsidRPr="00C04EA2" w:rsidRDefault="00AE0188" w:rsidP="0065730C"/>
    <w:p w14:paraId="4C463338" w14:textId="77777777" w:rsidR="00AE0188" w:rsidRPr="00C04EA2" w:rsidRDefault="00AE0188" w:rsidP="0065730C">
      <w:pPr>
        <w:sectPr w:rsidR="00AE0188" w:rsidRPr="00C04EA2" w:rsidSect="00F668F4">
          <w:headerReference w:type="default" r:id="rId7"/>
          <w:footerReference w:type="default" r:id="rId8"/>
          <w:headerReference w:type="first" r:id="rId9"/>
          <w:footerReference w:type="first" r:id="rId10"/>
          <w:pgSz w:w="12240" w:h="15838" w:code="1"/>
          <w:pgMar w:top="706" w:right="1440" w:bottom="1440" w:left="1440" w:header="720" w:footer="288" w:gutter="0"/>
          <w:cols w:space="720"/>
        </w:sectPr>
      </w:pPr>
    </w:p>
    <w:p w14:paraId="3C27D6CB" w14:textId="609EBE21" w:rsidR="00EC6896" w:rsidRPr="00342CFB" w:rsidRDefault="00EC6896" w:rsidP="0065730C">
      <w:pPr>
        <w:rPr>
          <w:strike/>
        </w:rPr>
      </w:pPr>
      <w:r w:rsidRPr="00C04EA2">
        <w:t xml:space="preserve">On </w:t>
      </w:r>
      <w:r w:rsidR="00565291">
        <w:t>June 30, 2022</w:t>
      </w:r>
      <w:r w:rsidR="00984F02">
        <w:t>,</w:t>
      </w:r>
      <w:r w:rsidRPr="00C04EA2">
        <w:t xml:space="preserve"> the U.S. Environmental Pr</w:t>
      </w:r>
      <w:r w:rsidR="00F629EF">
        <w:t>otection Agency (EPA) Region 6 O</w:t>
      </w:r>
      <w:r w:rsidRPr="00C04EA2">
        <w:t>ffice signed a letter identifying objections to the issuance of the proposed federal operating permit for the above referenced site. In</w:t>
      </w:r>
      <w:r w:rsidR="00EE119E">
        <w:t xml:space="preserve"> accordance with Title </w:t>
      </w:r>
      <w:r w:rsidRPr="00C04EA2">
        <w:t>30 Texas Administrative Code</w:t>
      </w:r>
      <w:r w:rsidR="00EE119E">
        <w:t xml:space="preserve"> </w:t>
      </w:r>
      <w:r w:rsidRPr="00C04EA2">
        <w:rPr>
          <w:bCs/>
        </w:rPr>
        <w:t>§</w:t>
      </w:r>
      <w:r w:rsidR="00EE119E">
        <w:rPr>
          <w:bCs/>
        </w:rPr>
        <w:t> </w:t>
      </w:r>
      <w:r w:rsidRPr="00C04EA2">
        <w:rPr>
          <w:bCs/>
        </w:rPr>
        <w:t>122.350</w:t>
      </w:r>
      <w:r w:rsidR="00EE119E">
        <w:rPr>
          <w:bCs/>
        </w:rPr>
        <w:t xml:space="preserve"> </w:t>
      </w:r>
      <w:r w:rsidR="00EE119E" w:rsidRPr="00EE119E">
        <w:rPr>
          <w:bCs/>
        </w:rPr>
        <w:t>(30 TAC § 122.350)</w:t>
      </w:r>
      <w:r w:rsidRPr="00C04EA2">
        <w:rPr>
          <w:bCs/>
        </w:rPr>
        <w:t xml:space="preserve">, the </w:t>
      </w:r>
      <w:r w:rsidRPr="00C04EA2">
        <w:t>Texas Commission on Environmental Quality (TCEQ) may not issue the permit until the objections are resolved.</w:t>
      </w:r>
    </w:p>
    <w:p w14:paraId="5F67EF5A" w14:textId="77777777" w:rsidR="00EC6896" w:rsidRPr="00C04EA2" w:rsidRDefault="00EC6896" w:rsidP="0065730C"/>
    <w:p w14:paraId="31564615" w14:textId="77777777" w:rsidR="00EC6896" w:rsidRPr="00C04EA2" w:rsidRDefault="00EC6896" w:rsidP="0065730C">
      <w:r w:rsidRPr="00C04EA2">
        <w:t>The TCEQ has completed the technical review of your objections and offers the enclosed responses to facilitate resolution of the objections. In addition, the attached responses to the objections describe the changes, if applicable, that have been made to the revised proposed permit and supporting statement of basis</w:t>
      </w:r>
      <w:r w:rsidR="00B81F0F">
        <w:t xml:space="preserve"> (SOB)</w:t>
      </w:r>
      <w:r w:rsidRPr="00C04EA2">
        <w:t xml:space="preserve">.  The revised proposed permit and </w:t>
      </w:r>
      <w:r w:rsidR="00B81F0F">
        <w:t>SOB</w:t>
      </w:r>
      <w:r w:rsidRPr="00C04EA2">
        <w:t xml:space="preserve"> are attached for your review. </w:t>
      </w:r>
    </w:p>
    <w:p w14:paraId="55CB6D2B" w14:textId="77777777" w:rsidR="00EC6896" w:rsidRPr="00C04EA2" w:rsidRDefault="00EC6896" w:rsidP="0065730C"/>
    <w:p w14:paraId="7827E6C8" w14:textId="44D364A2" w:rsidR="00EC6896" w:rsidRPr="00C04EA2" w:rsidRDefault="00EC6896" w:rsidP="00E23946">
      <w:pPr>
        <w:keepNext/>
        <w:keepLines/>
      </w:pPr>
      <w:r w:rsidRPr="00C04EA2">
        <w:lastRenderedPageBreak/>
        <w:t xml:space="preserve">Consistent with 30 TAC </w:t>
      </w:r>
      <w:r w:rsidRPr="00C04EA2">
        <w:rPr>
          <w:bCs/>
        </w:rPr>
        <w:t xml:space="preserve">§122.350, please provide an indication of your acceptance or assessment of the responses and resolutions to the objections as soon as possible.  After receipt of your acceptance to the responses and resolutions to the objections, TCEQ will issue the proposed permit.  </w:t>
      </w:r>
      <w:r w:rsidRPr="00C04EA2">
        <w:t>Thank you for your cooperation in this matter.</w:t>
      </w:r>
      <w:r w:rsidRPr="00C04EA2">
        <w:rPr>
          <w:bCs/>
        </w:rPr>
        <w:t xml:space="preserve">  </w:t>
      </w:r>
      <w:r w:rsidR="00B53884" w:rsidRPr="00C04EA2">
        <w:t xml:space="preserve">Please contact </w:t>
      </w:r>
      <w:r w:rsidR="00565291">
        <w:t>Mr. </w:t>
      </w:r>
      <w:r w:rsidR="008A3E70">
        <w:t>Mark Meyer</w:t>
      </w:r>
      <w:r w:rsidR="00B53884" w:rsidRPr="00C04EA2">
        <w:t xml:space="preserve"> at </w:t>
      </w:r>
      <w:r w:rsidR="00E5705E">
        <w:t>(</w:t>
      </w:r>
      <w:r w:rsidR="00565291">
        <w:t>512</w:t>
      </w:r>
      <w:r w:rsidR="00E5705E">
        <w:t xml:space="preserve">) </w:t>
      </w:r>
      <w:r w:rsidR="00565291">
        <w:t>239</w:t>
      </w:r>
      <w:r w:rsidR="00E5705E">
        <w:t>-</w:t>
      </w:r>
      <w:r w:rsidR="008A3E70">
        <w:t>0445</w:t>
      </w:r>
      <w:r w:rsidRPr="00C04EA2">
        <w:rPr>
          <w:bCs/>
        </w:rPr>
        <w:t xml:space="preserve"> if you have any questions concerning this matter.</w:t>
      </w:r>
    </w:p>
    <w:p w14:paraId="2DCD7088" w14:textId="77777777" w:rsidR="00B53884" w:rsidRPr="00C04EA2" w:rsidRDefault="00B53884" w:rsidP="00E23946">
      <w:pPr>
        <w:keepNext/>
        <w:keepLines/>
      </w:pPr>
    </w:p>
    <w:p w14:paraId="3D62DE35" w14:textId="77777777" w:rsidR="00C4738D" w:rsidRPr="00C04EA2" w:rsidRDefault="00C4738D" w:rsidP="00E23946">
      <w:pPr>
        <w:keepNext/>
        <w:keepLines/>
      </w:pPr>
      <w:r w:rsidRPr="00C04EA2">
        <w:t>Sincerely,</w:t>
      </w:r>
    </w:p>
    <w:p w14:paraId="14F37810" w14:textId="77777777" w:rsidR="00C4738D" w:rsidRDefault="00C4738D" w:rsidP="00E23946">
      <w:pPr>
        <w:keepNext/>
        <w:keepLines/>
      </w:pPr>
    </w:p>
    <w:p w14:paraId="5B51CB5D" w14:textId="77777777" w:rsidR="00F7414D" w:rsidRDefault="00565291" w:rsidP="00E23946">
      <w:pPr>
        <w:keepNext/>
        <w:keepLines/>
      </w:pPr>
      <w:r>
        <w:rPr>
          <w:noProof/>
        </w:rPr>
        <w:drawing>
          <wp:inline distT="0" distB="0" distL="0" distR="0" wp14:anchorId="58BEC930" wp14:editId="2A3909AF">
            <wp:extent cx="2170176" cy="780288"/>
            <wp:effectExtent l="0" t="0" r="1905" b="1270"/>
            <wp:docPr id="1" name="Picture 1" descr="Graphic of handwritten signature of Samuel Short, Deputy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eputy Director, TCEQ"/>
                    <pic:cNvPicPr/>
                  </pic:nvPicPr>
                  <pic:blipFill>
                    <a:blip r:embed="rId11" r:link="rId12"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6BF3888C" w14:textId="77777777" w:rsidR="00F7414D" w:rsidRPr="00C04EA2" w:rsidRDefault="00F7414D" w:rsidP="00E23946">
      <w:pPr>
        <w:keepNext/>
        <w:keepLines/>
      </w:pPr>
    </w:p>
    <w:p w14:paraId="78CA53EC" w14:textId="77777777" w:rsidR="00565291" w:rsidRDefault="00565291" w:rsidP="00E23946">
      <w:pPr>
        <w:keepNext/>
        <w:keepLines/>
      </w:pPr>
      <w:r>
        <w:t>Samuel Short, Deputy Director</w:t>
      </w:r>
    </w:p>
    <w:p w14:paraId="050288B0" w14:textId="77777777" w:rsidR="00565291" w:rsidRDefault="00565291" w:rsidP="00E23946">
      <w:pPr>
        <w:keepNext/>
        <w:keepLines/>
      </w:pPr>
      <w:r>
        <w:t>Air Permits Division</w:t>
      </w:r>
    </w:p>
    <w:p w14:paraId="4D427678" w14:textId="77777777" w:rsidR="00C4738D" w:rsidRPr="00C04EA2" w:rsidRDefault="00565291" w:rsidP="00E23946">
      <w:pPr>
        <w:keepNext/>
        <w:keepLines/>
      </w:pPr>
      <w:r>
        <w:t>Office of Air</w:t>
      </w:r>
    </w:p>
    <w:p w14:paraId="09C7ABB8" w14:textId="77777777" w:rsidR="00565291" w:rsidRDefault="00565291" w:rsidP="00E23946">
      <w:pPr>
        <w:keepNext/>
        <w:keepLines/>
      </w:pPr>
      <w:r>
        <w:t>Texas Commission on Environmental Quality</w:t>
      </w:r>
    </w:p>
    <w:p w14:paraId="4C136851" w14:textId="77777777" w:rsidR="00C4738D" w:rsidRPr="00C04EA2" w:rsidRDefault="00C4738D" w:rsidP="00E23946">
      <w:pPr>
        <w:keepNext/>
        <w:keepLines/>
      </w:pPr>
    </w:p>
    <w:p w14:paraId="1F95C74A" w14:textId="77777777" w:rsidR="00565291" w:rsidRDefault="00C4738D"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rsidRPr="00C04EA2">
        <w:t>cc:</w:t>
      </w:r>
      <w:r w:rsidR="00565291">
        <w:tab/>
        <w:t>Mr. Michael Gaudet, Environmental Compliance Manager, Intercontinental Terminals Company LLC, La Porte</w:t>
      </w:r>
    </w:p>
    <w:p w14:paraId="500B2FE2" w14:textId="77777777" w:rsidR="00565291" w:rsidRDefault="00565291"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Chief Health Inspector, Health Department, City of Pasadena, Pasadena</w:t>
      </w:r>
    </w:p>
    <w:p w14:paraId="5838CE50" w14:textId="77777777" w:rsidR="00565291" w:rsidRDefault="00565291"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Director, Harris County, Pollution Control Services, Pasadena</w:t>
      </w:r>
    </w:p>
    <w:p w14:paraId="164FAB68" w14:textId="77777777" w:rsidR="00C4738D" w:rsidRDefault="00565291"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Air Section Manager, Region 12 - Houston</w:t>
      </w:r>
    </w:p>
    <w:p w14:paraId="096F6E2E" w14:textId="77777777" w:rsidR="00E23946" w:rsidRDefault="00E23946" w:rsidP="00E23946">
      <w:pPr>
        <w:keepNext/>
        <w:keepLines/>
        <w:ind w:left="734" w:hanging="288"/>
      </w:pPr>
      <w:r>
        <w:t>Air Permit Section Chief, U.S. Environmental Protection Agency, Region 6-Dallas (Electronic copy)</w:t>
      </w:r>
    </w:p>
    <w:p w14:paraId="12E2936F" w14:textId="77777777" w:rsidR="00B26D25" w:rsidRPr="00C04EA2" w:rsidRDefault="00B26D25" w:rsidP="00E23946">
      <w:pPr>
        <w:keepNext/>
        <w:keepLines/>
      </w:pPr>
    </w:p>
    <w:p w14:paraId="193ED00F" w14:textId="77777777" w:rsidR="00C4738D" w:rsidRPr="00C04EA2" w:rsidRDefault="00864539" w:rsidP="00E23946">
      <w:pPr>
        <w:keepNext/>
        <w:keepLines/>
        <w:tabs>
          <w:tab w:val="left" w:pos="1368"/>
        </w:tabs>
      </w:pPr>
      <w:r>
        <w:t>Enclosure</w:t>
      </w:r>
      <w:r w:rsidR="00C4738D" w:rsidRPr="00C04EA2">
        <w:t>:</w:t>
      </w:r>
      <w:r w:rsidR="00C4738D" w:rsidRPr="00C04EA2">
        <w:tab/>
      </w:r>
      <w:r w:rsidR="0050063A" w:rsidRPr="00C04EA2">
        <w:t xml:space="preserve">TCEQ </w:t>
      </w:r>
      <w:r w:rsidR="00C4738D" w:rsidRPr="00C04EA2">
        <w:t xml:space="preserve">Executive Director’s Response to </w:t>
      </w:r>
      <w:r w:rsidR="00D646BA" w:rsidRPr="00C04EA2">
        <w:t>EPA Objection</w:t>
      </w:r>
    </w:p>
    <w:p w14:paraId="19C094E9" w14:textId="77777777" w:rsidR="00C4738D" w:rsidRPr="00C04EA2" w:rsidRDefault="00C4738D" w:rsidP="00E23946">
      <w:pPr>
        <w:keepNext/>
        <w:keepLines/>
        <w:ind w:left="1368"/>
      </w:pPr>
      <w:r w:rsidRPr="00C04EA2">
        <w:t>Proposed Permit</w:t>
      </w:r>
    </w:p>
    <w:p w14:paraId="0C1D70BC" w14:textId="77777777" w:rsidR="0024486E" w:rsidRPr="00C04EA2" w:rsidRDefault="00D646BA" w:rsidP="00E23946">
      <w:pPr>
        <w:keepNext/>
        <w:keepLines/>
        <w:ind w:left="1368"/>
      </w:pPr>
      <w:r w:rsidRPr="00C04EA2">
        <w:t>Statement of Basis</w:t>
      </w:r>
    </w:p>
    <w:p w14:paraId="607A97B7" w14:textId="77777777" w:rsidR="00D646BA" w:rsidRPr="00C04EA2" w:rsidRDefault="00D646BA" w:rsidP="00E23946">
      <w:pPr>
        <w:keepNext/>
        <w:keepLines/>
      </w:pPr>
    </w:p>
    <w:p w14:paraId="5A1B22E4" w14:textId="77777777" w:rsidR="00C4738D" w:rsidRPr="00C04EA2" w:rsidRDefault="00C4738D" w:rsidP="00E23946">
      <w:pPr>
        <w:keepNext/>
        <w:keepLines/>
        <w:rPr>
          <w:sz w:val="16"/>
          <w:szCs w:val="16"/>
        </w:rPr>
      </w:pPr>
      <w:r w:rsidRPr="00C04EA2">
        <w:rPr>
          <w:sz w:val="16"/>
          <w:szCs w:val="16"/>
        </w:rPr>
        <w:t>Project Number:  </w:t>
      </w:r>
      <w:r w:rsidR="00565291">
        <w:rPr>
          <w:sz w:val="16"/>
          <w:szCs w:val="16"/>
        </w:rPr>
        <w:t>31086</w:t>
      </w:r>
    </w:p>
    <w:p w14:paraId="5E1675BE" w14:textId="77777777" w:rsidR="00010F20" w:rsidRPr="00C04EA2" w:rsidRDefault="00010F20" w:rsidP="00D93201">
      <w:pPr>
        <w:sectPr w:rsidR="00010F20" w:rsidRPr="00C04EA2" w:rsidSect="000A3D0D">
          <w:headerReference w:type="default" r:id="rId13"/>
          <w:footerReference w:type="default" r:id="rId14"/>
          <w:type w:val="continuous"/>
          <w:pgSz w:w="12240" w:h="15838" w:code="1"/>
          <w:pgMar w:top="1440" w:right="1440" w:bottom="720" w:left="1440" w:header="1440" w:footer="720" w:gutter="0"/>
          <w:cols w:space="720"/>
        </w:sectPr>
      </w:pPr>
    </w:p>
    <w:p w14:paraId="1EAFEFF7" w14:textId="77777777" w:rsidR="002C7CC9" w:rsidRPr="009458A8" w:rsidRDefault="0089546D" w:rsidP="009458A8">
      <w:pPr>
        <w:jc w:val="center"/>
        <w:outlineLvl w:val="0"/>
        <w:rPr>
          <w:rStyle w:val="Strong"/>
        </w:rPr>
        <w:sectPr w:rsidR="002C7CC9" w:rsidRPr="009458A8" w:rsidSect="003E5C67">
          <w:headerReference w:type="default" r:id="rId15"/>
          <w:footerReference w:type="default" r:id="rId16"/>
          <w:pgSz w:w="12240" w:h="15838" w:code="1"/>
          <w:pgMar w:top="1440" w:right="1440" w:bottom="720" w:left="1440" w:header="720" w:footer="720" w:gutter="0"/>
          <w:pgNumType w:start="1"/>
          <w:cols w:space="720"/>
        </w:sectPr>
      </w:pPr>
      <w:r>
        <w:rPr>
          <w:rStyle w:val="Strong"/>
        </w:rPr>
        <w:lastRenderedPageBreak/>
        <w:t>Executive Director’s</w:t>
      </w:r>
      <w:r w:rsidR="002C7CC9" w:rsidRPr="009458A8">
        <w:rPr>
          <w:rStyle w:val="Strong"/>
        </w:rPr>
        <w:t xml:space="preserve"> R</w:t>
      </w:r>
      <w:r>
        <w:rPr>
          <w:rStyle w:val="Strong"/>
        </w:rPr>
        <w:t>esponse to EPA Objection</w:t>
      </w:r>
    </w:p>
    <w:p w14:paraId="5E958675" w14:textId="77777777" w:rsidR="00BD7424" w:rsidRPr="0014747F" w:rsidRDefault="00BD7424" w:rsidP="009458A8">
      <w:pPr>
        <w:numPr>
          <w:ilvl w:val="12"/>
          <w:numId w:val="0"/>
        </w:numPr>
        <w:jc w:val="center"/>
        <w:rPr>
          <w:bCs/>
        </w:rPr>
      </w:pPr>
    </w:p>
    <w:p w14:paraId="29542B65" w14:textId="77777777" w:rsidR="0084399C" w:rsidRPr="009458A8" w:rsidRDefault="00BD7424" w:rsidP="009458A8">
      <w:pPr>
        <w:jc w:val="center"/>
        <w:rPr>
          <w:rStyle w:val="Strong"/>
        </w:rPr>
      </w:pPr>
      <w:r w:rsidRPr="009458A8">
        <w:rPr>
          <w:rStyle w:val="Strong"/>
        </w:rPr>
        <w:t>Permit Number</w:t>
      </w:r>
      <w:r w:rsidR="004274AD">
        <w:rPr>
          <w:rStyle w:val="Strong"/>
        </w:rPr>
        <w:t xml:space="preserve"> </w:t>
      </w:r>
      <w:r w:rsidR="00565291">
        <w:rPr>
          <w:rStyle w:val="Strong"/>
        </w:rPr>
        <w:t>O3785</w:t>
      </w:r>
    </w:p>
    <w:p w14:paraId="1D1182F5" w14:textId="77777777" w:rsidR="0084399C" w:rsidRPr="00C04EA2" w:rsidRDefault="0084399C" w:rsidP="009458A8">
      <w:pPr>
        <w:numPr>
          <w:ilvl w:val="12"/>
          <w:numId w:val="0"/>
        </w:numPr>
      </w:pPr>
    </w:p>
    <w:p w14:paraId="43D9AC7F" w14:textId="10EB2534" w:rsidR="0084399C" w:rsidRPr="00C04EA2" w:rsidRDefault="0084399C" w:rsidP="009458A8">
      <w:pPr>
        <w:numPr>
          <w:ilvl w:val="12"/>
          <w:numId w:val="0"/>
        </w:numPr>
      </w:pPr>
      <w:r w:rsidRPr="00C04EA2">
        <w:t xml:space="preserve">The Texas Commission on Environmental Quality (TCEQ) Executive Director </w:t>
      </w:r>
      <w:r w:rsidR="0010000F">
        <w:t xml:space="preserve">(ED) </w:t>
      </w:r>
      <w:r w:rsidRPr="00C04EA2">
        <w:t xml:space="preserve">provides this Response to EPA’s Objection to the </w:t>
      </w:r>
      <w:r w:rsidR="00565291">
        <w:t>renewal</w:t>
      </w:r>
      <w:r w:rsidR="00001360" w:rsidRPr="00C04EA2">
        <w:t xml:space="preserve"> </w:t>
      </w:r>
      <w:r w:rsidRPr="00C04EA2">
        <w:t>of the Federal Operating Permit (FOP) for</w:t>
      </w:r>
      <w:r w:rsidR="00D35365" w:rsidRPr="00C04EA2">
        <w:t xml:space="preserve"> </w:t>
      </w:r>
      <w:r w:rsidR="00565291">
        <w:t>Intercontinental Terminals Company LLC</w:t>
      </w:r>
      <w:r w:rsidRPr="00C04EA2">
        <w:t xml:space="preserve">, </w:t>
      </w:r>
      <w:r w:rsidR="00565291">
        <w:t>I</w:t>
      </w:r>
      <w:r w:rsidR="00E5705E">
        <w:t>TC</w:t>
      </w:r>
      <w:r w:rsidR="00565291">
        <w:t xml:space="preserve"> Pasadena Terminal</w:t>
      </w:r>
      <w:r w:rsidRPr="00C04EA2">
        <w:t>, Permit No.</w:t>
      </w:r>
      <w:r w:rsidR="00001360" w:rsidRPr="00C04EA2">
        <w:t xml:space="preserve"> </w:t>
      </w:r>
      <w:r w:rsidR="00565291">
        <w:t>O3785</w:t>
      </w:r>
      <w:r w:rsidRPr="00C04EA2">
        <w:t xml:space="preserve">, </w:t>
      </w:r>
      <w:r w:rsidR="00565291">
        <w:t>Harris</w:t>
      </w:r>
      <w:r w:rsidR="00D35365" w:rsidRPr="00C04EA2">
        <w:t xml:space="preserve"> County, Texas.</w:t>
      </w:r>
    </w:p>
    <w:p w14:paraId="10BB6685" w14:textId="77777777" w:rsidR="0084399C" w:rsidRPr="00C04EA2" w:rsidRDefault="0084399C" w:rsidP="009458A8">
      <w:pPr>
        <w:numPr>
          <w:ilvl w:val="12"/>
          <w:numId w:val="0"/>
        </w:numPr>
      </w:pPr>
    </w:p>
    <w:p w14:paraId="0058C2C1" w14:textId="77777777" w:rsidR="0084399C" w:rsidRPr="009458A8" w:rsidRDefault="0084399C" w:rsidP="009458A8">
      <w:pPr>
        <w:jc w:val="center"/>
        <w:rPr>
          <w:rStyle w:val="Strong"/>
        </w:rPr>
      </w:pPr>
      <w:r w:rsidRPr="009458A8">
        <w:rPr>
          <w:rStyle w:val="Strong"/>
        </w:rPr>
        <w:t>B</w:t>
      </w:r>
      <w:r w:rsidR="0089546D">
        <w:rPr>
          <w:rStyle w:val="Strong"/>
        </w:rPr>
        <w:t>ackground</w:t>
      </w:r>
    </w:p>
    <w:p w14:paraId="68340FB2" w14:textId="77777777" w:rsidR="0084399C" w:rsidRPr="00C04EA2" w:rsidRDefault="0084399C" w:rsidP="00136B69">
      <w:pPr>
        <w:numPr>
          <w:ilvl w:val="12"/>
          <w:numId w:val="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304B189A" w14:textId="77777777" w:rsidR="0084399C" w:rsidRPr="0089546D" w:rsidRDefault="0084399C" w:rsidP="009458A8">
      <w:pPr>
        <w:jc w:val="center"/>
      </w:pPr>
      <w:r w:rsidRPr="0089546D">
        <w:t>Procedural Background</w:t>
      </w:r>
    </w:p>
    <w:p w14:paraId="4BFB9440" w14:textId="77777777" w:rsidR="0084399C" w:rsidRPr="00C04EA2" w:rsidRDefault="0084399C" w:rsidP="006F716D"/>
    <w:p w14:paraId="0D733FF5" w14:textId="67E1522A" w:rsidR="0084399C" w:rsidRPr="00C04EA2" w:rsidRDefault="0084399C" w:rsidP="006821E5">
      <w:r w:rsidRPr="00C04EA2">
        <w:t xml:space="preserve">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  </w:t>
      </w:r>
      <w:r w:rsidR="00565291">
        <w:t>Intercontinental Terminals Company LLC</w:t>
      </w:r>
      <w:r w:rsidRPr="00C04EA2">
        <w:rPr>
          <w:szCs w:val="22"/>
        </w:rPr>
        <w:t xml:space="preserve"> applied to the TCEQ for a </w:t>
      </w:r>
      <w:r w:rsidR="00565291">
        <w:rPr>
          <w:szCs w:val="22"/>
        </w:rPr>
        <w:t>renewal</w:t>
      </w:r>
      <w:r w:rsidR="00974EF0" w:rsidRPr="00C04EA2">
        <w:rPr>
          <w:szCs w:val="22"/>
        </w:rPr>
        <w:t xml:space="preserve"> </w:t>
      </w:r>
      <w:r w:rsidRPr="00C04EA2">
        <w:rPr>
          <w:szCs w:val="22"/>
        </w:rPr>
        <w:t xml:space="preserve">of the FOP for the </w:t>
      </w:r>
      <w:r w:rsidR="00565291">
        <w:rPr>
          <w:szCs w:val="22"/>
        </w:rPr>
        <w:t>I</w:t>
      </w:r>
      <w:r w:rsidR="00E5705E">
        <w:rPr>
          <w:szCs w:val="22"/>
        </w:rPr>
        <w:t>TC</w:t>
      </w:r>
      <w:r w:rsidR="00565291">
        <w:rPr>
          <w:szCs w:val="22"/>
        </w:rPr>
        <w:t xml:space="preserve"> Pasadena Terminal</w:t>
      </w:r>
      <w:r w:rsidR="00974EF0" w:rsidRPr="00C04EA2">
        <w:t xml:space="preserve"> </w:t>
      </w:r>
      <w:r w:rsidRPr="00C04EA2">
        <w:rPr>
          <w:szCs w:val="22"/>
        </w:rPr>
        <w:t xml:space="preserve">located in </w:t>
      </w:r>
      <w:r w:rsidR="00565291">
        <w:rPr>
          <w:szCs w:val="22"/>
        </w:rPr>
        <w:t>Pasadena, Harris</w:t>
      </w:r>
      <w:r w:rsidR="00974EF0" w:rsidRPr="00C04EA2">
        <w:rPr>
          <w:szCs w:val="22"/>
        </w:rPr>
        <w:t xml:space="preserve"> </w:t>
      </w:r>
      <w:r w:rsidRPr="00C04EA2">
        <w:rPr>
          <w:szCs w:val="22"/>
        </w:rPr>
        <w:t>County on</w:t>
      </w:r>
      <w:r w:rsidR="00EF58B3" w:rsidRPr="00C04EA2">
        <w:t xml:space="preserve"> </w:t>
      </w:r>
      <w:r w:rsidR="00565291">
        <w:t>August 26, 2020</w:t>
      </w:r>
      <w:r w:rsidRPr="00C04EA2">
        <w:t xml:space="preserve">, and notice was published on </w:t>
      </w:r>
      <w:r w:rsidR="00565291">
        <w:t>July 28, 2021</w:t>
      </w:r>
      <w:r w:rsidR="00C96974">
        <w:t>,</w:t>
      </w:r>
      <w:r w:rsidR="00B7451E" w:rsidRPr="00C04EA2">
        <w:t xml:space="preserve"> </w:t>
      </w:r>
      <w:r w:rsidRPr="00C04EA2">
        <w:t>in</w:t>
      </w:r>
      <w:r w:rsidRPr="00B044C2">
        <w:rPr>
          <w:rStyle w:val="Emphasis"/>
        </w:rPr>
        <w:t xml:space="preserve"> </w:t>
      </w:r>
      <w:r w:rsidR="00565291">
        <w:rPr>
          <w:rStyle w:val="Emphasis"/>
        </w:rPr>
        <w:t>The Pasadena Citizen</w:t>
      </w:r>
      <w:r w:rsidRPr="00B044C2">
        <w:rPr>
          <w:rStyle w:val="Emphasis"/>
        </w:rPr>
        <w:t>.</w:t>
      </w:r>
      <w:r w:rsidRPr="00C04EA2">
        <w:t xml:space="preserve">  </w:t>
      </w:r>
      <w:r w:rsidR="006E77BF">
        <w:t xml:space="preserve">A public hearing was held on </w:t>
      </w:r>
      <w:r w:rsidR="009A255D">
        <w:t>December 9, 2021</w:t>
      </w:r>
      <w:r w:rsidR="00714B35">
        <w:t>,</w:t>
      </w:r>
      <w:r w:rsidR="009A255D">
        <w:t xml:space="preserve"> and t</w:t>
      </w:r>
      <w:r w:rsidRPr="00C04EA2">
        <w:t xml:space="preserve">he public comment period ended on </w:t>
      </w:r>
      <w:r w:rsidR="00565291">
        <w:t>December 9, 2021</w:t>
      </w:r>
      <w:r w:rsidRPr="00C04EA2">
        <w:t xml:space="preserve">.  </w:t>
      </w:r>
      <w:r w:rsidR="00F723E0">
        <w:t>In response to the public comments, a</w:t>
      </w:r>
      <w:r w:rsidR="009A255D">
        <w:t xml:space="preserve"> response to comments (RTC) letter and a proposed permit was sent to </w:t>
      </w:r>
      <w:r w:rsidR="00F723E0">
        <w:t xml:space="preserve">EPA on May </w:t>
      </w:r>
      <w:r w:rsidR="00714B35">
        <w:t>13</w:t>
      </w:r>
      <w:r w:rsidR="00F723E0">
        <w:t xml:space="preserve">, 2022. </w:t>
      </w:r>
      <w:r w:rsidR="00D209C0">
        <w:t>During the EPA review period</w:t>
      </w:r>
      <w:r w:rsidR="00714B35">
        <w:t xml:space="preserve"> starting May 17, 2022</w:t>
      </w:r>
      <w:r w:rsidR="00D209C0">
        <w:t xml:space="preserve">, </w:t>
      </w:r>
      <w:r w:rsidRPr="00C04EA2">
        <w:rPr>
          <w:szCs w:val="22"/>
        </w:rPr>
        <w:t xml:space="preserve">TCEQ received an objection to the permit from EPA on </w:t>
      </w:r>
      <w:r w:rsidR="00565291">
        <w:rPr>
          <w:szCs w:val="22"/>
        </w:rPr>
        <w:t>June 30, 2022</w:t>
      </w:r>
      <w:r w:rsidRPr="00C04EA2">
        <w:rPr>
          <w:szCs w:val="22"/>
        </w:rPr>
        <w:t>.</w:t>
      </w:r>
    </w:p>
    <w:p w14:paraId="19695247" w14:textId="77777777" w:rsidR="0084399C" w:rsidRPr="00C04EA2" w:rsidRDefault="0084399C" w:rsidP="009458A8">
      <w:pPr>
        <w:numPr>
          <w:ilvl w:val="12"/>
          <w:numId w:val="0"/>
        </w:numPr>
      </w:pPr>
    </w:p>
    <w:p w14:paraId="78863113" w14:textId="77777777" w:rsidR="0084399C" w:rsidRPr="00C04EA2" w:rsidRDefault="0084399C" w:rsidP="009458A8">
      <w:pPr>
        <w:numPr>
          <w:ilvl w:val="12"/>
          <w:numId w:val="0"/>
        </w:numPr>
      </w:pPr>
      <w:r w:rsidRPr="00C04EA2">
        <w:rPr>
          <w:szCs w:val="22"/>
        </w:rPr>
        <w:t xml:space="preserve">In accordance with state and federal rules, the permit </w:t>
      </w:r>
      <w:r w:rsidR="00565291">
        <w:rPr>
          <w:szCs w:val="22"/>
        </w:rPr>
        <w:t>renewal</w:t>
      </w:r>
      <w:r w:rsidR="00FE53FD" w:rsidRPr="00C04EA2">
        <w:rPr>
          <w:szCs w:val="22"/>
        </w:rPr>
        <w:t xml:space="preserve"> </w:t>
      </w:r>
      <w:r w:rsidRPr="00C04EA2">
        <w:rPr>
          <w:szCs w:val="22"/>
        </w:rPr>
        <w:t xml:space="preserve">may not be issued until </w:t>
      </w:r>
      <w:r w:rsidR="00931153">
        <w:rPr>
          <w:szCs w:val="22"/>
        </w:rPr>
        <w:t>TCEQ resolves EPA’s objections.</w:t>
      </w:r>
    </w:p>
    <w:p w14:paraId="4F15AA73" w14:textId="77777777" w:rsidR="0084399C" w:rsidRPr="00C04EA2" w:rsidRDefault="0084399C" w:rsidP="009458A8">
      <w:pPr>
        <w:numPr>
          <w:ilvl w:val="12"/>
          <w:numId w:val="0"/>
        </w:numPr>
      </w:pPr>
    </w:p>
    <w:p w14:paraId="0D38E40F" w14:textId="77777777" w:rsidR="0084399C" w:rsidRPr="00234DA7" w:rsidRDefault="0084399C" w:rsidP="009458A8">
      <w:pPr>
        <w:jc w:val="center"/>
        <w:rPr>
          <w:u w:val="single"/>
        </w:rPr>
      </w:pPr>
      <w:r w:rsidRPr="00234DA7">
        <w:rPr>
          <w:u w:val="single"/>
        </w:rPr>
        <w:t>Description of Site</w:t>
      </w:r>
    </w:p>
    <w:p w14:paraId="5A91C49A" w14:textId="77777777" w:rsidR="00F62FBE" w:rsidRPr="00C04EA2" w:rsidRDefault="00F62FBE" w:rsidP="00F95F69">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pPr>
    </w:p>
    <w:p w14:paraId="29888FF2" w14:textId="0C9AA67B" w:rsidR="0084399C" w:rsidRPr="009458A8" w:rsidRDefault="00565291" w:rsidP="009458A8">
      <w:pPr>
        <w:numPr>
          <w:ilvl w:val="12"/>
          <w:numId w:val="0"/>
        </w:numPr>
      </w:pPr>
      <w:r>
        <w:t>Intercontinental Terminals Company LLC</w:t>
      </w:r>
      <w:r w:rsidR="000303A6">
        <w:t xml:space="preserve"> o</w:t>
      </w:r>
      <w:r w:rsidR="00521E39">
        <w:t xml:space="preserve">wns and operates the </w:t>
      </w:r>
      <w:r>
        <w:t>I</w:t>
      </w:r>
      <w:r w:rsidR="00E5705E">
        <w:t>TC</w:t>
      </w:r>
      <w:r>
        <w:t xml:space="preserve"> Pasadena Terminal</w:t>
      </w:r>
      <w:r w:rsidR="00521E39">
        <w:t xml:space="preserve">, located at </w:t>
      </w:r>
      <w:r>
        <w:t>1030 Ethyl Road</w:t>
      </w:r>
      <w:r w:rsidR="00DA76A1">
        <w:t xml:space="preserve"> in</w:t>
      </w:r>
      <w:r w:rsidR="00521E39">
        <w:t xml:space="preserve"> </w:t>
      </w:r>
      <w:r>
        <w:t>Pasadena, Harris</w:t>
      </w:r>
      <w:r w:rsidR="00521E39">
        <w:t xml:space="preserve"> Texas</w:t>
      </w:r>
      <w:r>
        <w:t xml:space="preserve"> 77503</w:t>
      </w:r>
      <w:r w:rsidR="00DA76A1">
        <w:t>.</w:t>
      </w:r>
      <w:r w:rsidR="00097D16" w:rsidRPr="00097D16">
        <w:rPr>
          <w:szCs w:val="20"/>
        </w:rPr>
        <w:t xml:space="preserve"> </w:t>
      </w:r>
      <w:r w:rsidR="00097D16" w:rsidRPr="00D52F6D">
        <w:rPr>
          <w:szCs w:val="20"/>
        </w:rPr>
        <w:t xml:space="preserve">ITC’s Pasadena Terminal is a for-hire bulk liquid storage </w:t>
      </w:r>
      <w:r w:rsidR="008A52F4">
        <w:rPr>
          <w:szCs w:val="20"/>
        </w:rPr>
        <w:t xml:space="preserve">facility and marine </w:t>
      </w:r>
      <w:r w:rsidR="00097D16" w:rsidRPr="00D52F6D">
        <w:rPr>
          <w:szCs w:val="20"/>
        </w:rPr>
        <w:t xml:space="preserve">terminal. </w:t>
      </w:r>
      <w:r w:rsidR="00FC58F6">
        <w:rPr>
          <w:szCs w:val="20"/>
        </w:rPr>
        <w:t xml:space="preserve">The terminal </w:t>
      </w:r>
      <w:r w:rsidR="008A52F4">
        <w:rPr>
          <w:szCs w:val="20"/>
        </w:rPr>
        <w:t xml:space="preserve">handles </w:t>
      </w:r>
      <w:r w:rsidR="00342CFB">
        <w:rPr>
          <w:szCs w:val="20"/>
        </w:rPr>
        <w:t xml:space="preserve">fuels, </w:t>
      </w:r>
      <w:r w:rsidR="008A52F4">
        <w:rPr>
          <w:szCs w:val="20"/>
        </w:rPr>
        <w:t>commodity c</w:t>
      </w:r>
      <w:r w:rsidR="00097D16" w:rsidRPr="00D52F6D">
        <w:rPr>
          <w:szCs w:val="20"/>
        </w:rPr>
        <w:t>hemicals, crude</w:t>
      </w:r>
      <w:r w:rsidR="008A52F4">
        <w:rPr>
          <w:szCs w:val="20"/>
        </w:rPr>
        <w:t xml:space="preserve"> oil</w:t>
      </w:r>
      <w:r w:rsidR="00097D16" w:rsidRPr="00D52F6D">
        <w:rPr>
          <w:szCs w:val="20"/>
        </w:rPr>
        <w:t xml:space="preserve"> and petroleum products </w:t>
      </w:r>
      <w:r w:rsidR="005153BB">
        <w:rPr>
          <w:szCs w:val="20"/>
        </w:rPr>
        <w:t xml:space="preserve">which </w:t>
      </w:r>
      <w:r w:rsidR="00097D16" w:rsidRPr="00D52F6D">
        <w:rPr>
          <w:szCs w:val="20"/>
        </w:rPr>
        <w:t>are stored in storage tanks and transferred in and out of the terminal tankage b</w:t>
      </w:r>
      <w:r w:rsidR="00097D16">
        <w:rPr>
          <w:szCs w:val="20"/>
        </w:rPr>
        <w:t>y</w:t>
      </w:r>
      <w:r w:rsidR="00097D16" w:rsidRPr="00D52F6D">
        <w:rPr>
          <w:szCs w:val="20"/>
        </w:rPr>
        <w:t xml:space="preserve"> pipeline, marine vessel, railcar, and tank truck.</w:t>
      </w:r>
    </w:p>
    <w:p w14:paraId="7706FCBF" w14:textId="77777777" w:rsidR="00037C5C" w:rsidRPr="009458A8" w:rsidRDefault="00037C5C" w:rsidP="009458A8">
      <w:pPr>
        <w:numPr>
          <w:ilvl w:val="12"/>
          <w:numId w:val="0"/>
        </w:numPr>
      </w:pPr>
    </w:p>
    <w:p w14:paraId="621B1050" w14:textId="77777777" w:rsidR="0084399C" w:rsidRPr="009458A8" w:rsidRDefault="0084399C" w:rsidP="005B5105">
      <w:r w:rsidRPr="009458A8">
        <w:t>The following responses follow the references used in EPA’s objection letter.</w:t>
      </w:r>
    </w:p>
    <w:p w14:paraId="434DC0AD" w14:textId="77777777" w:rsidR="0084399C" w:rsidRPr="009458A8" w:rsidRDefault="0084399C" w:rsidP="005B5105"/>
    <w:p w14:paraId="2BA20DB2" w14:textId="77777777" w:rsidR="00EC3950" w:rsidRPr="00EC3950" w:rsidRDefault="0084399C" w:rsidP="00EC3950">
      <w:pPr>
        <w:rPr>
          <w:rFonts w:cs="Arial"/>
          <w:szCs w:val="20"/>
        </w:rPr>
      </w:pPr>
      <w:r w:rsidRPr="009458A8">
        <w:rPr>
          <w:rStyle w:val="Strong"/>
        </w:rPr>
        <w:t xml:space="preserve">EPA </w:t>
      </w:r>
      <w:r w:rsidR="0089546D">
        <w:rPr>
          <w:rStyle w:val="Strong"/>
        </w:rPr>
        <w:t>Objection</w:t>
      </w:r>
      <w:r w:rsidR="00097D16">
        <w:rPr>
          <w:rStyle w:val="Strong"/>
        </w:rPr>
        <w:t xml:space="preserve"> 1</w:t>
      </w:r>
      <w:r w:rsidRPr="009458A8">
        <w:rPr>
          <w:rStyle w:val="Strong"/>
        </w:rPr>
        <w:t>:</w:t>
      </w:r>
      <w:r w:rsidRPr="009458A8">
        <w:t xml:space="preserve"> </w:t>
      </w:r>
      <w:r w:rsidR="00EC3950" w:rsidRPr="00EC3950">
        <w:rPr>
          <w:rFonts w:cs="Arial"/>
          <w:szCs w:val="20"/>
        </w:rPr>
        <w:t xml:space="preserve">Failure to Include </w:t>
      </w:r>
      <w:bookmarkStart w:id="0" w:name="_Hlk138841344"/>
      <w:r w:rsidR="00EC3950" w:rsidRPr="00EC3950">
        <w:rPr>
          <w:rFonts w:cs="Arial"/>
          <w:szCs w:val="20"/>
        </w:rPr>
        <w:t>Adequate Monitoring Requirements to Assure Compliance</w:t>
      </w:r>
    </w:p>
    <w:p w14:paraId="18E5911B" w14:textId="54113FEF" w:rsidR="0084399C" w:rsidRDefault="00EC3950" w:rsidP="00EC3950">
      <w:pPr>
        <w:rPr>
          <w:rFonts w:cs="Arial"/>
          <w:szCs w:val="20"/>
        </w:rPr>
      </w:pPr>
      <w:r w:rsidRPr="00EC3950">
        <w:rPr>
          <w:rFonts w:cs="Arial"/>
          <w:szCs w:val="20"/>
        </w:rPr>
        <w:t>with Permitted Emission Limits</w:t>
      </w:r>
      <w:bookmarkEnd w:id="0"/>
      <w:r>
        <w:rPr>
          <w:rFonts w:cs="Arial"/>
          <w:szCs w:val="20"/>
        </w:rPr>
        <w:t>.</w:t>
      </w:r>
    </w:p>
    <w:p w14:paraId="34CE9575" w14:textId="744876FA" w:rsidR="00EC3950" w:rsidRDefault="00EC3950" w:rsidP="00EC3950">
      <w:pPr>
        <w:rPr>
          <w:rFonts w:cs="Arial"/>
          <w:szCs w:val="20"/>
        </w:rPr>
      </w:pPr>
    </w:p>
    <w:p w14:paraId="1B094DFB" w14:textId="01D65A15" w:rsidR="00EC3950" w:rsidRDefault="00EC3950" w:rsidP="00EC3950">
      <w:pPr>
        <w:rPr>
          <w:rFonts w:cs="Arial"/>
          <w:szCs w:val="20"/>
        </w:rPr>
      </w:pPr>
      <w:r w:rsidRPr="003A1FC8">
        <w:rPr>
          <w:rFonts w:cs="Arial"/>
          <w:szCs w:val="20"/>
        </w:rPr>
        <w:t>The title V permit incorporates by reference minor NSR permit</w:t>
      </w:r>
      <w:r w:rsidR="008A3E70">
        <w:rPr>
          <w:rFonts w:cs="Arial"/>
          <w:szCs w:val="20"/>
        </w:rPr>
        <w:t xml:space="preserve"> </w:t>
      </w:r>
      <w:r w:rsidRPr="003A1FC8">
        <w:rPr>
          <w:rFonts w:cs="Arial"/>
          <w:szCs w:val="20"/>
        </w:rPr>
        <w:t>95754 which was amended on April 16, 2021. Although this NSR permit received numerous</w:t>
      </w:r>
      <w:r w:rsidR="008A3E70">
        <w:rPr>
          <w:rFonts w:cs="Arial"/>
          <w:szCs w:val="20"/>
        </w:rPr>
        <w:t xml:space="preserve"> </w:t>
      </w:r>
      <w:r w:rsidRPr="003A1FC8">
        <w:rPr>
          <w:rFonts w:cs="Arial"/>
          <w:szCs w:val="20"/>
        </w:rPr>
        <w:t>comments during the public comment period which ran from December 18, 2020 to January 29,</w:t>
      </w:r>
      <w:r w:rsidR="008A3E70">
        <w:rPr>
          <w:rFonts w:cs="Arial"/>
          <w:szCs w:val="20"/>
        </w:rPr>
        <w:t xml:space="preserve"> </w:t>
      </w:r>
      <w:r w:rsidRPr="003A1FC8">
        <w:rPr>
          <w:rFonts w:cs="Arial"/>
          <w:szCs w:val="20"/>
        </w:rPr>
        <w:t>2021, TCEQ made no changes to the NSR permit based on comments that were received. TCEQ</w:t>
      </w:r>
      <w:r w:rsidR="008A3E70">
        <w:rPr>
          <w:rFonts w:cs="Arial"/>
          <w:szCs w:val="20"/>
        </w:rPr>
        <w:t xml:space="preserve"> </w:t>
      </w:r>
      <w:r w:rsidRPr="003A1FC8">
        <w:rPr>
          <w:rFonts w:cs="Arial"/>
          <w:szCs w:val="20"/>
        </w:rPr>
        <w:t>received many comments on the proposed title V permit that make similar claims on the inadequacy</w:t>
      </w:r>
      <w:r w:rsidR="008A3E70">
        <w:rPr>
          <w:rFonts w:cs="Arial"/>
          <w:szCs w:val="20"/>
        </w:rPr>
        <w:t xml:space="preserve"> </w:t>
      </w:r>
      <w:r w:rsidRPr="003A1FC8">
        <w:rPr>
          <w:rFonts w:cs="Arial"/>
          <w:szCs w:val="20"/>
        </w:rPr>
        <w:t>of monitoring in the NSR permit. TCEQ failed to address these comments any further and directed</w:t>
      </w:r>
      <w:r w:rsidR="008A3E70">
        <w:rPr>
          <w:rFonts w:cs="Arial"/>
          <w:szCs w:val="20"/>
        </w:rPr>
        <w:t xml:space="preserve"> </w:t>
      </w:r>
      <w:r w:rsidRPr="003A1FC8">
        <w:rPr>
          <w:rFonts w:cs="Arial"/>
          <w:szCs w:val="20"/>
        </w:rPr>
        <w:t>the public to the response to comments document for the NSR permit for more detailed responses.</w:t>
      </w:r>
      <w:r w:rsidR="008A3E70">
        <w:rPr>
          <w:rFonts w:cs="Arial"/>
          <w:szCs w:val="20"/>
        </w:rPr>
        <w:t xml:space="preserve"> </w:t>
      </w:r>
      <w:r w:rsidRPr="003A1FC8">
        <w:rPr>
          <w:rFonts w:cs="Arial"/>
          <w:szCs w:val="20"/>
        </w:rPr>
        <w:t>TCEQ made no changes to the title V permit and did not add any supplemental monitoring to the</w:t>
      </w:r>
      <w:r w:rsidR="008A3E70">
        <w:rPr>
          <w:rFonts w:cs="Arial"/>
          <w:szCs w:val="20"/>
        </w:rPr>
        <w:t xml:space="preserve"> </w:t>
      </w:r>
      <w:r w:rsidRPr="003A1FC8">
        <w:rPr>
          <w:rFonts w:cs="Arial"/>
          <w:szCs w:val="20"/>
        </w:rPr>
        <w:t>title V permit. EPA has reviewed both response to comments documents and finds that the NSR</w:t>
      </w:r>
      <w:r w:rsidR="008A3E70">
        <w:rPr>
          <w:rFonts w:cs="Arial"/>
          <w:szCs w:val="20"/>
        </w:rPr>
        <w:t xml:space="preserve"> </w:t>
      </w:r>
      <w:r w:rsidRPr="003A1FC8">
        <w:rPr>
          <w:rFonts w:cs="Arial"/>
          <w:szCs w:val="20"/>
        </w:rPr>
        <w:t>permit does not contain adequate monitoring to assure compliance with the terms and conditions of</w:t>
      </w:r>
      <w:r w:rsidR="008A3E70">
        <w:rPr>
          <w:rFonts w:cs="Arial"/>
          <w:szCs w:val="20"/>
        </w:rPr>
        <w:t xml:space="preserve"> </w:t>
      </w:r>
      <w:r w:rsidRPr="003A1FC8">
        <w:rPr>
          <w:rFonts w:cs="Arial"/>
          <w:szCs w:val="20"/>
        </w:rPr>
        <w:t>the permit and provides specific examples below where additional monitoring is needed.</w:t>
      </w:r>
    </w:p>
    <w:p w14:paraId="189C1A0C" w14:textId="77777777" w:rsidR="00052257" w:rsidRPr="00B32864" w:rsidRDefault="00052257" w:rsidP="00EC3950">
      <w:pPr>
        <w:rPr>
          <w:rFonts w:cs="Arial"/>
          <w:szCs w:val="20"/>
        </w:rPr>
      </w:pPr>
    </w:p>
    <w:p w14:paraId="0CC04F13" w14:textId="77777777" w:rsidR="00C373FC" w:rsidRPr="00B32864" w:rsidRDefault="00C373FC" w:rsidP="00C373FC">
      <w:pPr>
        <w:pStyle w:val="ListParagraph"/>
        <w:numPr>
          <w:ilvl w:val="1"/>
          <w:numId w:val="17"/>
        </w:numPr>
        <w:tabs>
          <w:tab w:val="left" w:pos="1580"/>
        </w:tabs>
        <w:ind w:left="360"/>
        <w:rPr>
          <w:rFonts w:ascii="Arial" w:hAnsi="Arial" w:cs="Arial"/>
          <w:sz w:val="20"/>
          <w:szCs w:val="20"/>
        </w:rPr>
      </w:pPr>
      <w:r w:rsidRPr="00B32864">
        <w:rPr>
          <w:rFonts w:ascii="Arial" w:hAnsi="Arial" w:cs="Arial"/>
          <w:sz w:val="20"/>
          <w:szCs w:val="20"/>
        </w:rPr>
        <w:t>NSR permit 95754 includes Special Condition (SC) 2 which establishes VOC emission caps</w:t>
      </w:r>
      <w:r w:rsidRPr="00B32864">
        <w:rPr>
          <w:rFonts w:ascii="Arial" w:hAnsi="Arial" w:cs="Arial"/>
          <w:spacing w:val="-3"/>
          <w:sz w:val="20"/>
          <w:szCs w:val="20"/>
        </w:rPr>
        <w:t xml:space="preserve"> </w:t>
      </w:r>
      <w:r w:rsidRPr="00B32864">
        <w:rPr>
          <w:rFonts w:ascii="Arial" w:hAnsi="Arial" w:cs="Arial"/>
          <w:sz w:val="20"/>
          <w:szCs w:val="20"/>
        </w:rPr>
        <w:t>for</w:t>
      </w:r>
      <w:r w:rsidRPr="00B32864">
        <w:rPr>
          <w:rFonts w:ascii="Arial" w:hAnsi="Arial" w:cs="Arial"/>
          <w:spacing w:val="-4"/>
          <w:sz w:val="20"/>
          <w:szCs w:val="20"/>
        </w:rPr>
        <w:t xml:space="preserve"> </w:t>
      </w:r>
      <w:r w:rsidRPr="00B32864">
        <w:rPr>
          <w:rFonts w:ascii="Arial" w:hAnsi="Arial" w:cs="Arial"/>
          <w:sz w:val="20"/>
          <w:szCs w:val="20"/>
        </w:rPr>
        <w:t>three</w:t>
      </w:r>
      <w:r w:rsidRPr="00B32864">
        <w:rPr>
          <w:rFonts w:ascii="Arial" w:hAnsi="Arial" w:cs="Arial"/>
          <w:spacing w:val="-4"/>
          <w:sz w:val="20"/>
          <w:szCs w:val="20"/>
        </w:rPr>
        <w:t xml:space="preserve"> </w:t>
      </w:r>
      <w:r w:rsidRPr="00B32864">
        <w:rPr>
          <w:rFonts w:ascii="Arial" w:hAnsi="Arial" w:cs="Arial"/>
          <w:sz w:val="20"/>
          <w:szCs w:val="20"/>
        </w:rPr>
        <w:t>groups</w:t>
      </w:r>
      <w:r w:rsidRPr="00B32864">
        <w:rPr>
          <w:rFonts w:ascii="Arial" w:hAnsi="Arial" w:cs="Arial"/>
          <w:spacing w:val="-3"/>
          <w:sz w:val="20"/>
          <w:szCs w:val="20"/>
        </w:rPr>
        <w:t xml:space="preserve"> </w:t>
      </w:r>
      <w:r w:rsidRPr="00B32864">
        <w:rPr>
          <w:rFonts w:ascii="Arial" w:hAnsi="Arial" w:cs="Arial"/>
          <w:sz w:val="20"/>
          <w:szCs w:val="20"/>
        </w:rPr>
        <w:t>of</w:t>
      </w:r>
      <w:r w:rsidRPr="00B32864">
        <w:rPr>
          <w:rFonts w:ascii="Arial" w:hAnsi="Arial" w:cs="Arial"/>
          <w:spacing w:val="-2"/>
          <w:sz w:val="20"/>
          <w:szCs w:val="20"/>
        </w:rPr>
        <w:t xml:space="preserve"> </w:t>
      </w:r>
      <w:r w:rsidRPr="00B32864">
        <w:rPr>
          <w:rFonts w:ascii="Arial" w:hAnsi="Arial" w:cs="Arial"/>
          <w:sz w:val="20"/>
          <w:szCs w:val="20"/>
        </w:rPr>
        <w:t>units.</w:t>
      </w:r>
      <w:r w:rsidRPr="00B32864">
        <w:rPr>
          <w:rFonts w:ascii="Arial" w:hAnsi="Arial" w:cs="Arial"/>
          <w:spacing w:val="-3"/>
          <w:sz w:val="20"/>
          <w:szCs w:val="20"/>
        </w:rPr>
        <w:t xml:space="preserve"> </w:t>
      </w:r>
      <w:r w:rsidRPr="00B32864">
        <w:rPr>
          <w:rFonts w:ascii="Arial" w:hAnsi="Arial" w:cs="Arial"/>
          <w:sz w:val="20"/>
          <w:szCs w:val="20"/>
        </w:rPr>
        <w:t>These</w:t>
      </w:r>
      <w:r w:rsidRPr="00B32864">
        <w:rPr>
          <w:rFonts w:ascii="Arial" w:hAnsi="Arial" w:cs="Arial"/>
          <w:spacing w:val="-4"/>
          <w:sz w:val="20"/>
          <w:szCs w:val="20"/>
        </w:rPr>
        <w:t xml:space="preserve"> </w:t>
      </w:r>
      <w:r w:rsidRPr="00B32864">
        <w:rPr>
          <w:rFonts w:ascii="Arial" w:hAnsi="Arial" w:cs="Arial"/>
          <w:sz w:val="20"/>
          <w:szCs w:val="20"/>
        </w:rPr>
        <w:t>groups</w:t>
      </w:r>
      <w:r w:rsidRPr="00B32864">
        <w:rPr>
          <w:rFonts w:ascii="Arial" w:hAnsi="Arial" w:cs="Arial"/>
          <w:spacing w:val="-3"/>
          <w:sz w:val="20"/>
          <w:szCs w:val="20"/>
        </w:rPr>
        <w:t xml:space="preserve"> </w:t>
      </w:r>
      <w:r w:rsidRPr="00B32864">
        <w:rPr>
          <w:rFonts w:ascii="Arial" w:hAnsi="Arial" w:cs="Arial"/>
          <w:sz w:val="20"/>
          <w:szCs w:val="20"/>
        </w:rPr>
        <w:t>are</w:t>
      </w:r>
      <w:r w:rsidRPr="00B32864">
        <w:rPr>
          <w:rFonts w:ascii="Arial" w:hAnsi="Arial" w:cs="Arial"/>
          <w:spacing w:val="-4"/>
          <w:sz w:val="20"/>
          <w:szCs w:val="20"/>
        </w:rPr>
        <w:t xml:space="preserve"> </w:t>
      </w:r>
      <w:r w:rsidRPr="00B32864">
        <w:rPr>
          <w:rFonts w:ascii="Arial" w:hAnsi="Arial" w:cs="Arial"/>
          <w:sz w:val="20"/>
          <w:szCs w:val="20"/>
        </w:rPr>
        <w:t>based</w:t>
      </w:r>
      <w:r w:rsidRPr="00B32864">
        <w:rPr>
          <w:rFonts w:ascii="Arial" w:hAnsi="Arial" w:cs="Arial"/>
          <w:spacing w:val="-3"/>
          <w:sz w:val="20"/>
          <w:szCs w:val="20"/>
        </w:rPr>
        <w:t xml:space="preserve"> </w:t>
      </w:r>
      <w:r w:rsidRPr="00B32864">
        <w:rPr>
          <w:rFonts w:ascii="Arial" w:hAnsi="Arial" w:cs="Arial"/>
          <w:sz w:val="20"/>
          <w:szCs w:val="20"/>
        </w:rPr>
        <w:t>on</w:t>
      </w:r>
      <w:r w:rsidRPr="00B32864">
        <w:rPr>
          <w:rFonts w:ascii="Arial" w:hAnsi="Arial" w:cs="Arial"/>
          <w:spacing w:val="-3"/>
          <w:sz w:val="20"/>
          <w:szCs w:val="20"/>
        </w:rPr>
        <w:t xml:space="preserve"> </w:t>
      </w:r>
      <w:r w:rsidRPr="00B32864">
        <w:rPr>
          <w:rFonts w:ascii="Arial" w:hAnsi="Arial" w:cs="Arial"/>
          <w:sz w:val="20"/>
          <w:szCs w:val="20"/>
        </w:rPr>
        <w:t>three</w:t>
      </w:r>
      <w:r w:rsidRPr="00B32864">
        <w:rPr>
          <w:rFonts w:ascii="Arial" w:hAnsi="Arial" w:cs="Arial"/>
          <w:spacing w:val="-4"/>
          <w:sz w:val="20"/>
          <w:szCs w:val="20"/>
        </w:rPr>
        <w:t xml:space="preserve"> </w:t>
      </w:r>
      <w:r w:rsidRPr="00B32864">
        <w:rPr>
          <w:rFonts w:ascii="Arial" w:hAnsi="Arial" w:cs="Arial"/>
          <w:sz w:val="20"/>
          <w:szCs w:val="20"/>
        </w:rPr>
        <w:t>separate</w:t>
      </w:r>
      <w:r w:rsidRPr="00B32864">
        <w:rPr>
          <w:rFonts w:ascii="Arial" w:hAnsi="Arial" w:cs="Arial"/>
          <w:spacing w:val="-4"/>
          <w:sz w:val="20"/>
          <w:szCs w:val="20"/>
        </w:rPr>
        <w:t xml:space="preserve"> </w:t>
      </w:r>
      <w:r w:rsidRPr="00B32864">
        <w:rPr>
          <w:rFonts w:ascii="Arial" w:hAnsi="Arial" w:cs="Arial"/>
          <w:sz w:val="20"/>
          <w:szCs w:val="20"/>
        </w:rPr>
        <w:t>projects</w:t>
      </w:r>
      <w:r w:rsidRPr="00B32864">
        <w:rPr>
          <w:rFonts w:ascii="Arial" w:hAnsi="Arial" w:cs="Arial"/>
          <w:spacing w:val="-3"/>
          <w:sz w:val="20"/>
          <w:szCs w:val="20"/>
        </w:rPr>
        <w:t xml:space="preserve"> </w:t>
      </w:r>
      <w:r w:rsidRPr="00B32864">
        <w:rPr>
          <w:rFonts w:ascii="Arial" w:hAnsi="Arial" w:cs="Arial"/>
          <w:sz w:val="20"/>
          <w:szCs w:val="20"/>
        </w:rPr>
        <w:t>that</w:t>
      </w:r>
      <w:r w:rsidRPr="00B32864">
        <w:rPr>
          <w:rFonts w:ascii="Arial" w:hAnsi="Arial" w:cs="Arial"/>
          <w:spacing w:val="-3"/>
          <w:sz w:val="20"/>
          <w:szCs w:val="20"/>
        </w:rPr>
        <w:t xml:space="preserve"> </w:t>
      </w:r>
      <w:r w:rsidRPr="00B32864">
        <w:rPr>
          <w:rFonts w:ascii="Arial" w:hAnsi="Arial" w:cs="Arial"/>
          <w:sz w:val="20"/>
          <w:szCs w:val="20"/>
        </w:rPr>
        <w:t xml:space="preserve">were reviewed by TCEQ retrospectively. The groups each contain the three vapor combustors (EPNs VC-001, VC-002, and VC-003) and the flare (EPN FL-001). There is no </w:t>
      </w:r>
      <w:bookmarkStart w:id="1" w:name="_Hlk125462459"/>
      <w:r w:rsidRPr="00B32864">
        <w:rPr>
          <w:rFonts w:ascii="Arial" w:hAnsi="Arial" w:cs="Arial"/>
          <w:sz w:val="20"/>
          <w:szCs w:val="20"/>
        </w:rPr>
        <w:t>explanation on how compliance with each of these emission caps is to be determined across these EPNs</w:t>
      </w:r>
      <w:bookmarkEnd w:id="1"/>
      <w:r w:rsidRPr="00B32864">
        <w:rPr>
          <w:rFonts w:ascii="Arial" w:hAnsi="Arial" w:cs="Arial"/>
          <w:sz w:val="20"/>
          <w:szCs w:val="20"/>
        </w:rPr>
        <w:t xml:space="preserve">. To make this even more </w:t>
      </w:r>
      <w:r w:rsidRPr="00B32864">
        <w:rPr>
          <w:rFonts w:ascii="Arial" w:hAnsi="Arial" w:cs="Arial"/>
          <w:sz w:val="20"/>
          <w:szCs w:val="20"/>
        </w:rPr>
        <w:lastRenderedPageBreak/>
        <w:t>confusing, the MAERT includes additional emission caps that apply to the vapor combustors and flares. Can TCEQ please explain why these emission units have multiple emission caps and how compliance is demonstrated to include the calculation methodology for each one?</w:t>
      </w:r>
    </w:p>
    <w:p w14:paraId="48A65003" w14:textId="77777777" w:rsidR="00C373FC" w:rsidRPr="00B32864" w:rsidRDefault="00C373FC" w:rsidP="00C373FC">
      <w:pPr>
        <w:pStyle w:val="ListParagraph"/>
        <w:numPr>
          <w:ilvl w:val="1"/>
          <w:numId w:val="17"/>
        </w:numPr>
        <w:tabs>
          <w:tab w:val="left" w:pos="1580"/>
        </w:tabs>
        <w:ind w:left="360" w:right="105"/>
        <w:rPr>
          <w:rFonts w:ascii="Arial" w:hAnsi="Arial" w:cs="Arial"/>
          <w:sz w:val="20"/>
          <w:szCs w:val="20"/>
        </w:rPr>
      </w:pPr>
      <w:r w:rsidRPr="00B32864">
        <w:rPr>
          <w:rFonts w:ascii="Arial" w:hAnsi="Arial" w:cs="Arial"/>
          <w:sz w:val="20"/>
          <w:szCs w:val="20"/>
        </w:rPr>
        <w:t>The NSR permit refers to SC 46 for determining compliance with the emission limits in SC 2. These conditions are inadequate for determining compliance with the stated VOC emission</w:t>
      </w:r>
      <w:r w:rsidRPr="00B32864">
        <w:rPr>
          <w:rFonts w:ascii="Arial" w:hAnsi="Arial" w:cs="Arial"/>
          <w:spacing w:val="-4"/>
          <w:sz w:val="20"/>
          <w:szCs w:val="20"/>
        </w:rPr>
        <w:t xml:space="preserve"> </w:t>
      </w:r>
      <w:r w:rsidRPr="00B32864">
        <w:rPr>
          <w:rFonts w:ascii="Arial" w:hAnsi="Arial" w:cs="Arial"/>
          <w:sz w:val="20"/>
          <w:szCs w:val="20"/>
        </w:rPr>
        <w:t>caps.</w:t>
      </w:r>
      <w:r w:rsidRPr="00B32864">
        <w:rPr>
          <w:rFonts w:ascii="Arial" w:hAnsi="Arial" w:cs="Arial"/>
          <w:spacing w:val="-4"/>
          <w:sz w:val="20"/>
          <w:szCs w:val="20"/>
        </w:rPr>
        <w:t xml:space="preserve"> </w:t>
      </w:r>
      <w:r w:rsidRPr="00B32864">
        <w:rPr>
          <w:rFonts w:ascii="Arial" w:hAnsi="Arial" w:cs="Arial"/>
          <w:sz w:val="20"/>
          <w:szCs w:val="20"/>
        </w:rPr>
        <w:t>SC</w:t>
      </w:r>
      <w:r w:rsidRPr="00B32864">
        <w:rPr>
          <w:rFonts w:ascii="Arial" w:hAnsi="Arial" w:cs="Arial"/>
          <w:spacing w:val="-4"/>
          <w:sz w:val="20"/>
          <w:szCs w:val="20"/>
        </w:rPr>
        <w:t xml:space="preserve"> </w:t>
      </w:r>
      <w:r w:rsidRPr="00B32864">
        <w:rPr>
          <w:rFonts w:ascii="Arial" w:hAnsi="Arial" w:cs="Arial"/>
          <w:sz w:val="20"/>
          <w:szCs w:val="20"/>
        </w:rPr>
        <w:t>46</w:t>
      </w:r>
      <w:r w:rsidRPr="00B32864">
        <w:rPr>
          <w:rFonts w:ascii="Arial" w:hAnsi="Arial" w:cs="Arial"/>
          <w:spacing w:val="-4"/>
          <w:sz w:val="20"/>
          <w:szCs w:val="20"/>
        </w:rPr>
        <w:t xml:space="preserve"> </w:t>
      </w:r>
      <w:r w:rsidRPr="00B32864">
        <w:rPr>
          <w:rFonts w:ascii="Arial" w:hAnsi="Arial" w:cs="Arial"/>
          <w:sz w:val="20"/>
          <w:szCs w:val="20"/>
        </w:rPr>
        <w:t>states</w:t>
      </w:r>
      <w:r w:rsidRPr="00B32864">
        <w:rPr>
          <w:rFonts w:ascii="Arial" w:hAnsi="Arial" w:cs="Arial"/>
          <w:spacing w:val="-4"/>
          <w:sz w:val="20"/>
          <w:szCs w:val="20"/>
        </w:rPr>
        <w:t xml:space="preserve"> </w:t>
      </w:r>
      <w:r w:rsidRPr="00B32864">
        <w:rPr>
          <w:rFonts w:ascii="Arial" w:hAnsi="Arial" w:cs="Arial"/>
          <w:sz w:val="20"/>
          <w:szCs w:val="20"/>
        </w:rPr>
        <w:t>“Monthly</w:t>
      </w:r>
      <w:r w:rsidRPr="00B32864">
        <w:rPr>
          <w:rFonts w:ascii="Arial" w:hAnsi="Arial" w:cs="Arial"/>
          <w:spacing w:val="-4"/>
          <w:sz w:val="20"/>
          <w:szCs w:val="20"/>
        </w:rPr>
        <w:t xml:space="preserve"> </w:t>
      </w:r>
      <w:r w:rsidRPr="00B32864">
        <w:rPr>
          <w:rFonts w:ascii="Arial" w:hAnsi="Arial" w:cs="Arial"/>
          <w:sz w:val="20"/>
          <w:szCs w:val="20"/>
        </w:rPr>
        <w:t>compliance</w:t>
      </w:r>
      <w:r w:rsidRPr="00B32864">
        <w:rPr>
          <w:rFonts w:ascii="Arial" w:hAnsi="Arial" w:cs="Arial"/>
          <w:spacing w:val="-3"/>
          <w:sz w:val="20"/>
          <w:szCs w:val="20"/>
        </w:rPr>
        <w:t xml:space="preserve"> </w:t>
      </w:r>
      <w:r w:rsidRPr="00B32864">
        <w:rPr>
          <w:rFonts w:ascii="Arial" w:hAnsi="Arial" w:cs="Arial"/>
          <w:sz w:val="20"/>
          <w:szCs w:val="20"/>
        </w:rPr>
        <w:t>calculation</w:t>
      </w:r>
      <w:r w:rsidRPr="00B32864">
        <w:rPr>
          <w:rFonts w:ascii="Arial" w:hAnsi="Arial" w:cs="Arial"/>
          <w:spacing w:val="-4"/>
          <w:sz w:val="20"/>
          <w:szCs w:val="20"/>
        </w:rPr>
        <w:t xml:space="preserve"> </w:t>
      </w:r>
      <w:r w:rsidRPr="00B32864">
        <w:rPr>
          <w:rFonts w:ascii="Arial" w:hAnsi="Arial" w:cs="Arial"/>
          <w:sz w:val="20"/>
          <w:szCs w:val="20"/>
        </w:rPr>
        <w:t>for</w:t>
      </w:r>
      <w:r w:rsidRPr="00B32864">
        <w:rPr>
          <w:rFonts w:ascii="Arial" w:hAnsi="Arial" w:cs="Arial"/>
          <w:spacing w:val="-5"/>
          <w:sz w:val="20"/>
          <w:szCs w:val="20"/>
        </w:rPr>
        <w:t xml:space="preserve"> </w:t>
      </w:r>
      <w:r w:rsidRPr="00B32864">
        <w:rPr>
          <w:rFonts w:ascii="Arial" w:hAnsi="Arial" w:cs="Arial"/>
          <w:sz w:val="20"/>
          <w:szCs w:val="20"/>
        </w:rPr>
        <w:t>limits</w:t>
      </w:r>
      <w:r w:rsidRPr="00B32864">
        <w:rPr>
          <w:rFonts w:ascii="Arial" w:hAnsi="Arial" w:cs="Arial"/>
          <w:spacing w:val="-4"/>
          <w:sz w:val="20"/>
          <w:szCs w:val="20"/>
        </w:rPr>
        <w:t xml:space="preserve"> </w:t>
      </w:r>
      <w:r w:rsidRPr="00B32864">
        <w:rPr>
          <w:rFonts w:ascii="Arial" w:hAnsi="Arial" w:cs="Arial"/>
          <w:sz w:val="20"/>
          <w:szCs w:val="20"/>
        </w:rPr>
        <w:t>on</w:t>
      </w:r>
      <w:r w:rsidRPr="00B32864">
        <w:rPr>
          <w:rFonts w:ascii="Arial" w:hAnsi="Arial" w:cs="Arial"/>
          <w:spacing w:val="-4"/>
          <w:sz w:val="20"/>
          <w:szCs w:val="20"/>
        </w:rPr>
        <w:t xml:space="preserve"> </w:t>
      </w:r>
      <w:r w:rsidRPr="00B32864">
        <w:rPr>
          <w:rFonts w:ascii="Arial" w:hAnsi="Arial" w:cs="Arial"/>
          <w:sz w:val="20"/>
          <w:szCs w:val="20"/>
        </w:rPr>
        <w:t>VOC</w:t>
      </w:r>
      <w:r w:rsidRPr="00B32864">
        <w:rPr>
          <w:rFonts w:ascii="Arial" w:hAnsi="Arial" w:cs="Arial"/>
          <w:spacing w:val="-4"/>
          <w:sz w:val="20"/>
          <w:szCs w:val="20"/>
        </w:rPr>
        <w:t xml:space="preserve"> </w:t>
      </w:r>
      <w:r w:rsidRPr="00B32864">
        <w:rPr>
          <w:rFonts w:ascii="Arial" w:hAnsi="Arial" w:cs="Arial"/>
          <w:sz w:val="20"/>
          <w:szCs w:val="20"/>
        </w:rPr>
        <w:t>potential to emit”. Permit emission limit compliance should be based upon actual emissions and not on calculated potential to emit (PTE) levels. The permit must include adequate monitoring to assure compliance with the permitted limits and be monitored/calculated</w:t>
      </w:r>
      <w:r w:rsidRPr="00B32864">
        <w:rPr>
          <w:rFonts w:ascii="Arial" w:hAnsi="Arial" w:cs="Arial"/>
          <w:spacing w:val="40"/>
          <w:sz w:val="20"/>
          <w:szCs w:val="20"/>
        </w:rPr>
        <w:t xml:space="preserve"> </w:t>
      </w:r>
      <w:r w:rsidRPr="00B32864">
        <w:rPr>
          <w:rFonts w:ascii="Arial" w:hAnsi="Arial" w:cs="Arial"/>
          <w:sz w:val="20"/>
          <w:szCs w:val="20"/>
        </w:rPr>
        <w:t>on measurable parameters for accurate calculation of emissions. TCEQ needs to confirm if the permit condition intended to state “potential to emit” as a permit limit and if so, to explain for the record why PTE would be used for compliance purposes and how this limit can be practically enforced.</w:t>
      </w:r>
    </w:p>
    <w:p w14:paraId="4810CD82" w14:textId="782AF71F" w:rsidR="00C373FC" w:rsidRPr="00B32864" w:rsidRDefault="00C373FC" w:rsidP="000479A4">
      <w:pPr>
        <w:pStyle w:val="ListParagraph"/>
        <w:numPr>
          <w:ilvl w:val="1"/>
          <w:numId w:val="17"/>
        </w:numPr>
        <w:tabs>
          <w:tab w:val="left" w:pos="1580"/>
        </w:tabs>
        <w:ind w:left="360" w:right="102"/>
        <w:rPr>
          <w:rFonts w:ascii="Arial" w:hAnsi="Arial" w:cs="Arial"/>
          <w:sz w:val="20"/>
          <w:szCs w:val="20"/>
        </w:rPr>
      </w:pPr>
      <w:r w:rsidRPr="00B32864">
        <w:rPr>
          <w:rFonts w:ascii="Arial" w:hAnsi="Arial" w:cs="Arial"/>
          <w:sz w:val="20"/>
          <w:szCs w:val="20"/>
        </w:rPr>
        <w:t>SC 11 states “Storage tank emissions shall be estimated consistent with the methodology employed in the permit amendment application (PI-1 dated December 27, 2018).” EPA looked</w:t>
      </w:r>
      <w:r w:rsidRPr="00B32864">
        <w:rPr>
          <w:rFonts w:ascii="Arial" w:hAnsi="Arial" w:cs="Arial"/>
          <w:spacing w:val="-3"/>
          <w:sz w:val="20"/>
          <w:szCs w:val="20"/>
        </w:rPr>
        <w:t xml:space="preserve"> </w:t>
      </w:r>
      <w:r w:rsidRPr="00B32864">
        <w:rPr>
          <w:rFonts w:ascii="Arial" w:hAnsi="Arial" w:cs="Arial"/>
          <w:sz w:val="20"/>
          <w:szCs w:val="20"/>
        </w:rPr>
        <w:t>on</w:t>
      </w:r>
      <w:r w:rsidRPr="00B32864">
        <w:rPr>
          <w:rFonts w:ascii="Arial" w:hAnsi="Arial" w:cs="Arial"/>
          <w:spacing w:val="-3"/>
          <w:sz w:val="20"/>
          <w:szCs w:val="20"/>
        </w:rPr>
        <w:t xml:space="preserve"> </w:t>
      </w:r>
      <w:r w:rsidRPr="00B32864">
        <w:rPr>
          <w:rFonts w:ascii="Arial" w:hAnsi="Arial" w:cs="Arial"/>
          <w:sz w:val="20"/>
          <w:szCs w:val="20"/>
        </w:rPr>
        <w:t>the</w:t>
      </w:r>
      <w:r w:rsidRPr="00B32864">
        <w:rPr>
          <w:rFonts w:ascii="Arial" w:hAnsi="Arial" w:cs="Arial"/>
          <w:spacing w:val="-4"/>
          <w:sz w:val="20"/>
          <w:szCs w:val="20"/>
        </w:rPr>
        <w:t xml:space="preserve"> </w:t>
      </w:r>
      <w:r w:rsidRPr="00B32864">
        <w:rPr>
          <w:rFonts w:ascii="Arial" w:hAnsi="Arial" w:cs="Arial"/>
          <w:sz w:val="20"/>
          <w:szCs w:val="20"/>
        </w:rPr>
        <w:t>TCEQ</w:t>
      </w:r>
      <w:r w:rsidRPr="00B32864">
        <w:rPr>
          <w:rFonts w:ascii="Arial" w:hAnsi="Arial" w:cs="Arial"/>
          <w:spacing w:val="-4"/>
          <w:sz w:val="20"/>
          <w:szCs w:val="20"/>
        </w:rPr>
        <w:t xml:space="preserve"> </w:t>
      </w:r>
      <w:r w:rsidRPr="00B32864">
        <w:rPr>
          <w:rFonts w:ascii="Arial" w:hAnsi="Arial" w:cs="Arial"/>
          <w:sz w:val="20"/>
          <w:szCs w:val="20"/>
        </w:rPr>
        <w:t>Central</w:t>
      </w:r>
      <w:r w:rsidRPr="00B32864">
        <w:rPr>
          <w:rFonts w:ascii="Arial" w:hAnsi="Arial" w:cs="Arial"/>
          <w:spacing w:val="-3"/>
          <w:sz w:val="20"/>
          <w:szCs w:val="20"/>
        </w:rPr>
        <w:t xml:space="preserve"> </w:t>
      </w:r>
      <w:r w:rsidRPr="00B32864">
        <w:rPr>
          <w:rFonts w:ascii="Arial" w:hAnsi="Arial" w:cs="Arial"/>
          <w:sz w:val="20"/>
          <w:szCs w:val="20"/>
        </w:rPr>
        <w:t>File</w:t>
      </w:r>
      <w:r w:rsidRPr="00B32864">
        <w:rPr>
          <w:rFonts w:ascii="Arial" w:hAnsi="Arial" w:cs="Arial"/>
          <w:spacing w:val="-4"/>
          <w:sz w:val="20"/>
          <w:szCs w:val="20"/>
        </w:rPr>
        <w:t xml:space="preserve"> </w:t>
      </w:r>
      <w:r w:rsidRPr="00B32864">
        <w:rPr>
          <w:rFonts w:ascii="Arial" w:hAnsi="Arial" w:cs="Arial"/>
          <w:sz w:val="20"/>
          <w:szCs w:val="20"/>
        </w:rPr>
        <w:t>Room</w:t>
      </w:r>
      <w:r w:rsidRPr="00B32864">
        <w:rPr>
          <w:rFonts w:ascii="Arial" w:hAnsi="Arial" w:cs="Arial"/>
          <w:spacing w:val="-3"/>
          <w:sz w:val="20"/>
          <w:szCs w:val="20"/>
        </w:rPr>
        <w:t xml:space="preserve"> </w:t>
      </w:r>
      <w:r w:rsidRPr="00B32864">
        <w:rPr>
          <w:rFonts w:ascii="Arial" w:hAnsi="Arial" w:cs="Arial"/>
          <w:sz w:val="20"/>
          <w:szCs w:val="20"/>
        </w:rPr>
        <w:t>Online</w:t>
      </w:r>
      <w:r w:rsidRPr="00B32864">
        <w:rPr>
          <w:rFonts w:ascii="Arial" w:hAnsi="Arial" w:cs="Arial"/>
          <w:spacing w:val="-4"/>
          <w:sz w:val="20"/>
          <w:szCs w:val="20"/>
        </w:rPr>
        <w:t xml:space="preserve"> </w:t>
      </w:r>
      <w:r w:rsidRPr="00B32864">
        <w:rPr>
          <w:rFonts w:ascii="Arial" w:hAnsi="Arial" w:cs="Arial"/>
          <w:sz w:val="20"/>
          <w:szCs w:val="20"/>
        </w:rPr>
        <w:t>and</w:t>
      </w:r>
      <w:r w:rsidRPr="00B32864">
        <w:rPr>
          <w:rFonts w:ascii="Arial" w:hAnsi="Arial" w:cs="Arial"/>
          <w:spacing w:val="-3"/>
          <w:sz w:val="20"/>
          <w:szCs w:val="20"/>
        </w:rPr>
        <w:t xml:space="preserve"> </w:t>
      </w:r>
      <w:r w:rsidRPr="00B32864">
        <w:rPr>
          <w:rFonts w:ascii="Arial" w:hAnsi="Arial" w:cs="Arial"/>
          <w:sz w:val="20"/>
          <w:szCs w:val="20"/>
        </w:rPr>
        <w:t>found</w:t>
      </w:r>
      <w:r w:rsidRPr="00B32864">
        <w:rPr>
          <w:rFonts w:ascii="Arial" w:hAnsi="Arial" w:cs="Arial"/>
          <w:spacing w:val="-3"/>
          <w:sz w:val="20"/>
          <w:szCs w:val="20"/>
        </w:rPr>
        <w:t xml:space="preserve"> </w:t>
      </w:r>
      <w:r w:rsidRPr="00B32864">
        <w:rPr>
          <w:rFonts w:ascii="Arial" w:hAnsi="Arial" w:cs="Arial"/>
          <w:sz w:val="20"/>
          <w:szCs w:val="20"/>
        </w:rPr>
        <w:t>an</w:t>
      </w:r>
      <w:r w:rsidRPr="00B32864">
        <w:rPr>
          <w:rFonts w:ascii="Arial" w:hAnsi="Arial" w:cs="Arial"/>
          <w:spacing w:val="-3"/>
          <w:sz w:val="20"/>
          <w:szCs w:val="20"/>
        </w:rPr>
        <w:t xml:space="preserve"> </w:t>
      </w:r>
      <w:r w:rsidRPr="00B32864">
        <w:rPr>
          <w:rFonts w:ascii="Arial" w:hAnsi="Arial" w:cs="Arial"/>
          <w:sz w:val="20"/>
          <w:szCs w:val="20"/>
        </w:rPr>
        <w:t>application</w:t>
      </w:r>
      <w:r w:rsidRPr="00B32864">
        <w:rPr>
          <w:rFonts w:ascii="Arial" w:hAnsi="Arial" w:cs="Arial"/>
          <w:spacing w:val="-3"/>
          <w:sz w:val="20"/>
          <w:szCs w:val="20"/>
        </w:rPr>
        <w:t xml:space="preserve"> </w:t>
      </w:r>
      <w:r w:rsidRPr="00B32864">
        <w:rPr>
          <w:rFonts w:ascii="Arial" w:hAnsi="Arial" w:cs="Arial"/>
          <w:sz w:val="20"/>
          <w:szCs w:val="20"/>
        </w:rPr>
        <w:t>dated</w:t>
      </w:r>
      <w:r w:rsidRPr="00B32864">
        <w:rPr>
          <w:rFonts w:ascii="Arial" w:hAnsi="Arial" w:cs="Arial"/>
          <w:spacing w:val="-3"/>
          <w:sz w:val="20"/>
          <w:szCs w:val="20"/>
        </w:rPr>
        <w:t xml:space="preserve"> </w:t>
      </w:r>
      <w:r w:rsidRPr="00B32864">
        <w:rPr>
          <w:rFonts w:ascii="Arial" w:hAnsi="Arial" w:cs="Arial"/>
          <w:sz w:val="20"/>
          <w:szCs w:val="20"/>
        </w:rPr>
        <w:t>December 2018 with a PI-1 that appeared to have the date of December 21, 2018. The referenced document</w:t>
      </w:r>
      <w:r w:rsidRPr="00B32864">
        <w:rPr>
          <w:rFonts w:ascii="Arial" w:hAnsi="Arial" w:cs="Arial"/>
          <w:spacing w:val="-1"/>
          <w:sz w:val="20"/>
          <w:szCs w:val="20"/>
        </w:rPr>
        <w:t xml:space="preserve"> </w:t>
      </w:r>
      <w:r w:rsidRPr="00B32864">
        <w:rPr>
          <w:rFonts w:ascii="Arial" w:hAnsi="Arial" w:cs="Arial"/>
          <w:sz w:val="20"/>
          <w:szCs w:val="20"/>
        </w:rPr>
        <w:t>was</w:t>
      </w:r>
      <w:r w:rsidRPr="00B32864">
        <w:rPr>
          <w:rFonts w:ascii="Arial" w:hAnsi="Arial" w:cs="Arial"/>
          <w:spacing w:val="-1"/>
          <w:sz w:val="20"/>
          <w:szCs w:val="20"/>
        </w:rPr>
        <w:t xml:space="preserve"> </w:t>
      </w:r>
      <w:r w:rsidRPr="00B32864">
        <w:rPr>
          <w:rFonts w:ascii="Arial" w:hAnsi="Arial" w:cs="Arial"/>
          <w:sz w:val="20"/>
          <w:szCs w:val="20"/>
        </w:rPr>
        <w:t>difficult</w:t>
      </w:r>
      <w:r w:rsidRPr="00B32864">
        <w:rPr>
          <w:rFonts w:ascii="Arial" w:hAnsi="Arial" w:cs="Arial"/>
          <w:spacing w:val="-1"/>
          <w:sz w:val="20"/>
          <w:szCs w:val="20"/>
        </w:rPr>
        <w:t xml:space="preserve"> </w:t>
      </w:r>
      <w:r w:rsidRPr="00B32864">
        <w:rPr>
          <w:rFonts w:ascii="Arial" w:hAnsi="Arial" w:cs="Arial"/>
          <w:sz w:val="20"/>
          <w:szCs w:val="20"/>
        </w:rPr>
        <w:t>to</w:t>
      </w:r>
      <w:r w:rsidRPr="00B32864">
        <w:rPr>
          <w:rFonts w:ascii="Arial" w:hAnsi="Arial" w:cs="Arial"/>
          <w:spacing w:val="-1"/>
          <w:sz w:val="20"/>
          <w:szCs w:val="20"/>
        </w:rPr>
        <w:t xml:space="preserve"> </w:t>
      </w:r>
      <w:r w:rsidRPr="00B32864">
        <w:rPr>
          <w:rFonts w:ascii="Arial" w:hAnsi="Arial" w:cs="Arial"/>
          <w:sz w:val="20"/>
          <w:szCs w:val="20"/>
        </w:rPr>
        <w:t>locate</w:t>
      </w:r>
      <w:r w:rsidRPr="00B32864">
        <w:rPr>
          <w:rFonts w:ascii="Arial" w:hAnsi="Arial" w:cs="Arial"/>
          <w:spacing w:val="-2"/>
          <w:sz w:val="20"/>
          <w:szCs w:val="20"/>
        </w:rPr>
        <w:t xml:space="preserve"> </w:t>
      </w:r>
      <w:r w:rsidRPr="00B32864">
        <w:rPr>
          <w:rFonts w:ascii="Arial" w:hAnsi="Arial" w:cs="Arial"/>
          <w:sz w:val="20"/>
          <w:szCs w:val="20"/>
        </w:rPr>
        <w:t>and</w:t>
      </w:r>
      <w:r w:rsidRPr="00B32864">
        <w:rPr>
          <w:rFonts w:ascii="Arial" w:hAnsi="Arial" w:cs="Arial"/>
          <w:spacing w:val="-1"/>
          <w:sz w:val="20"/>
          <w:szCs w:val="20"/>
        </w:rPr>
        <w:t xml:space="preserve"> </w:t>
      </w:r>
      <w:r w:rsidRPr="00B32864">
        <w:rPr>
          <w:rFonts w:ascii="Arial" w:hAnsi="Arial" w:cs="Arial"/>
          <w:sz w:val="20"/>
          <w:szCs w:val="20"/>
        </w:rPr>
        <w:t>was</w:t>
      </w:r>
      <w:r w:rsidRPr="00B32864">
        <w:rPr>
          <w:rFonts w:ascii="Arial" w:hAnsi="Arial" w:cs="Arial"/>
          <w:spacing w:val="-1"/>
          <w:sz w:val="20"/>
          <w:szCs w:val="20"/>
        </w:rPr>
        <w:t xml:space="preserve"> </w:t>
      </w:r>
      <w:r w:rsidRPr="00B32864">
        <w:rPr>
          <w:rFonts w:ascii="Arial" w:hAnsi="Arial" w:cs="Arial"/>
          <w:sz w:val="20"/>
          <w:szCs w:val="20"/>
        </w:rPr>
        <w:t>found</w:t>
      </w:r>
      <w:r w:rsidRPr="00B32864">
        <w:rPr>
          <w:rFonts w:ascii="Arial" w:hAnsi="Arial" w:cs="Arial"/>
          <w:spacing w:val="-1"/>
          <w:sz w:val="20"/>
          <w:szCs w:val="20"/>
        </w:rPr>
        <w:t xml:space="preserve"> </w:t>
      </w:r>
      <w:r w:rsidRPr="00B32864">
        <w:rPr>
          <w:rFonts w:ascii="Arial" w:hAnsi="Arial" w:cs="Arial"/>
          <w:sz w:val="20"/>
          <w:szCs w:val="20"/>
        </w:rPr>
        <w:t>under</w:t>
      </w:r>
      <w:r w:rsidRPr="00B32864">
        <w:rPr>
          <w:rFonts w:ascii="Arial" w:hAnsi="Arial" w:cs="Arial"/>
          <w:spacing w:val="-2"/>
          <w:sz w:val="20"/>
          <w:szCs w:val="20"/>
        </w:rPr>
        <w:t xml:space="preserve"> </w:t>
      </w:r>
      <w:r w:rsidRPr="00B32864">
        <w:rPr>
          <w:rFonts w:ascii="Arial" w:hAnsi="Arial" w:cs="Arial"/>
          <w:sz w:val="20"/>
          <w:szCs w:val="20"/>
        </w:rPr>
        <w:t>content ID</w:t>
      </w:r>
      <w:r w:rsidRPr="00B32864">
        <w:rPr>
          <w:rFonts w:ascii="Arial" w:hAnsi="Arial" w:cs="Arial"/>
          <w:spacing w:val="-2"/>
          <w:sz w:val="20"/>
          <w:szCs w:val="20"/>
        </w:rPr>
        <w:t xml:space="preserve"> </w:t>
      </w:r>
      <w:r w:rsidRPr="00B32864">
        <w:rPr>
          <w:rFonts w:ascii="Arial" w:hAnsi="Arial" w:cs="Arial"/>
          <w:sz w:val="20"/>
          <w:szCs w:val="20"/>
        </w:rPr>
        <w:t>5684402.</w:t>
      </w:r>
      <w:r w:rsidRPr="00B32864">
        <w:rPr>
          <w:rFonts w:ascii="Arial" w:hAnsi="Arial" w:cs="Arial"/>
          <w:spacing w:val="-1"/>
          <w:sz w:val="20"/>
          <w:szCs w:val="20"/>
        </w:rPr>
        <w:t xml:space="preserve"> </w:t>
      </w:r>
      <w:r w:rsidRPr="00B32864">
        <w:rPr>
          <w:rFonts w:ascii="Arial" w:hAnsi="Arial" w:cs="Arial"/>
          <w:sz w:val="20"/>
          <w:szCs w:val="20"/>
        </w:rPr>
        <w:t>EPA</w:t>
      </w:r>
      <w:r w:rsidRPr="00B32864">
        <w:rPr>
          <w:rFonts w:ascii="Arial" w:hAnsi="Arial" w:cs="Arial"/>
          <w:spacing w:val="-2"/>
          <w:sz w:val="20"/>
          <w:szCs w:val="20"/>
        </w:rPr>
        <w:t xml:space="preserve"> </w:t>
      </w:r>
      <w:r w:rsidRPr="00B32864">
        <w:rPr>
          <w:rFonts w:ascii="Arial" w:hAnsi="Arial" w:cs="Arial"/>
          <w:sz w:val="20"/>
          <w:szCs w:val="20"/>
        </w:rPr>
        <w:t>suggests providing this information or clarifying where the information can be found. The application states “ITC proposes to establish emission caps for the proposed facilities rather than individual throughput limits due to the varying nature of products and customer markets at this terminal. Specifically, rather than limiting product throughputs, ITC proposes to manage the facilities included in this application such that the permitted emission</w:t>
      </w:r>
      <w:r w:rsidRPr="00B32864">
        <w:rPr>
          <w:rFonts w:ascii="Arial" w:hAnsi="Arial" w:cs="Arial"/>
          <w:spacing w:val="-1"/>
          <w:sz w:val="20"/>
          <w:szCs w:val="20"/>
        </w:rPr>
        <w:t xml:space="preserve"> </w:t>
      </w:r>
      <w:r w:rsidRPr="00B32864">
        <w:rPr>
          <w:rFonts w:ascii="Arial" w:hAnsi="Arial" w:cs="Arial"/>
          <w:sz w:val="20"/>
          <w:szCs w:val="20"/>
        </w:rPr>
        <w:t>limits</w:t>
      </w:r>
      <w:r w:rsidRPr="00B32864">
        <w:rPr>
          <w:rFonts w:ascii="Arial" w:hAnsi="Arial" w:cs="Arial"/>
          <w:spacing w:val="-1"/>
          <w:sz w:val="20"/>
          <w:szCs w:val="20"/>
        </w:rPr>
        <w:t xml:space="preserve"> </w:t>
      </w:r>
      <w:r w:rsidRPr="00B32864">
        <w:rPr>
          <w:rFonts w:ascii="Arial" w:hAnsi="Arial" w:cs="Arial"/>
          <w:sz w:val="20"/>
          <w:szCs w:val="20"/>
        </w:rPr>
        <w:t>are</w:t>
      </w:r>
      <w:r w:rsidRPr="00B32864">
        <w:rPr>
          <w:rFonts w:ascii="Arial" w:hAnsi="Arial" w:cs="Arial"/>
          <w:spacing w:val="-2"/>
          <w:sz w:val="20"/>
          <w:szCs w:val="20"/>
        </w:rPr>
        <w:t xml:space="preserve"> </w:t>
      </w:r>
      <w:r w:rsidRPr="00B32864">
        <w:rPr>
          <w:rFonts w:ascii="Arial" w:hAnsi="Arial" w:cs="Arial"/>
          <w:sz w:val="20"/>
          <w:szCs w:val="20"/>
        </w:rPr>
        <w:t>not</w:t>
      </w:r>
      <w:r w:rsidRPr="00B32864">
        <w:rPr>
          <w:rFonts w:ascii="Arial" w:hAnsi="Arial" w:cs="Arial"/>
          <w:spacing w:val="-1"/>
          <w:sz w:val="20"/>
          <w:szCs w:val="20"/>
        </w:rPr>
        <w:t xml:space="preserve"> </w:t>
      </w:r>
      <w:r w:rsidRPr="00B32864">
        <w:rPr>
          <w:rFonts w:ascii="Arial" w:hAnsi="Arial" w:cs="Arial"/>
          <w:sz w:val="20"/>
          <w:szCs w:val="20"/>
        </w:rPr>
        <w:t>exceeded.</w:t>
      </w:r>
      <w:r w:rsidRPr="00B32864">
        <w:rPr>
          <w:rFonts w:ascii="Arial" w:hAnsi="Arial" w:cs="Arial"/>
          <w:spacing w:val="-1"/>
          <w:sz w:val="20"/>
          <w:szCs w:val="20"/>
        </w:rPr>
        <w:t xml:space="preserve"> </w:t>
      </w:r>
      <w:r w:rsidRPr="00B32864">
        <w:rPr>
          <w:rFonts w:ascii="Arial" w:hAnsi="Arial" w:cs="Arial"/>
          <w:sz w:val="20"/>
          <w:szCs w:val="20"/>
        </w:rPr>
        <w:t>Managing</w:t>
      </w:r>
      <w:r w:rsidRPr="00B32864">
        <w:rPr>
          <w:rFonts w:ascii="Arial" w:hAnsi="Arial" w:cs="Arial"/>
          <w:spacing w:val="-1"/>
          <w:sz w:val="20"/>
          <w:szCs w:val="20"/>
        </w:rPr>
        <w:t xml:space="preserve"> </w:t>
      </w:r>
      <w:r w:rsidRPr="00B32864">
        <w:rPr>
          <w:rFonts w:ascii="Arial" w:hAnsi="Arial" w:cs="Arial"/>
          <w:sz w:val="20"/>
          <w:szCs w:val="20"/>
        </w:rPr>
        <w:t>to</w:t>
      </w:r>
      <w:r w:rsidRPr="00B32864">
        <w:rPr>
          <w:rFonts w:ascii="Arial" w:hAnsi="Arial" w:cs="Arial"/>
          <w:spacing w:val="-1"/>
          <w:sz w:val="20"/>
          <w:szCs w:val="20"/>
        </w:rPr>
        <w:t xml:space="preserve"> </w:t>
      </w:r>
      <w:r w:rsidRPr="00B32864">
        <w:rPr>
          <w:rFonts w:ascii="Arial" w:hAnsi="Arial" w:cs="Arial"/>
          <w:sz w:val="20"/>
          <w:szCs w:val="20"/>
        </w:rPr>
        <w:t>emissions</w:t>
      </w:r>
      <w:r w:rsidRPr="00B32864">
        <w:rPr>
          <w:rFonts w:ascii="Arial" w:hAnsi="Arial" w:cs="Arial"/>
          <w:spacing w:val="-1"/>
          <w:sz w:val="20"/>
          <w:szCs w:val="20"/>
        </w:rPr>
        <w:t xml:space="preserve"> </w:t>
      </w:r>
      <w:r w:rsidRPr="00B32864">
        <w:rPr>
          <w:rFonts w:ascii="Arial" w:hAnsi="Arial" w:cs="Arial"/>
          <w:sz w:val="20"/>
          <w:szCs w:val="20"/>
        </w:rPr>
        <w:t>caps</w:t>
      </w:r>
      <w:r w:rsidRPr="00B32864">
        <w:rPr>
          <w:rFonts w:ascii="Arial" w:hAnsi="Arial" w:cs="Arial"/>
          <w:spacing w:val="-1"/>
          <w:sz w:val="20"/>
          <w:szCs w:val="20"/>
        </w:rPr>
        <w:t xml:space="preserve"> </w:t>
      </w:r>
      <w:r w:rsidRPr="00B32864">
        <w:rPr>
          <w:rFonts w:ascii="Arial" w:hAnsi="Arial" w:cs="Arial"/>
          <w:sz w:val="20"/>
          <w:szCs w:val="20"/>
        </w:rPr>
        <w:t>allows</w:t>
      </w:r>
      <w:r w:rsidRPr="00B32864">
        <w:rPr>
          <w:rFonts w:ascii="Arial" w:hAnsi="Arial" w:cs="Arial"/>
          <w:spacing w:val="-1"/>
          <w:sz w:val="20"/>
          <w:szCs w:val="20"/>
        </w:rPr>
        <w:t xml:space="preserve"> </w:t>
      </w:r>
      <w:r w:rsidRPr="00B32864">
        <w:rPr>
          <w:rFonts w:ascii="Arial" w:hAnsi="Arial" w:cs="Arial"/>
          <w:sz w:val="20"/>
          <w:szCs w:val="20"/>
        </w:rPr>
        <w:t>ITC</w:t>
      </w:r>
      <w:r w:rsidRPr="00B32864">
        <w:rPr>
          <w:rFonts w:ascii="Arial" w:hAnsi="Arial" w:cs="Arial"/>
          <w:spacing w:val="-1"/>
          <w:sz w:val="20"/>
          <w:szCs w:val="20"/>
        </w:rPr>
        <w:t xml:space="preserve"> </w:t>
      </w:r>
      <w:r w:rsidRPr="00B32864">
        <w:rPr>
          <w:rFonts w:ascii="Arial" w:hAnsi="Arial" w:cs="Arial"/>
          <w:sz w:val="20"/>
          <w:szCs w:val="20"/>
        </w:rPr>
        <w:t>the</w:t>
      </w:r>
      <w:r w:rsidRPr="00B32864">
        <w:rPr>
          <w:rFonts w:ascii="Arial" w:hAnsi="Arial" w:cs="Arial"/>
          <w:spacing w:val="-2"/>
          <w:sz w:val="20"/>
          <w:szCs w:val="20"/>
        </w:rPr>
        <w:t xml:space="preserve"> </w:t>
      </w:r>
      <w:r w:rsidRPr="00B32864">
        <w:rPr>
          <w:rFonts w:ascii="Arial" w:hAnsi="Arial" w:cs="Arial"/>
          <w:sz w:val="20"/>
          <w:szCs w:val="20"/>
        </w:rPr>
        <w:t>operational flexibility to respond to market changes and customer demands”. However, there is no explanation on how ITC manages the facilities to meet the emission caps. Can TCEQ please provide more detail on what monitoring and recordkeeping are required to ensure</w:t>
      </w:r>
      <w:r w:rsidR="000A04CB" w:rsidRPr="00B32864">
        <w:rPr>
          <w:rFonts w:ascii="Arial" w:hAnsi="Arial" w:cs="Arial"/>
          <w:sz w:val="20"/>
          <w:szCs w:val="20"/>
        </w:rPr>
        <w:t xml:space="preserve"> </w:t>
      </w:r>
      <w:r w:rsidRPr="00B32864">
        <w:rPr>
          <w:rFonts w:ascii="Arial" w:hAnsi="Arial" w:cs="Arial"/>
          <w:sz w:val="20"/>
          <w:szCs w:val="20"/>
        </w:rPr>
        <w:t>compliance with these emission caps at all times and how the facility also ensure compliance with the lb/hr limits in the MAERT for each tank? If the company is relying on</w:t>
      </w:r>
      <w:r w:rsidRPr="00B32864">
        <w:rPr>
          <w:rFonts w:ascii="Arial" w:hAnsi="Arial" w:cs="Arial"/>
          <w:spacing w:val="-2"/>
          <w:sz w:val="20"/>
          <w:szCs w:val="20"/>
        </w:rPr>
        <w:t xml:space="preserve"> </w:t>
      </w:r>
      <w:r w:rsidRPr="00B32864">
        <w:rPr>
          <w:rFonts w:ascii="Arial" w:hAnsi="Arial" w:cs="Arial"/>
          <w:sz w:val="20"/>
          <w:szCs w:val="20"/>
        </w:rPr>
        <w:t>the</w:t>
      </w:r>
      <w:r w:rsidRPr="00B32864">
        <w:rPr>
          <w:rFonts w:ascii="Arial" w:hAnsi="Arial" w:cs="Arial"/>
          <w:spacing w:val="-3"/>
          <w:sz w:val="20"/>
          <w:szCs w:val="20"/>
        </w:rPr>
        <w:t xml:space="preserve"> </w:t>
      </w:r>
      <w:r w:rsidRPr="00B32864">
        <w:rPr>
          <w:rFonts w:ascii="Arial" w:hAnsi="Arial" w:cs="Arial"/>
          <w:sz w:val="20"/>
          <w:szCs w:val="20"/>
        </w:rPr>
        <w:t>limits</w:t>
      </w:r>
      <w:r w:rsidRPr="00B32864">
        <w:rPr>
          <w:rFonts w:ascii="Arial" w:hAnsi="Arial" w:cs="Arial"/>
          <w:spacing w:val="-2"/>
          <w:sz w:val="20"/>
          <w:szCs w:val="20"/>
        </w:rPr>
        <w:t xml:space="preserve"> </w:t>
      </w:r>
      <w:r w:rsidRPr="00B32864">
        <w:rPr>
          <w:rFonts w:ascii="Arial" w:hAnsi="Arial" w:cs="Arial"/>
          <w:sz w:val="20"/>
          <w:szCs w:val="20"/>
        </w:rPr>
        <w:t>in</w:t>
      </w:r>
      <w:r w:rsidRPr="00B32864">
        <w:rPr>
          <w:rFonts w:ascii="Arial" w:hAnsi="Arial" w:cs="Arial"/>
          <w:spacing w:val="-2"/>
          <w:sz w:val="20"/>
          <w:szCs w:val="20"/>
        </w:rPr>
        <w:t xml:space="preserve"> </w:t>
      </w:r>
      <w:r w:rsidRPr="00B32864">
        <w:rPr>
          <w:rFonts w:ascii="Arial" w:hAnsi="Arial" w:cs="Arial"/>
          <w:sz w:val="20"/>
          <w:szCs w:val="20"/>
        </w:rPr>
        <w:t>Attachment</w:t>
      </w:r>
      <w:r w:rsidRPr="00B32864">
        <w:rPr>
          <w:rFonts w:ascii="Arial" w:hAnsi="Arial" w:cs="Arial"/>
          <w:spacing w:val="-2"/>
          <w:sz w:val="20"/>
          <w:szCs w:val="20"/>
        </w:rPr>
        <w:t xml:space="preserve"> </w:t>
      </w:r>
      <w:r w:rsidRPr="00B32864">
        <w:rPr>
          <w:rFonts w:ascii="Arial" w:hAnsi="Arial" w:cs="Arial"/>
          <w:sz w:val="20"/>
          <w:szCs w:val="20"/>
        </w:rPr>
        <w:t>1</w:t>
      </w:r>
      <w:r w:rsidRPr="00B32864">
        <w:rPr>
          <w:rFonts w:ascii="Arial" w:hAnsi="Arial" w:cs="Arial"/>
          <w:spacing w:val="-2"/>
          <w:sz w:val="20"/>
          <w:szCs w:val="20"/>
        </w:rPr>
        <w:t xml:space="preserve"> </w:t>
      </w:r>
      <w:r w:rsidRPr="00B32864">
        <w:rPr>
          <w:rFonts w:ascii="Arial" w:hAnsi="Arial" w:cs="Arial"/>
          <w:sz w:val="20"/>
          <w:szCs w:val="20"/>
        </w:rPr>
        <w:t>of</w:t>
      </w:r>
      <w:r w:rsidRPr="00B32864">
        <w:rPr>
          <w:rFonts w:ascii="Arial" w:hAnsi="Arial" w:cs="Arial"/>
          <w:spacing w:val="-3"/>
          <w:sz w:val="20"/>
          <w:szCs w:val="20"/>
        </w:rPr>
        <w:t xml:space="preserve"> </w:t>
      </w:r>
      <w:r w:rsidRPr="00B32864">
        <w:rPr>
          <w:rFonts w:ascii="Arial" w:hAnsi="Arial" w:cs="Arial"/>
          <w:sz w:val="20"/>
          <w:szCs w:val="20"/>
        </w:rPr>
        <w:t>the</w:t>
      </w:r>
      <w:r w:rsidRPr="00B32864">
        <w:rPr>
          <w:rFonts w:ascii="Arial" w:hAnsi="Arial" w:cs="Arial"/>
          <w:spacing w:val="-3"/>
          <w:sz w:val="20"/>
          <w:szCs w:val="20"/>
        </w:rPr>
        <w:t xml:space="preserve"> </w:t>
      </w:r>
      <w:r w:rsidRPr="00B32864">
        <w:rPr>
          <w:rFonts w:ascii="Arial" w:hAnsi="Arial" w:cs="Arial"/>
          <w:sz w:val="20"/>
          <w:szCs w:val="20"/>
        </w:rPr>
        <w:t>permit</w:t>
      </w:r>
      <w:r w:rsidRPr="00B32864">
        <w:rPr>
          <w:rFonts w:ascii="Arial" w:hAnsi="Arial" w:cs="Arial"/>
          <w:spacing w:val="-2"/>
          <w:sz w:val="20"/>
          <w:szCs w:val="20"/>
        </w:rPr>
        <w:t xml:space="preserve"> </w:t>
      </w:r>
      <w:r w:rsidRPr="00B32864">
        <w:rPr>
          <w:rFonts w:ascii="Arial" w:hAnsi="Arial" w:cs="Arial"/>
          <w:sz w:val="20"/>
          <w:szCs w:val="20"/>
        </w:rPr>
        <w:t>for</w:t>
      </w:r>
      <w:r w:rsidRPr="00B32864">
        <w:rPr>
          <w:rFonts w:ascii="Arial" w:hAnsi="Arial" w:cs="Arial"/>
          <w:spacing w:val="-3"/>
          <w:sz w:val="20"/>
          <w:szCs w:val="20"/>
        </w:rPr>
        <w:t xml:space="preserve"> </w:t>
      </w:r>
      <w:r w:rsidRPr="00B32864">
        <w:rPr>
          <w:rFonts w:ascii="Arial" w:hAnsi="Arial" w:cs="Arial"/>
          <w:sz w:val="20"/>
          <w:szCs w:val="20"/>
        </w:rPr>
        <w:t>these</w:t>
      </w:r>
      <w:r w:rsidRPr="00B32864">
        <w:rPr>
          <w:rFonts w:ascii="Arial" w:hAnsi="Arial" w:cs="Arial"/>
          <w:spacing w:val="-3"/>
          <w:sz w:val="20"/>
          <w:szCs w:val="20"/>
        </w:rPr>
        <w:t xml:space="preserve"> </w:t>
      </w:r>
      <w:r w:rsidRPr="00B32864">
        <w:rPr>
          <w:rFonts w:ascii="Arial" w:hAnsi="Arial" w:cs="Arial"/>
          <w:sz w:val="20"/>
          <w:szCs w:val="20"/>
        </w:rPr>
        <w:t>purposes,</w:t>
      </w:r>
      <w:r w:rsidRPr="00B32864">
        <w:rPr>
          <w:rFonts w:ascii="Arial" w:hAnsi="Arial" w:cs="Arial"/>
          <w:spacing w:val="-2"/>
          <w:sz w:val="20"/>
          <w:szCs w:val="20"/>
        </w:rPr>
        <w:t xml:space="preserve"> </w:t>
      </w:r>
      <w:r w:rsidRPr="00B32864">
        <w:rPr>
          <w:rFonts w:ascii="Arial" w:hAnsi="Arial" w:cs="Arial"/>
          <w:sz w:val="20"/>
          <w:szCs w:val="20"/>
        </w:rPr>
        <w:t>have</w:t>
      </w:r>
      <w:r w:rsidRPr="00B32864">
        <w:rPr>
          <w:rFonts w:ascii="Arial" w:hAnsi="Arial" w:cs="Arial"/>
          <w:spacing w:val="-3"/>
          <w:sz w:val="20"/>
          <w:szCs w:val="20"/>
        </w:rPr>
        <w:t xml:space="preserve"> </w:t>
      </w:r>
      <w:r w:rsidRPr="00B32864">
        <w:rPr>
          <w:rFonts w:ascii="Arial" w:hAnsi="Arial" w:cs="Arial"/>
          <w:sz w:val="20"/>
          <w:szCs w:val="20"/>
        </w:rPr>
        <w:t>they</w:t>
      </w:r>
      <w:r w:rsidRPr="00B32864">
        <w:rPr>
          <w:rFonts w:ascii="Arial" w:hAnsi="Arial" w:cs="Arial"/>
          <w:spacing w:val="-2"/>
          <w:sz w:val="20"/>
          <w:szCs w:val="20"/>
        </w:rPr>
        <w:t xml:space="preserve"> </w:t>
      </w:r>
      <w:r w:rsidRPr="00B32864">
        <w:rPr>
          <w:rFonts w:ascii="Arial" w:hAnsi="Arial" w:cs="Arial"/>
          <w:sz w:val="20"/>
          <w:szCs w:val="20"/>
        </w:rPr>
        <w:t>provided</w:t>
      </w:r>
      <w:r w:rsidRPr="00B32864">
        <w:rPr>
          <w:rFonts w:ascii="Arial" w:hAnsi="Arial" w:cs="Arial"/>
          <w:spacing w:val="-2"/>
          <w:sz w:val="20"/>
          <w:szCs w:val="20"/>
        </w:rPr>
        <w:t xml:space="preserve"> </w:t>
      </w:r>
      <w:r w:rsidRPr="00B32864">
        <w:rPr>
          <w:rFonts w:ascii="Arial" w:hAnsi="Arial" w:cs="Arial"/>
          <w:sz w:val="20"/>
          <w:szCs w:val="20"/>
        </w:rPr>
        <w:t>data</w:t>
      </w:r>
      <w:r w:rsidRPr="00B32864">
        <w:rPr>
          <w:rFonts w:ascii="Arial" w:hAnsi="Arial" w:cs="Arial"/>
          <w:spacing w:val="-3"/>
          <w:sz w:val="20"/>
          <w:szCs w:val="20"/>
        </w:rPr>
        <w:t xml:space="preserve"> </w:t>
      </w:r>
      <w:r w:rsidRPr="00B32864">
        <w:rPr>
          <w:rFonts w:ascii="Arial" w:hAnsi="Arial" w:cs="Arial"/>
          <w:sz w:val="20"/>
          <w:szCs w:val="20"/>
        </w:rPr>
        <w:t>to show</w:t>
      </w:r>
      <w:r w:rsidRPr="00B32864">
        <w:rPr>
          <w:rFonts w:ascii="Arial" w:hAnsi="Arial" w:cs="Arial"/>
          <w:spacing w:val="-2"/>
          <w:sz w:val="20"/>
          <w:szCs w:val="20"/>
        </w:rPr>
        <w:t xml:space="preserve"> </w:t>
      </w:r>
      <w:r w:rsidRPr="00B32864">
        <w:rPr>
          <w:rFonts w:ascii="Arial" w:hAnsi="Arial" w:cs="Arial"/>
          <w:sz w:val="20"/>
          <w:szCs w:val="20"/>
        </w:rPr>
        <w:t>that</w:t>
      </w:r>
      <w:r w:rsidRPr="00B32864">
        <w:rPr>
          <w:rFonts w:ascii="Arial" w:hAnsi="Arial" w:cs="Arial"/>
          <w:spacing w:val="-1"/>
          <w:sz w:val="20"/>
          <w:szCs w:val="20"/>
        </w:rPr>
        <w:t xml:space="preserve"> </w:t>
      </w:r>
      <w:r w:rsidRPr="00B32864">
        <w:rPr>
          <w:rFonts w:ascii="Arial" w:hAnsi="Arial" w:cs="Arial"/>
          <w:sz w:val="20"/>
          <w:szCs w:val="20"/>
        </w:rPr>
        <w:t>it</w:t>
      </w:r>
      <w:r w:rsidRPr="00B32864">
        <w:rPr>
          <w:rFonts w:ascii="Arial" w:hAnsi="Arial" w:cs="Arial"/>
          <w:spacing w:val="-1"/>
          <w:sz w:val="20"/>
          <w:szCs w:val="20"/>
        </w:rPr>
        <w:t xml:space="preserve"> </w:t>
      </w:r>
      <w:r w:rsidRPr="00B32864">
        <w:rPr>
          <w:rFonts w:ascii="Arial" w:hAnsi="Arial" w:cs="Arial"/>
          <w:sz w:val="20"/>
          <w:szCs w:val="20"/>
        </w:rPr>
        <w:t>is</w:t>
      </w:r>
      <w:r w:rsidRPr="00B32864">
        <w:rPr>
          <w:rFonts w:ascii="Arial" w:hAnsi="Arial" w:cs="Arial"/>
          <w:spacing w:val="-1"/>
          <w:sz w:val="20"/>
          <w:szCs w:val="20"/>
        </w:rPr>
        <w:t xml:space="preserve"> </w:t>
      </w:r>
      <w:r w:rsidRPr="00B32864">
        <w:rPr>
          <w:rFonts w:ascii="Arial" w:hAnsi="Arial" w:cs="Arial"/>
          <w:sz w:val="20"/>
          <w:szCs w:val="20"/>
        </w:rPr>
        <w:t>physically</w:t>
      </w:r>
      <w:r w:rsidRPr="00B32864">
        <w:rPr>
          <w:rFonts w:ascii="Arial" w:hAnsi="Arial" w:cs="Arial"/>
          <w:spacing w:val="-4"/>
          <w:sz w:val="20"/>
          <w:szCs w:val="20"/>
        </w:rPr>
        <w:t xml:space="preserve"> </w:t>
      </w:r>
      <w:r w:rsidRPr="00B32864">
        <w:rPr>
          <w:rFonts w:ascii="Arial" w:hAnsi="Arial" w:cs="Arial"/>
          <w:sz w:val="20"/>
          <w:szCs w:val="20"/>
        </w:rPr>
        <w:t>impossible</w:t>
      </w:r>
      <w:r w:rsidRPr="00B32864">
        <w:rPr>
          <w:rFonts w:ascii="Arial" w:hAnsi="Arial" w:cs="Arial"/>
          <w:spacing w:val="-2"/>
          <w:sz w:val="20"/>
          <w:szCs w:val="20"/>
        </w:rPr>
        <w:t xml:space="preserve"> </w:t>
      </w:r>
      <w:r w:rsidRPr="00B32864">
        <w:rPr>
          <w:rFonts w:ascii="Arial" w:hAnsi="Arial" w:cs="Arial"/>
          <w:sz w:val="20"/>
          <w:szCs w:val="20"/>
        </w:rPr>
        <w:t>to</w:t>
      </w:r>
      <w:r w:rsidRPr="00B32864">
        <w:rPr>
          <w:rFonts w:ascii="Arial" w:hAnsi="Arial" w:cs="Arial"/>
          <w:spacing w:val="-1"/>
          <w:sz w:val="20"/>
          <w:szCs w:val="20"/>
        </w:rPr>
        <w:t xml:space="preserve"> </w:t>
      </w:r>
      <w:r w:rsidRPr="00B32864">
        <w:rPr>
          <w:rFonts w:ascii="Arial" w:hAnsi="Arial" w:cs="Arial"/>
          <w:sz w:val="20"/>
          <w:szCs w:val="20"/>
        </w:rPr>
        <w:t>exceed</w:t>
      </w:r>
      <w:r w:rsidRPr="00B32864">
        <w:rPr>
          <w:rFonts w:ascii="Arial" w:hAnsi="Arial" w:cs="Arial"/>
          <w:spacing w:val="-1"/>
          <w:sz w:val="20"/>
          <w:szCs w:val="20"/>
        </w:rPr>
        <w:t xml:space="preserve"> </w:t>
      </w:r>
      <w:r w:rsidRPr="00B32864">
        <w:rPr>
          <w:rFonts w:ascii="Arial" w:hAnsi="Arial" w:cs="Arial"/>
          <w:sz w:val="20"/>
          <w:szCs w:val="20"/>
        </w:rPr>
        <w:t>the emission</w:t>
      </w:r>
      <w:r w:rsidRPr="00B32864">
        <w:rPr>
          <w:rFonts w:ascii="Arial" w:hAnsi="Arial" w:cs="Arial"/>
          <w:spacing w:val="-1"/>
          <w:sz w:val="20"/>
          <w:szCs w:val="20"/>
        </w:rPr>
        <w:t xml:space="preserve"> </w:t>
      </w:r>
      <w:r w:rsidRPr="00B32864">
        <w:rPr>
          <w:rFonts w:ascii="Arial" w:hAnsi="Arial" w:cs="Arial"/>
          <w:sz w:val="20"/>
          <w:szCs w:val="20"/>
        </w:rPr>
        <w:t>limit</w:t>
      </w:r>
      <w:r w:rsidRPr="00B32864">
        <w:rPr>
          <w:rFonts w:ascii="Arial" w:hAnsi="Arial" w:cs="Arial"/>
          <w:spacing w:val="-1"/>
          <w:sz w:val="20"/>
          <w:szCs w:val="20"/>
        </w:rPr>
        <w:t xml:space="preserve"> </w:t>
      </w:r>
      <w:r w:rsidRPr="00B32864">
        <w:rPr>
          <w:rFonts w:ascii="Arial" w:hAnsi="Arial" w:cs="Arial"/>
          <w:sz w:val="20"/>
          <w:szCs w:val="20"/>
        </w:rPr>
        <w:t>caps</w:t>
      </w:r>
      <w:r w:rsidRPr="00B32864">
        <w:rPr>
          <w:rFonts w:ascii="Arial" w:hAnsi="Arial" w:cs="Arial"/>
          <w:spacing w:val="-1"/>
          <w:sz w:val="20"/>
          <w:szCs w:val="20"/>
        </w:rPr>
        <w:t xml:space="preserve"> </w:t>
      </w:r>
      <w:r w:rsidRPr="00B32864">
        <w:rPr>
          <w:rFonts w:ascii="Arial" w:hAnsi="Arial" w:cs="Arial"/>
          <w:sz w:val="20"/>
          <w:szCs w:val="20"/>
        </w:rPr>
        <w:t>and</w:t>
      </w:r>
      <w:r w:rsidRPr="00B32864">
        <w:rPr>
          <w:rFonts w:ascii="Arial" w:hAnsi="Arial" w:cs="Arial"/>
          <w:spacing w:val="-2"/>
          <w:sz w:val="20"/>
          <w:szCs w:val="20"/>
        </w:rPr>
        <w:t xml:space="preserve"> </w:t>
      </w:r>
      <w:r w:rsidRPr="00B32864">
        <w:rPr>
          <w:rFonts w:ascii="Arial" w:hAnsi="Arial" w:cs="Arial"/>
          <w:sz w:val="20"/>
          <w:szCs w:val="20"/>
        </w:rPr>
        <w:t>lb/hr</w:t>
      </w:r>
      <w:r w:rsidRPr="00B32864">
        <w:rPr>
          <w:rFonts w:ascii="Arial" w:hAnsi="Arial" w:cs="Arial"/>
          <w:spacing w:val="-2"/>
          <w:sz w:val="20"/>
          <w:szCs w:val="20"/>
        </w:rPr>
        <w:t xml:space="preserve"> </w:t>
      </w:r>
      <w:r w:rsidRPr="00B32864">
        <w:rPr>
          <w:rFonts w:ascii="Arial" w:hAnsi="Arial" w:cs="Arial"/>
          <w:sz w:val="20"/>
          <w:szCs w:val="20"/>
        </w:rPr>
        <w:t>emission limits for each tank? What data has been provided to ensure that the operational limits in Attachment 1 are sufficient to ensure compliance with both the emission caps and the lb/hr limits?</w:t>
      </w:r>
    </w:p>
    <w:p w14:paraId="47A8D7F5" w14:textId="77777777" w:rsidR="00C373FC" w:rsidRPr="00B32864" w:rsidRDefault="00C373FC" w:rsidP="00C373FC">
      <w:pPr>
        <w:pStyle w:val="ListParagraph"/>
        <w:numPr>
          <w:ilvl w:val="1"/>
          <w:numId w:val="17"/>
        </w:numPr>
        <w:tabs>
          <w:tab w:val="left" w:pos="1580"/>
        </w:tabs>
        <w:ind w:left="360" w:right="162"/>
        <w:rPr>
          <w:rFonts w:ascii="Arial" w:hAnsi="Arial" w:cs="Arial"/>
          <w:sz w:val="20"/>
          <w:szCs w:val="20"/>
        </w:rPr>
      </w:pPr>
      <w:r w:rsidRPr="00B32864">
        <w:rPr>
          <w:rFonts w:ascii="Arial" w:hAnsi="Arial" w:cs="Arial"/>
          <w:sz w:val="20"/>
          <w:szCs w:val="20"/>
        </w:rPr>
        <w:t>SC</w:t>
      </w:r>
      <w:r w:rsidRPr="00B32864">
        <w:rPr>
          <w:rFonts w:ascii="Arial" w:hAnsi="Arial" w:cs="Arial"/>
          <w:spacing w:val="-4"/>
          <w:sz w:val="20"/>
          <w:szCs w:val="20"/>
        </w:rPr>
        <w:t xml:space="preserve"> </w:t>
      </w:r>
      <w:r w:rsidRPr="00B32864">
        <w:rPr>
          <w:rFonts w:ascii="Arial" w:hAnsi="Arial" w:cs="Arial"/>
          <w:sz w:val="20"/>
          <w:szCs w:val="20"/>
        </w:rPr>
        <w:t>17.C.</w:t>
      </w:r>
      <w:r w:rsidRPr="00B32864">
        <w:rPr>
          <w:rFonts w:ascii="Arial" w:hAnsi="Arial" w:cs="Arial"/>
          <w:spacing w:val="-3"/>
          <w:sz w:val="20"/>
          <w:szCs w:val="20"/>
        </w:rPr>
        <w:t xml:space="preserve"> </w:t>
      </w:r>
      <w:r w:rsidRPr="00B32864">
        <w:rPr>
          <w:rFonts w:ascii="Arial" w:hAnsi="Arial" w:cs="Arial"/>
          <w:sz w:val="20"/>
          <w:szCs w:val="20"/>
        </w:rPr>
        <w:t>This</w:t>
      </w:r>
      <w:r w:rsidRPr="00B32864">
        <w:rPr>
          <w:rFonts w:ascii="Arial" w:hAnsi="Arial" w:cs="Arial"/>
          <w:spacing w:val="-3"/>
          <w:sz w:val="20"/>
          <w:szCs w:val="20"/>
        </w:rPr>
        <w:t xml:space="preserve"> </w:t>
      </w:r>
      <w:r w:rsidRPr="00B32864">
        <w:rPr>
          <w:rFonts w:ascii="Arial" w:hAnsi="Arial" w:cs="Arial"/>
          <w:sz w:val="20"/>
          <w:szCs w:val="20"/>
        </w:rPr>
        <w:t>condition</w:t>
      </w:r>
      <w:r w:rsidRPr="00B32864">
        <w:rPr>
          <w:rFonts w:ascii="Arial" w:hAnsi="Arial" w:cs="Arial"/>
          <w:spacing w:val="-3"/>
          <w:sz w:val="20"/>
          <w:szCs w:val="20"/>
        </w:rPr>
        <w:t xml:space="preserve"> </w:t>
      </w:r>
      <w:r w:rsidRPr="00B32864">
        <w:rPr>
          <w:rFonts w:ascii="Arial" w:hAnsi="Arial" w:cs="Arial"/>
          <w:sz w:val="20"/>
          <w:szCs w:val="20"/>
        </w:rPr>
        <w:t>refers</w:t>
      </w:r>
      <w:r w:rsidRPr="00B32864">
        <w:rPr>
          <w:rFonts w:ascii="Arial" w:hAnsi="Arial" w:cs="Arial"/>
          <w:spacing w:val="-3"/>
          <w:sz w:val="20"/>
          <w:szCs w:val="20"/>
        </w:rPr>
        <w:t xml:space="preserve"> </w:t>
      </w:r>
      <w:r w:rsidRPr="00B32864">
        <w:rPr>
          <w:rFonts w:ascii="Arial" w:hAnsi="Arial" w:cs="Arial"/>
          <w:sz w:val="20"/>
          <w:szCs w:val="20"/>
        </w:rPr>
        <w:t>to</w:t>
      </w:r>
      <w:r w:rsidRPr="00B32864">
        <w:rPr>
          <w:rFonts w:ascii="Arial" w:hAnsi="Arial" w:cs="Arial"/>
          <w:spacing w:val="-3"/>
          <w:sz w:val="20"/>
          <w:szCs w:val="20"/>
        </w:rPr>
        <w:t xml:space="preserve"> </w:t>
      </w:r>
      <w:r w:rsidRPr="00B32864">
        <w:rPr>
          <w:rFonts w:ascii="Arial" w:hAnsi="Arial" w:cs="Arial"/>
          <w:sz w:val="20"/>
          <w:szCs w:val="20"/>
        </w:rPr>
        <w:t>a</w:t>
      </w:r>
      <w:r w:rsidRPr="00B32864">
        <w:rPr>
          <w:rFonts w:ascii="Arial" w:hAnsi="Arial" w:cs="Arial"/>
          <w:spacing w:val="-4"/>
          <w:sz w:val="20"/>
          <w:szCs w:val="20"/>
        </w:rPr>
        <w:t xml:space="preserve"> </w:t>
      </w:r>
      <w:r w:rsidRPr="00B32864">
        <w:rPr>
          <w:rFonts w:ascii="Arial" w:hAnsi="Arial" w:cs="Arial"/>
          <w:sz w:val="20"/>
          <w:szCs w:val="20"/>
        </w:rPr>
        <w:t>maximum</w:t>
      </w:r>
      <w:r w:rsidRPr="00B32864">
        <w:rPr>
          <w:rFonts w:ascii="Arial" w:hAnsi="Arial" w:cs="Arial"/>
          <w:spacing w:val="-3"/>
          <w:sz w:val="20"/>
          <w:szCs w:val="20"/>
        </w:rPr>
        <w:t xml:space="preserve"> </w:t>
      </w:r>
      <w:r w:rsidRPr="00B32864">
        <w:rPr>
          <w:rFonts w:ascii="Arial" w:hAnsi="Arial" w:cs="Arial"/>
          <w:sz w:val="20"/>
          <w:szCs w:val="20"/>
        </w:rPr>
        <w:t>permitted</w:t>
      </w:r>
      <w:r w:rsidRPr="00B32864">
        <w:rPr>
          <w:rFonts w:ascii="Arial" w:hAnsi="Arial" w:cs="Arial"/>
          <w:spacing w:val="-3"/>
          <w:sz w:val="20"/>
          <w:szCs w:val="20"/>
        </w:rPr>
        <w:t xml:space="preserve"> </w:t>
      </w:r>
      <w:r w:rsidRPr="00B32864">
        <w:rPr>
          <w:rFonts w:ascii="Arial" w:hAnsi="Arial" w:cs="Arial"/>
          <w:sz w:val="20"/>
          <w:szCs w:val="20"/>
        </w:rPr>
        <w:t>loading</w:t>
      </w:r>
      <w:r w:rsidRPr="00B32864">
        <w:rPr>
          <w:rFonts w:ascii="Arial" w:hAnsi="Arial" w:cs="Arial"/>
          <w:spacing w:val="-3"/>
          <w:sz w:val="20"/>
          <w:szCs w:val="20"/>
        </w:rPr>
        <w:t xml:space="preserve"> </w:t>
      </w:r>
      <w:r w:rsidRPr="00B32864">
        <w:rPr>
          <w:rFonts w:ascii="Arial" w:hAnsi="Arial" w:cs="Arial"/>
          <w:sz w:val="20"/>
          <w:szCs w:val="20"/>
        </w:rPr>
        <w:t>rate.</w:t>
      </w:r>
      <w:r w:rsidRPr="00B32864">
        <w:rPr>
          <w:rFonts w:ascii="Arial" w:hAnsi="Arial" w:cs="Arial"/>
          <w:spacing w:val="-3"/>
          <w:sz w:val="20"/>
          <w:szCs w:val="20"/>
        </w:rPr>
        <w:t xml:space="preserve"> </w:t>
      </w:r>
      <w:r w:rsidRPr="00B32864">
        <w:rPr>
          <w:rFonts w:ascii="Arial" w:hAnsi="Arial" w:cs="Arial"/>
          <w:sz w:val="20"/>
          <w:szCs w:val="20"/>
        </w:rPr>
        <w:t>Does</w:t>
      </w:r>
      <w:r w:rsidRPr="00B32864">
        <w:rPr>
          <w:rFonts w:ascii="Arial" w:hAnsi="Arial" w:cs="Arial"/>
          <w:spacing w:val="-1"/>
          <w:sz w:val="20"/>
          <w:szCs w:val="20"/>
        </w:rPr>
        <w:t xml:space="preserve"> </w:t>
      </w:r>
      <w:r w:rsidRPr="00B32864">
        <w:rPr>
          <w:rFonts w:ascii="Arial" w:hAnsi="Arial" w:cs="Arial"/>
          <w:sz w:val="20"/>
          <w:szCs w:val="20"/>
        </w:rPr>
        <w:t>this</w:t>
      </w:r>
      <w:r w:rsidRPr="00B32864">
        <w:rPr>
          <w:rFonts w:ascii="Arial" w:hAnsi="Arial" w:cs="Arial"/>
          <w:spacing w:val="-3"/>
          <w:sz w:val="20"/>
          <w:szCs w:val="20"/>
        </w:rPr>
        <w:t xml:space="preserve"> </w:t>
      </w:r>
      <w:r w:rsidRPr="00B32864">
        <w:rPr>
          <w:rFonts w:ascii="Arial" w:hAnsi="Arial" w:cs="Arial"/>
          <w:sz w:val="20"/>
          <w:szCs w:val="20"/>
        </w:rPr>
        <w:t>condition refer to the operational limits in Attachment 1? Can TCEQ please identify where this maximum permitted loading rate can be found?</w:t>
      </w:r>
    </w:p>
    <w:p w14:paraId="3371A2C7" w14:textId="77777777" w:rsidR="00C373FC" w:rsidRPr="00B32864" w:rsidRDefault="00C373FC" w:rsidP="00C373FC">
      <w:pPr>
        <w:pStyle w:val="ListParagraph"/>
        <w:numPr>
          <w:ilvl w:val="1"/>
          <w:numId w:val="17"/>
        </w:numPr>
        <w:tabs>
          <w:tab w:val="left" w:pos="1580"/>
        </w:tabs>
        <w:ind w:left="360" w:right="182"/>
        <w:rPr>
          <w:rFonts w:ascii="Arial" w:hAnsi="Arial" w:cs="Arial"/>
          <w:sz w:val="20"/>
          <w:szCs w:val="20"/>
        </w:rPr>
      </w:pPr>
      <w:r w:rsidRPr="00B32864">
        <w:rPr>
          <w:rFonts w:ascii="Arial" w:hAnsi="Arial" w:cs="Arial"/>
          <w:sz w:val="20"/>
          <w:szCs w:val="20"/>
        </w:rPr>
        <w:t>SC</w:t>
      </w:r>
      <w:r w:rsidRPr="00B32864">
        <w:rPr>
          <w:rFonts w:ascii="Arial" w:hAnsi="Arial" w:cs="Arial"/>
          <w:spacing w:val="-4"/>
          <w:sz w:val="20"/>
          <w:szCs w:val="20"/>
        </w:rPr>
        <w:t xml:space="preserve"> </w:t>
      </w:r>
      <w:r w:rsidRPr="00B32864">
        <w:rPr>
          <w:rFonts w:ascii="Arial" w:hAnsi="Arial" w:cs="Arial"/>
          <w:sz w:val="20"/>
          <w:szCs w:val="20"/>
        </w:rPr>
        <w:t>19.</w:t>
      </w:r>
      <w:r w:rsidRPr="00B32864">
        <w:rPr>
          <w:rFonts w:ascii="Arial" w:hAnsi="Arial" w:cs="Arial"/>
          <w:spacing w:val="-3"/>
          <w:sz w:val="20"/>
          <w:szCs w:val="20"/>
        </w:rPr>
        <w:t xml:space="preserve"> </w:t>
      </w:r>
      <w:r w:rsidRPr="00B32864">
        <w:rPr>
          <w:rFonts w:ascii="Arial" w:hAnsi="Arial" w:cs="Arial"/>
          <w:sz w:val="20"/>
          <w:szCs w:val="20"/>
        </w:rPr>
        <w:t>This</w:t>
      </w:r>
      <w:r w:rsidRPr="00B32864">
        <w:rPr>
          <w:rFonts w:ascii="Arial" w:hAnsi="Arial" w:cs="Arial"/>
          <w:spacing w:val="-3"/>
          <w:sz w:val="20"/>
          <w:szCs w:val="20"/>
        </w:rPr>
        <w:t xml:space="preserve"> </w:t>
      </w:r>
      <w:r w:rsidRPr="00B32864">
        <w:rPr>
          <w:rFonts w:ascii="Arial" w:hAnsi="Arial" w:cs="Arial"/>
          <w:sz w:val="20"/>
          <w:szCs w:val="20"/>
        </w:rPr>
        <w:t>SC</w:t>
      </w:r>
      <w:r w:rsidRPr="00B32864">
        <w:rPr>
          <w:rFonts w:ascii="Arial" w:hAnsi="Arial" w:cs="Arial"/>
          <w:spacing w:val="-3"/>
          <w:sz w:val="20"/>
          <w:szCs w:val="20"/>
        </w:rPr>
        <w:t xml:space="preserve"> </w:t>
      </w:r>
      <w:r w:rsidRPr="00B32864">
        <w:rPr>
          <w:rFonts w:ascii="Arial" w:hAnsi="Arial" w:cs="Arial"/>
          <w:sz w:val="20"/>
          <w:szCs w:val="20"/>
        </w:rPr>
        <w:t>refers</w:t>
      </w:r>
      <w:r w:rsidRPr="00B32864">
        <w:rPr>
          <w:rFonts w:ascii="Arial" w:hAnsi="Arial" w:cs="Arial"/>
          <w:spacing w:val="-3"/>
          <w:sz w:val="20"/>
          <w:szCs w:val="20"/>
        </w:rPr>
        <w:t xml:space="preserve"> </w:t>
      </w:r>
      <w:r w:rsidRPr="00B32864">
        <w:rPr>
          <w:rFonts w:ascii="Arial" w:hAnsi="Arial" w:cs="Arial"/>
          <w:sz w:val="20"/>
          <w:szCs w:val="20"/>
        </w:rPr>
        <w:t>back</w:t>
      </w:r>
      <w:r w:rsidRPr="00B32864">
        <w:rPr>
          <w:rFonts w:ascii="Arial" w:hAnsi="Arial" w:cs="Arial"/>
          <w:spacing w:val="-3"/>
          <w:sz w:val="20"/>
          <w:szCs w:val="20"/>
        </w:rPr>
        <w:t xml:space="preserve"> </w:t>
      </w:r>
      <w:r w:rsidRPr="00B32864">
        <w:rPr>
          <w:rFonts w:ascii="Arial" w:hAnsi="Arial" w:cs="Arial"/>
          <w:sz w:val="20"/>
          <w:szCs w:val="20"/>
        </w:rPr>
        <w:t>to</w:t>
      </w:r>
      <w:r w:rsidRPr="00B32864">
        <w:rPr>
          <w:rFonts w:ascii="Arial" w:hAnsi="Arial" w:cs="Arial"/>
          <w:spacing w:val="-3"/>
          <w:sz w:val="20"/>
          <w:szCs w:val="20"/>
        </w:rPr>
        <w:t xml:space="preserve"> </w:t>
      </w:r>
      <w:r w:rsidRPr="00B32864">
        <w:rPr>
          <w:rFonts w:ascii="Arial" w:hAnsi="Arial" w:cs="Arial"/>
          <w:sz w:val="20"/>
          <w:szCs w:val="20"/>
        </w:rPr>
        <w:t>a</w:t>
      </w:r>
      <w:r w:rsidRPr="00B32864">
        <w:rPr>
          <w:rFonts w:ascii="Arial" w:hAnsi="Arial" w:cs="Arial"/>
          <w:spacing w:val="-4"/>
          <w:sz w:val="20"/>
          <w:szCs w:val="20"/>
        </w:rPr>
        <w:t xml:space="preserve"> </w:t>
      </w:r>
      <w:r w:rsidRPr="00B32864">
        <w:rPr>
          <w:rFonts w:ascii="Arial" w:hAnsi="Arial" w:cs="Arial"/>
          <w:sz w:val="20"/>
          <w:szCs w:val="20"/>
        </w:rPr>
        <w:t>“test</w:t>
      </w:r>
      <w:r w:rsidRPr="00B32864">
        <w:rPr>
          <w:rFonts w:ascii="Arial" w:hAnsi="Arial" w:cs="Arial"/>
          <w:spacing w:val="-3"/>
          <w:sz w:val="20"/>
          <w:szCs w:val="20"/>
        </w:rPr>
        <w:t xml:space="preserve"> </w:t>
      </w:r>
      <w:r w:rsidRPr="00B32864">
        <w:rPr>
          <w:rFonts w:ascii="Arial" w:hAnsi="Arial" w:cs="Arial"/>
          <w:sz w:val="20"/>
          <w:szCs w:val="20"/>
        </w:rPr>
        <w:t>conducted</w:t>
      </w:r>
      <w:r w:rsidRPr="00B32864">
        <w:rPr>
          <w:rFonts w:ascii="Arial" w:hAnsi="Arial" w:cs="Arial"/>
          <w:spacing w:val="-3"/>
          <w:sz w:val="20"/>
          <w:szCs w:val="20"/>
        </w:rPr>
        <w:t xml:space="preserve"> </w:t>
      </w:r>
      <w:r w:rsidRPr="00B32864">
        <w:rPr>
          <w:rFonts w:ascii="Arial" w:hAnsi="Arial" w:cs="Arial"/>
          <w:sz w:val="20"/>
          <w:szCs w:val="20"/>
        </w:rPr>
        <w:t>per</w:t>
      </w:r>
      <w:r w:rsidRPr="00B32864">
        <w:rPr>
          <w:rFonts w:ascii="Arial" w:hAnsi="Arial" w:cs="Arial"/>
          <w:spacing w:val="-4"/>
          <w:sz w:val="20"/>
          <w:szCs w:val="20"/>
        </w:rPr>
        <w:t xml:space="preserve"> </w:t>
      </w:r>
      <w:r w:rsidRPr="00B32864">
        <w:rPr>
          <w:rFonts w:ascii="Arial" w:hAnsi="Arial" w:cs="Arial"/>
          <w:sz w:val="20"/>
          <w:szCs w:val="20"/>
        </w:rPr>
        <w:t>Condition</w:t>
      </w:r>
      <w:r w:rsidRPr="00B32864">
        <w:rPr>
          <w:rFonts w:ascii="Arial" w:hAnsi="Arial" w:cs="Arial"/>
          <w:spacing w:val="-3"/>
          <w:sz w:val="20"/>
          <w:szCs w:val="20"/>
        </w:rPr>
        <w:t xml:space="preserve"> </w:t>
      </w:r>
      <w:r w:rsidRPr="00B32864">
        <w:rPr>
          <w:rFonts w:ascii="Arial" w:hAnsi="Arial" w:cs="Arial"/>
          <w:sz w:val="20"/>
          <w:szCs w:val="20"/>
        </w:rPr>
        <w:t>17”.</w:t>
      </w:r>
      <w:r w:rsidRPr="00B32864">
        <w:rPr>
          <w:rFonts w:ascii="Arial" w:hAnsi="Arial" w:cs="Arial"/>
          <w:spacing w:val="-3"/>
          <w:sz w:val="20"/>
          <w:szCs w:val="20"/>
        </w:rPr>
        <w:t xml:space="preserve"> </w:t>
      </w:r>
      <w:r w:rsidRPr="00B32864">
        <w:rPr>
          <w:rFonts w:ascii="Arial" w:hAnsi="Arial" w:cs="Arial"/>
          <w:sz w:val="20"/>
          <w:szCs w:val="20"/>
        </w:rPr>
        <w:t>Should</w:t>
      </w:r>
      <w:r w:rsidRPr="00B32864">
        <w:rPr>
          <w:rFonts w:ascii="Arial" w:hAnsi="Arial" w:cs="Arial"/>
          <w:spacing w:val="-3"/>
          <w:sz w:val="20"/>
          <w:szCs w:val="20"/>
        </w:rPr>
        <w:t xml:space="preserve"> </w:t>
      </w:r>
      <w:r w:rsidRPr="00B32864">
        <w:rPr>
          <w:rFonts w:ascii="Arial" w:hAnsi="Arial" w:cs="Arial"/>
          <w:sz w:val="20"/>
          <w:szCs w:val="20"/>
        </w:rPr>
        <w:t>this</w:t>
      </w:r>
      <w:r w:rsidRPr="00B32864">
        <w:rPr>
          <w:rFonts w:ascii="Arial" w:hAnsi="Arial" w:cs="Arial"/>
          <w:spacing w:val="-3"/>
          <w:sz w:val="20"/>
          <w:szCs w:val="20"/>
        </w:rPr>
        <w:t xml:space="preserve"> </w:t>
      </w:r>
      <w:r w:rsidRPr="00B32864">
        <w:rPr>
          <w:rFonts w:ascii="Arial" w:hAnsi="Arial" w:cs="Arial"/>
          <w:sz w:val="20"/>
          <w:szCs w:val="20"/>
        </w:rPr>
        <w:t>condition be referring to Condition 18? Can TCEQ please confirm?</w:t>
      </w:r>
    </w:p>
    <w:p w14:paraId="297E7ECA" w14:textId="77777777" w:rsidR="00C373FC" w:rsidRPr="00B32864" w:rsidRDefault="00C373FC" w:rsidP="00C373FC">
      <w:pPr>
        <w:pStyle w:val="ListParagraph"/>
        <w:numPr>
          <w:ilvl w:val="1"/>
          <w:numId w:val="17"/>
        </w:numPr>
        <w:tabs>
          <w:tab w:val="left" w:pos="1579"/>
          <w:tab w:val="left" w:pos="1580"/>
        </w:tabs>
        <w:ind w:left="359" w:right="223"/>
        <w:rPr>
          <w:rFonts w:ascii="Arial" w:hAnsi="Arial" w:cs="Arial"/>
          <w:sz w:val="20"/>
          <w:szCs w:val="20"/>
        </w:rPr>
      </w:pPr>
      <w:r w:rsidRPr="00B32864">
        <w:rPr>
          <w:rFonts w:ascii="Arial" w:hAnsi="Arial" w:cs="Arial"/>
          <w:sz w:val="20"/>
          <w:szCs w:val="20"/>
        </w:rPr>
        <w:t>SC</w:t>
      </w:r>
      <w:r w:rsidRPr="00B32864">
        <w:rPr>
          <w:rFonts w:ascii="Arial" w:hAnsi="Arial" w:cs="Arial"/>
          <w:spacing w:val="-1"/>
          <w:sz w:val="20"/>
          <w:szCs w:val="20"/>
        </w:rPr>
        <w:t xml:space="preserve"> </w:t>
      </w:r>
      <w:r w:rsidRPr="00B32864">
        <w:rPr>
          <w:rFonts w:ascii="Arial" w:hAnsi="Arial" w:cs="Arial"/>
          <w:sz w:val="20"/>
          <w:szCs w:val="20"/>
        </w:rPr>
        <w:t>20. This SC states the</w:t>
      </w:r>
      <w:r w:rsidRPr="00B32864">
        <w:rPr>
          <w:rFonts w:ascii="Arial" w:hAnsi="Arial" w:cs="Arial"/>
          <w:spacing w:val="-4"/>
          <w:sz w:val="20"/>
          <w:szCs w:val="20"/>
        </w:rPr>
        <w:t xml:space="preserve"> </w:t>
      </w:r>
      <w:r w:rsidRPr="00B32864">
        <w:rPr>
          <w:rFonts w:ascii="Arial" w:hAnsi="Arial" w:cs="Arial"/>
          <w:sz w:val="20"/>
          <w:szCs w:val="20"/>
        </w:rPr>
        <w:t>dates of</w:t>
      </w:r>
      <w:r w:rsidRPr="00B32864">
        <w:rPr>
          <w:rFonts w:ascii="Arial" w:hAnsi="Arial" w:cs="Arial"/>
          <w:spacing w:val="-1"/>
          <w:sz w:val="20"/>
          <w:szCs w:val="20"/>
        </w:rPr>
        <w:t xml:space="preserve"> </w:t>
      </w:r>
      <w:r w:rsidRPr="00B32864">
        <w:rPr>
          <w:rFonts w:ascii="Arial" w:hAnsi="Arial" w:cs="Arial"/>
          <w:sz w:val="20"/>
          <w:szCs w:val="20"/>
        </w:rPr>
        <w:t>ship collection efficiency tests. All of</w:t>
      </w:r>
      <w:r w:rsidRPr="00B32864">
        <w:rPr>
          <w:rFonts w:ascii="Arial" w:hAnsi="Arial" w:cs="Arial"/>
          <w:spacing w:val="-1"/>
          <w:sz w:val="20"/>
          <w:szCs w:val="20"/>
        </w:rPr>
        <w:t xml:space="preserve"> </w:t>
      </w:r>
      <w:r w:rsidRPr="00B32864">
        <w:rPr>
          <w:rFonts w:ascii="Arial" w:hAnsi="Arial" w:cs="Arial"/>
          <w:sz w:val="20"/>
          <w:szCs w:val="20"/>
        </w:rPr>
        <w:t>these</w:t>
      </w:r>
      <w:r w:rsidRPr="00B32864">
        <w:rPr>
          <w:rFonts w:ascii="Arial" w:hAnsi="Arial" w:cs="Arial"/>
          <w:spacing w:val="-1"/>
          <w:sz w:val="20"/>
          <w:szCs w:val="20"/>
        </w:rPr>
        <w:t xml:space="preserve"> </w:t>
      </w:r>
      <w:r w:rsidRPr="00B32864">
        <w:rPr>
          <w:rFonts w:ascii="Arial" w:hAnsi="Arial" w:cs="Arial"/>
          <w:sz w:val="20"/>
          <w:szCs w:val="20"/>
        </w:rPr>
        <w:t>collection efficiency tests were performed in 2015 and 2016. The SC goes on to state that “…additional ship collection efficiency testing is not required”. What basis is TCEQ using</w:t>
      </w:r>
      <w:r w:rsidRPr="00B32864">
        <w:rPr>
          <w:rFonts w:ascii="Arial" w:hAnsi="Arial" w:cs="Arial"/>
          <w:spacing w:val="-3"/>
          <w:sz w:val="20"/>
          <w:szCs w:val="20"/>
        </w:rPr>
        <w:t xml:space="preserve"> </w:t>
      </w:r>
      <w:r w:rsidRPr="00B32864">
        <w:rPr>
          <w:rFonts w:ascii="Arial" w:hAnsi="Arial" w:cs="Arial"/>
          <w:sz w:val="20"/>
          <w:szCs w:val="20"/>
        </w:rPr>
        <w:t>to</w:t>
      </w:r>
      <w:r w:rsidRPr="00B32864">
        <w:rPr>
          <w:rFonts w:ascii="Arial" w:hAnsi="Arial" w:cs="Arial"/>
          <w:spacing w:val="-3"/>
          <w:sz w:val="20"/>
          <w:szCs w:val="20"/>
        </w:rPr>
        <w:t xml:space="preserve"> </w:t>
      </w:r>
      <w:r w:rsidRPr="00B32864">
        <w:rPr>
          <w:rFonts w:ascii="Arial" w:hAnsi="Arial" w:cs="Arial"/>
          <w:sz w:val="20"/>
          <w:szCs w:val="20"/>
        </w:rPr>
        <w:t>support</w:t>
      </w:r>
      <w:r w:rsidRPr="00B32864">
        <w:rPr>
          <w:rFonts w:ascii="Arial" w:hAnsi="Arial" w:cs="Arial"/>
          <w:spacing w:val="-3"/>
          <w:sz w:val="20"/>
          <w:szCs w:val="20"/>
        </w:rPr>
        <w:t xml:space="preserve"> </w:t>
      </w:r>
      <w:r w:rsidRPr="00B32864">
        <w:rPr>
          <w:rFonts w:ascii="Arial" w:hAnsi="Arial" w:cs="Arial"/>
          <w:sz w:val="20"/>
          <w:szCs w:val="20"/>
        </w:rPr>
        <w:t>no</w:t>
      </w:r>
      <w:r w:rsidRPr="00B32864">
        <w:rPr>
          <w:rFonts w:ascii="Arial" w:hAnsi="Arial" w:cs="Arial"/>
          <w:spacing w:val="-3"/>
          <w:sz w:val="20"/>
          <w:szCs w:val="20"/>
        </w:rPr>
        <w:t xml:space="preserve"> </w:t>
      </w:r>
      <w:r w:rsidRPr="00B32864">
        <w:rPr>
          <w:rFonts w:ascii="Arial" w:hAnsi="Arial" w:cs="Arial"/>
          <w:sz w:val="20"/>
          <w:szCs w:val="20"/>
        </w:rPr>
        <w:t>additional</w:t>
      </w:r>
      <w:r w:rsidRPr="00B32864">
        <w:rPr>
          <w:rFonts w:ascii="Arial" w:hAnsi="Arial" w:cs="Arial"/>
          <w:spacing w:val="-3"/>
          <w:sz w:val="20"/>
          <w:szCs w:val="20"/>
        </w:rPr>
        <w:t xml:space="preserve"> </w:t>
      </w:r>
      <w:r w:rsidRPr="00B32864">
        <w:rPr>
          <w:rFonts w:ascii="Arial" w:hAnsi="Arial" w:cs="Arial"/>
          <w:sz w:val="20"/>
          <w:szCs w:val="20"/>
        </w:rPr>
        <w:t>periodic</w:t>
      </w:r>
      <w:r w:rsidRPr="00B32864">
        <w:rPr>
          <w:rFonts w:ascii="Arial" w:hAnsi="Arial" w:cs="Arial"/>
          <w:spacing w:val="-4"/>
          <w:sz w:val="20"/>
          <w:szCs w:val="20"/>
        </w:rPr>
        <w:t xml:space="preserve"> </w:t>
      </w:r>
      <w:r w:rsidRPr="00B32864">
        <w:rPr>
          <w:rFonts w:ascii="Arial" w:hAnsi="Arial" w:cs="Arial"/>
          <w:sz w:val="20"/>
          <w:szCs w:val="20"/>
        </w:rPr>
        <w:t>testing</w:t>
      </w:r>
      <w:r w:rsidRPr="00B32864">
        <w:rPr>
          <w:rFonts w:ascii="Arial" w:hAnsi="Arial" w:cs="Arial"/>
          <w:spacing w:val="-3"/>
          <w:sz w:val="20"/>
          <w:szCs w:val="20"/>
        </w:rPr>
        <w:t xml:space="preserve"> </w:t>
      </w:r>
      <w:r w:rsidRPr="00B32864">
        <w:rPr>
          <w:rFonts w:ascii="Arial" w:hAnsi="Arial" w:cs="Arial"/>
          <w:sz w:val="20"/>
          <w:szCs w:val="20"/>
        </w:rPr>
        <w:t>requirements?</w:t>
      </w:r>
      <w:r w:rsidRPr="00B32864">
        <w:rPr>
          <w:rFonts w:ascii="Arial" w:hAnsi="Arial" w:cs="Arial"/>
          <w:spacing w:val="-4"/>
          <w:sz w:val="20"/>
          <w:szCs w:val="20"/>
        </w:rPr>
        <w:t xml:space="preserve"> </w:t>
      </w:r>
      <w:r w:rsidRPr="00B32864">
        <w:rPr>
          <w:rFonts w:ascii="Arial" w:hAnsi="Arial" w:cs="Arial"/>
          <w:sz w:val="20"/>
          <w:szCs w:val="20"/>
        </w:rPr>
        <w:t>Can</w:t>
      </w:r>
      <w:r w:rsidRPr="00B32864">
        <w:rPr>
          <w:rFonts w:ascii="Arial" w:hAnsi="Arial" w:cs="Arial"/>
          <w:spacing w:val="-3"/>
          <w:sz w:val="20"/>
          <w:szCs w:val="20"/>
        </w:rPr>
        <w:t xml:space="preserve"> </w:t>
      </w:r>
      <w:r w:rsidRPr="00B32864">
        <w:rPr>
          <w:rFonts w:ascii="Arial" w:hAnsi="Arial" w:cs="Arial"/>
          <w:sz w:val="20"/>
          <w:szCs w:val="20"/>
        </w:rPr>
        <w:t>TCEQ</w:t>
      </w:r>
      <w:r w:rsidRPr="00B32864">
        <w:rPr>
          <w:rFonts w:ascii="Arial" w:hAnsi="Arial" w:cs="Arial"/>
          <w:spacing w:val="-4"/>
          <w:sz w:val="20"/>
          <w:szCs w:val="20"/>
        </w:rPr>
        <w:t xml:space="preserve"> </w:t>
      </w:r>
      <w:r w:rsidRPr="00B32864">
        <w:rPr>
          <w:rFonts w:ascii="Arial" w:hAnsi="Arial" w:cs="Arial"/>
          <w:sz w:val="20"/>
          <w:szCs w:val="20"/>
        </w:rPr>
        <w:t>or</w:t>
      </w:r>
      <w:r w:rsidRPr="00B32864">
        <w:rPr>
          <w:rFonts w:ascii="Arial" w:hAnsi="Arial" w:cs="Arial"/>
          <w:spacing w:val="-4"/>
          <w:sz w:val="20"/>
          <w:szCs w:val="20"/>
        </w:rPr>
        <w:t xml:space="preserve"> </w:t>
      </w:r>
      <w:r w:rsidRPr="00B32864">
        <w:rPr>
          <w:rFonts w:ascii="Arial" w:hAnsi="Arial" w:cs="Arial"/>
          <w:sz w:val="20"/>
          <w:szCs w:val="20"/>
        </w:rPr>
        <w:t>the</w:t>
      </w:r>
      <w:r w:rsidRPr="00B32864">
        <w:rPr>
          <w:rFonts w:ascii="Arial" w:hAnsi="Arial" w:cs="Arial"/>
          <w:spacing w:val="-4"/>
          <w:sz w:val="20"/>
          <w:szCs w:val="20"/>
        </w:rPr>
        <w:t xml:space="preserve"> </w:t>
      </w:r>
      <w:r w:rsidRPr="00B32864">
        <w:rPr>
          <w:rFonts w:ascii="Arial" w:hAnsi="Arial" w:cs="Arial"/>
          <w:sz w:val="20"/>
          <w:szCs w:val="20"/>
        </w:rPr>
        <w:t>applicant provide data to show that there is no decrease in the collection efficiency since the three tests were performed?</w:t>
      </w:r>
    </w:p>
    <w:p w14:paraId="74D2E4B2" w14:textId="77777777" w:rsidR="00C373FC" w:rsidRPr="00B32864" w:rsidRDefault="00C373FC" w:rsidP="00C373FC">
      <w:pPr>
        <w:pStyle w:val="ListParagraph"/>
        <w:numPr>
          <w:ilvl w:val="1"/>
          <w:numId w:val="17"/>
        </w:numPr>
        <w:tabs>
          <w:tab w:val="left" w:pos="1580"/>
        </w:tabs>
        <w:spacing w:before="1"/>
        <w:ind w:left="359" w:right="268"/>
        <w:rPr>
          <w:rFonts w:ascii="Arial" w:hAnsi="Arial" w:cs="Arial"/>
          <w:sz w:val="20"/>
          <w:szCs w:val="20"/>
        </w:rPr>
      </w:pPr>
      <w:r w:rsidRPr="00B32864">
        <w:rPr>
          <w:rFonts w:ascii="Arial" w:hAnsi="Arial" w:cs="Arial"/>
          <w:sz w:val="20"/>
          <w:szCs w:val="20"/>
        </w:rPr>
        <w:t>SC</w:t>
      </w:r>
      <w:r w:rsidRPr="00B32864">
        <w:rPr>
          <w:rFonts w:ascii="Arial" w:hAnsi="Arial" w:cs="Arial"/>
          <w:spacing w:val="-4"/>
          <w:sz w:val="20"/>
          <w:szCs w:val="20"/>
        </w:rPr>
        <w:t xml:space="preserve"> </w:t>
      </w:r>
      <w:r w:rsidRPr="00B32864">
        <w:rPr>
          <w:rFonts w:ascii="Arial" w:hAnsi="Arial" w:cs="Arial"/>
          <w:sz w:val="20"/>
          <w:szCs w:val="20"/>
        </w:rPr>
        <w:t>26.</w:t>
      </w:r>
      <w:r w:rsidRPr="00B32864">
        <w:rPr>
          <w:rFonts w:ascii="Arial" w:hAnsi="Arial" w:cs="Arial"/>
          <w:spacing w:val="-3"/>
          <w:sz w:val="20"/>
          <w:szCs w:val="20"/>
        </w:rPr>
        <w:t xml:space="preserve"> </w:t>
      </w:r>
      <w:r w:rsidRPr="00B32864">
        <w:rPr>
          <w:rFonts w:ascii="Arial" w:hAnsi="Arial" w:cs="Arial"/>
          <w:sz w:val="20"/>
          <w:szCs w:val="20"/>
        </w:rPr>
        <w:t>States</w:t>
      </w:r>
      <w:r w:rsidRPr="00B32864">
        <w:rPr>
          <w:rFonts w:ascii="Arial" w:hAnsi="Arial" w:cs="Arial"/>
          <w:spacing w:val="-3"/>
          <w:sz w:val="20"/>
          <w:szCs w:val="20"/>
        </w:rPr>
        <w:t xml:space="preserve"> </w:t>
      </w:r>
      <w:r w:rsidRPr="00B32864">
        <w:rPr>
          <w:rFonts w:ascii="Arial" w:hAnsi="Arial" w:cs="Arial"/>
          <w:sz w:val="20"/>
          <w:szCs w:val="20"/>
        </w:rPr>
        <w:t>“The</w:t>
      </w:r>
      <w:r w:rsidRPr="00B32864">
        <w:rPr>
          <w:rFonts w:ascii="Arial" w:hAnsi="Arial" w:cs="Arial"/>
          <w:spacing w:val="-4"/>
          <w:sz w:val="20"/>
          <w:szCs w:val="20"/>
        </w:rPr>
        <w:t xml:space="preserve"> </w:t>
      </w:r>
      <w:r w:rsidRPr="00B32864">
        <w:rPr>
          <w:rFonts w:ascii="Arial" w:hAnsi="Arial" w:cs="Arial"/>
          <w:sz w:val="20"/>
          <w:szCs w:val="20"/>
        </w:rPr>
        <w:t>loading</w:t>
      </w:r>
      <w:r w:rsidRPr="00B32864">
        <w:rPr>
          <w:rFonts w:ascii="Arial" w:hAnsi="Arial" w:cs="Arial"/>
          <w:spacing w:val="-3"/>
          <w:sz w:val="20"/>
          <w:szCs w:val="20"/>
        </w:rPr>
        <w:t xml:space="preserve"> </w:t>
      </w:r>
      <w:r w:rsidRPr="00B32864">
        <w:rPr>
          <w:rFonts w:ascii="Arial" w:hAnsi="Arial" w:cs="Arial"/>
          <w:sz w:val="20"/>
          <w:szCs w:val="20"/>
        </w:rPr>
        <w:t>rate</w:t>
      </w:r>
      <w:r w:rsidRPr="00B32864">
        <w:rPr>
          <w:rFonts w:ascii="Arial" w:hAnsi="Arial" w:cs="Arial"/>
          <w:spacing w:val="-4"/>
          <w:sz w:val="20"/>
          <w:szCs w:val="20"/>
        </w:rPr>
        <w:t xml:space="preserve"> </w:t>
      </w:r>
      <w:r w:rsidRPr="00B32864">
        <w:rPr>
          <w:rFonts w:ascii="Arial" w:hAnsi="Arial" w:cs="Arial"/>
          <w:sz w:val="20"/>
          <w:szCs w:val="20"/>
        </w:rPr>
        <w:t>shall</w:t>
      </w:r>
      <w:r w:rsidRPr="00B32864">
        <w:rPr>
          <w:rFonts w:ascii="Arial" w:hAnsi="Arial" w:cs="Arial"/>
          <w:spacing w:val="-3"/>
          <w:sz w:val="20"/>
          <w:szCs w:val="20"/>
        </w:rPr>
        <w:t xml:space="preserve"> </w:t>
      </w:r>
      <w:r w:rsidRPr="00B32864">
        <w:rPr>
          <w:rFonts w:ascii="Arial" w:hAnsi="Arial" w:cs="Arial"/>
          <w:sz w:val="20"/>
          <w:szCs w:val="20"/>
        </w:rPr>
        <w:t>be</w:t>
      </w:r>
      <w:r w:rsidRPr="00B32864">
        <w:rPr>
          <w:rFonts w:ascii="Arial" w:hAnsi="Arial" w:cs="Arial"/>
          <w:spacing w:val="-4"/>
          <w:sz w:val="20"/>
          <w:szCs w:val="20"/>
        </w:rPr>
        <w:t xml:space="preserve"> </w:t>
      </w:r>
      <w:r w:rsidRPr="00B32864">
        <w:rPr>
          <w:rFonts w:ascii="Arial" w:hAnsi="Arial" w:cs="Arial"/>
          <w:sz w:val="20"/>
          <w:szCs w:val="20"/>
        </w:rPr>
        <w:t>recorded</w:t>
      </w:r>
      <w:r w:rsidRPr="00B32864">
        <w:rPr>
          <w:rFonts w:ascii="Arial" w:hAnsi="Arial" w:cs="Arial"/>
          <w:spacing w:val="-1"/>
          <w:sz w:val="20"/>
          <w:szCs w:val="20"/>
        </w:rPr>
        <w:t xml:space="preserve"> </w:t>
      </w:r>
      <w:r w:rsidRPr="00B32864">
        <w:rPr>
          <w:rFonts w:ascii="Arial" w:hAnsi="Arial" w:cs="Arial"/>
          <w:sz w:val="20"/>
          <w:szCs w:val="20"/>
        </w:rPr>
        <w:t>after</w:t>
      </w:r>
      <w:r w:rsidRPr="00B32864">
        <w:rPr>
          <w:rFonts w:ascii="Arial" w:hAnsi="Arial" w:cs="Arial"/>
          <w:spacing w:val="-4"/>
          <w:sz w:val="20"/>
          <w:szCs w:val="20"/>
        </w:rPr>
        <w:t xml:space="preserve"> </w:t>
      </w:r>
      <w:r w:rsidRPr="00B32864">
        <w:rPr>
          <w:rFonts w:ascii="Arial" w:hAnsi="Arial" w:cs="Arial"/>
          <w:sz w:val="20"/>
          <w:szCs w:val="20"/>
        </w:rPr>
        <w:t>loading</w:t>
      </w:r>
      <w:r w:rsidRPr="00B32864">
        <w:rPr>
          <w:rFonts w:ascii="Arial" w:hAnsi="Arial" w:cs="Arial"/>
          <w:spacing w:val="-1"/>
          <w:sz w:val="20"/>
          <w:szCs w:val="20"/>
        </w:rPr>
        <w:t xml:space="preserve"> </w:t>
      </w:r>
      <w:r w:rsidRPr="00B32864">
        <w:rPr>
          <w:rFonts w:ascii="Arial" w:hAnsi="Arial" w:cs="Arial"/>
          <w:sz w:val="20"/>
          <w:szCs w:val="20"/>
        </w:rPr>
        <w:t>any</w:t>
      </w:r>
      <w:r w:rsidRPr="00B32864">
        <w:rPr>
          <w:rFonts w:ascii="Arial" w:hAnsi="Arial" w:cs="Arial"/>
          <w:spacing w:val="-3"/>
          <w:sz w:val="20"/>
          <w:szCs w:val="20"/>
        </w:rPr>
        <w:t xml:space="preserve"> </w:t>
      </w:r>
      <w:r w:rsidRPr="00B32864">
        <w:rPr>
          <w:rFonts w:ascii="Arial" w:hAnsi="Arial" w:cs="Arial"/>
          <w:sz w:val="20"/>
          <w:szCs w:val="20"/>
        </w:rPr>
        <w:t>marine</w:t>
      </w:r>
      <w:r w:rsidRPr="00B32864">
        <w:rPr>
          <w:rFonts w:ascii="Arial" w:hAnsi="Arial" w:cs="Arial"/>
          <w:spacing w:val="-2"/>
          <w:sz w:val="20"/>
          <w:szCs w:val="20"/>
        </w:rPr>
        <w:t xml:space="preserve"> </w:t>
      </w:r>
      <w:r w:rsidRPr="00B32864">
        <w:rPr>
          <w:rFonts w:ascii="Arial" w:hAnsi="Arial" w:cs="Arial"/>
          <w:sz w:val="20"/>
          <w:szCs w:val="20"/>
        </w:rPr>
        <w:t>vessel,</w:t>
      </w:r>
      <w:r w:rsidRPr="00B32864">
        <w:rPr>
          <w:rFonts w:ascii="Arial" w:hAnsi="Arial" w:cs="Arial"/>
          <w:spacing w:val="-3"/>
          <w:sz w:val="20"/>
          <w:szCs w:val="20"/>
        </w:rPr>
        <w:t xml:space="preserve"> </w:t>
      </w:r>
      <w:r w:rsidRPr="00B32864">
        <w:rPr>
          <w:rFonts w:ascii="Arial" w:hAnsi="Arial" w:cs="Arial"/>
          <w:sz w:val="20"/>
          <w:szCs w:val="20"/>
        </w:rPr>
        <w:t>truck, or railcar with liquid if the loading rate is restricted under Attachment 1”. Can TCEQ explain for the record why the loading rate should not be recorded in all cases? Can TCEQ also explain how this condition may be related to SC 17 which referred to a maximum permitted loading rate?</w:t>
      </w:r>
    </w:p>
    <w:p w14:paraId="599C6E48" w14:textId="77777777" w:rsidR="00C373FC" w:rsidRPr="00B32864" w:rsidRDefault="00C373FC" w:rsidP="00C373FC">
      <w:pPr>
        <w:pStyle w:val="ListParagraph"/>
        <w:numPr>
          <w:ilvl w:val="1"/>
          <w:numId w:val="17"/>
        </w:numPr>
        <w:tabs>
          <w:tab w:val="left" w:pos="1580"/>
        </w:tabs>
        <w:ind w:left="359" w:right="146"/>
        <w:rPr>
          <w:rFonts w:ascii="Arial" w:hAnsi="Arial" w:cs="Arial"/>
          <w:sz w:val="20"/>
          <w:szCs w:val="20"/>
        </w:rPr>
      </w:pPr>
      <w:r w:rsidRPr="00B32864">
        <w:rPr>
          <w:rFonts w:ascii="Arial" w:hAnsi="Arial" w:cs="Arial"/>
          <w:sz w:val="20"/>
          <w:szCs w:val="20"/>
        </w:rPr>
        <w:t>SC 46.A. This SC refers to AP-42, Chapter 5 for calculating emissions from loading activities. There is no indication which EPNs are associated with loading activities or if one</w:t>
      </w:r>
      <w:r w:rsidRPr="00B32864">
        <w:rPr>
          <w:rFonts w:ascii="Arial" w:hAnsi="Arial" w:cs="Arial"/>
          <w:spacing w:val="-4"/>
          <w:sz w:val="20"/>
          <w:szCs w:val="20"/>
        </w:rPr>
        <w:t xml:space="preserve"> </w:t>
      </w:r>
      <w:r w:rsidRPr="00B32864">
        <w:rPr>
          <w:rFonts w:ascii="Arial" w:hAnsi="Arial" w:cs="Arial"/>
          <w:sz w:val="20"/>
          <w:szCs w:val="20"/>
        </w:rPr>
        <w:t>of</w:t>
      </w:r>
      <w:r w:rsidRPr="00B32864">
        <w:rPr>
          <w:rFonts w:ascii="Arial" w:hAnsi="Arial" w:cs="Arial"/>
          <w:spacing w:val="-4"/>
          <w:sz w:val="20"/>
          <w:szCs w:val="20"/>
        </w:rPr>
        <w:t xml:space="preserve"> </w:t>
      </w:r>
      <w:r w:rsidRPr="00B32864">
        <w:rPr>
          <w:rFonts w:ascii="Arial" w:hAnsi="Arial" w:cs="Arial"/>
          <w:sz w:val="20"/>
          <w:szCs w:val="20"/>
        </w:rPr>
        <w:t>the</w:t>
      </w:r>
      <w:r w:rsidRPr="00B32864">
        <w:rPr>
          <w:rFonts w:ascii="Arial" w:hAnsi="Arial" w:cs="Arial"/>
          <w:spacing w:val="-4"/>
          <w:sz w:val="20"/>
          <w:szCs w:val="20"/>
        </w:rPr>
        <w:t xml:space="preserve"> </w:t>
      </w:r>
      <w:r w:rsidRPr="00B32864">
        <w:rPr>
          <w:rFonts w:ascii="Arial" w:hAnsi="Arial" w:cs="Arial"/>
          <w:sz w:val="20"/>
          <w:szCs w:val="20"/>
        </w:rPr>
        <w:t>three</w:t>
      </w:r>
      <w:r w:rsidRPr="00B32864">
        <w:rPr>
          <w:rFonts w:ascii="Arial" w:hAnsi="Arial" w:cs="Arial"/>
          <w:spacing w:val="-4"/>
          <w:sz w:val="20"/>
          <w:szCs w:val="20"/>
        </w:rPr>
        <w:t xml:space="preserve"> </w:t>
      </w:r>
      <w:r w:rsidRPr="00B32864">
        <w:rPr>
          <w:rFonts w:ascii="Arial" w:hAnsi="Arial" w:cs="Arial"/>
          <w:sz w:val="20"/>
          <w:szCs w:val="20"/>
        </w:rPr>
        <w:t>groups</w:t>
      </w:r>
      <w:r w:rsidRPr="00B32864">
        <w:rPr>
          <w:rFonts w:ascii="Arial" w:hAnsi="Arial" w:cs="Arial"/>
          <w:spacing w:val="-3"/>
          <w:sz w:val="20"/>
          <w:szCs w:val="20"/>
        </w:rPr>
        <w:t xml:space="preserve"> </w:t>
      </w:r>
      <w:r w:rsidRPr="00B32864">
        <w:rPr>
          <w:rFonts w:ascii="Arial" w:hAnsi="Arial" w:cs="Arial"/>
          <w:sz w:val="20"/>
          <w:szCs w:val="20"/>
        </w:rPr>
        <w:t>rom</w:t>
      </w:r>
      <w:r w:rsidRPr="00B32864">
        <w:rPr>
          <w:rFonts w:ascii="Arial" w:hAnsi="Arial" w:cs="Arial"/>
          <w:spacing w:val="-3"/>
          <w:sz w:val="20"/>
          <w:szCs w:val="20"/>
        </w:rPr>
        <w:t xml:space="preserve"> </w:t>
      </w:r>
      <w:r w:rsidRPr="00B32864">
        <w:rPr>
          <w:rFonts w:ascii="Arial" w:hAnsi="Arial" w:cs="Arial"/>
          <w:sz w:val="20"/>
          <w:szCs w:val="20"/>
        </w:rPr>
        <w:t>SC2</w:t>
      </w:r>
      <w:r w:rsidRPr="00B32864">
        <w:rPr>
          <w:rFonts w:ascii="Arial" w:hAnsi="Arial" w:cs="Arial"/>
          <w:spacing w:val="-3"/>
          <w:sz w:val="20"/>
          <w:szCs w:val="20"/>
        </w:rPr>
        <w:t xml:space="preserve"> </w:t>
      </w:r>
      <w:r w:rsidRPr="00B32864">
        <w:rPr>
          <w:rFonts w:ascii="Arial" w:hAnsi="Arial" w:cs="Arial"/>
          <w:sz w:val="20"/>
          <w:szCs w:val="20"/>
        </w:rPr>
        <w:t>is</w:t>
      </w:r>
      <w:r w:rsidRPr="00B32864">
        <w:rPr>
          <w:rFonts w:ascii="Arial" w:hAnsi="Arial" w:cs="Arial"/>
          <w:spacing w:val="-3"/>
          <w:sz w:val="20"/>
          <w:szCs w:val="20"/>
        </w:rPr>
        <w:t xml:space="preserve"> </w:t>
      </w:r>
      <w:r w:rsidRPr="00B32864">
        <w:rPr>
          <w:rFonts w:ascii="Arial" w:hAnsi="Arial" w:cs="Arial"/>
          <w:sz w:val="20"/>
          <w:szCs w:val="20"/>
        </w:rPr>
        <w:t>specifically</w:t>
      </w:r>
      <w:r w:rsidRPr="00B32864">
        <w:rPr>
          <w:rFonts w:ascii="Arial" w:hAnsi="Arial" w:cs="Arial"/>
          <w:spacing w:val="-3"/>
          <w:sz w:val="20"/>
          <w:szCs w:val="20"/>
        </w:rPr>
        <w:t xml:space="preserve"> </w:t>
      </w:r>
      <w:r w:rsidRPr="00B32864">
        <w:rPr>
          <w:rFonts w:ascii="Arial" w:hAnsi="Arial" w:cs="Arial"/>
          <w:sz w:val="20"/>
          <w:szCs w:val="20"/>
        </w:rPr>
        <w:t>subject</w:t>
      </w:r>
      <w:r w:rsidRPr="00B32864">
        <w:rPr>
          <w:rFonts w:ascii="Arial" w:hAnsi="Arial" w:cs="Arial"/>
          <w:spacing w:val="-3"/>
          <w:sz w:val="20"/>
          <w:szCs w:val="20"/>
        </w:rPr>
        <w:t xml:space="preserve"> </w:t>
      </w:r>
      <w:r w:rsidRPr="00B32864">
        <w:rPr>
          <w:rFonts w:ascii="Arial" w:hAnsi="Arial" w:cs="Arial"/>
          <w:sz w:val="20"/>
          <w:szCs w:val="20"/>
        </w:rPr>
        <w:t>to</w:t>
      </w:r>
      <w:r w:rsidRPr="00B32864">
        <w:rPr>
          <w:rFonts w:ascii="Arial" w:hAnsi="Arial" w:cs="Arial"/>
          <w:spacing w:val="-3"/>
          <w:sz w:val="20"/>
          <w:szCs w:val="20"/>
        </w:rPr>
        <w:t xml:space="preserve"> </w:t>
      </w:r>
      <w:r w:rsidRPr="00B32864">
        <w:rPr>
          <w:rFonts w:ascii="Arial" w:hAnsi="Arial" w:cs="Arial"/>
          <w:sz w:val="20"/>
          <w:szCs w:val="20"/>
        </w:rPr>
        <w:t>this</w:t>
      </w:r>
      <w:r w:rsidRPr="00B32864">
        <w:rPr>
          <w:rFonts w:ascii="Arial" w:hAnsi="Arial" w:cs="Arial"/>
          <w:spacing w:val="-3"/>
          <w:sz w:val="20"/>
          <w:szCs w:val="20"/>
        </w:rPr>
        <w:t xml:space="preserve"> </w:t>
      </w:r>
      <w:r w:rsidRPr="00B32864">
        <w:rPr>
          <w:rFonts w:ascii="Arial" w:hAnsi="Arial" w:cs="Arial"/>
          <w:sz w:val="20"/>
          <w:szCs w:val="20"/>
        </w:rPr>
        <w:t>requirement.</w:t>
      </w:r>
      <w:r w:rsidRPr="00B32864">
        <w:rPr>
          <w:rFonts w:ascii="Arial" w:hAnsi="Arial" w:cs="Arial"/>
          <w:spacing w:val="-1"/>
          <w:sz w:val="20"/>
          <w:szCs w:val="20"/>
        </w:rPr>
        <w:t xml:space="preserve"> </w:t>
      </w:r>
      <w:r w:rsidRPr="00B32864">
        <w:rPr>
          <w:rFonts w:ascii="Arial" w:hAnsi="Arial" w:cs="Arial"/>
          <w:sz w:val="20"/>
          <w:szCs w:val="20"/>
        </w:rPr>
        <w:t>The</w:t>
      </w:r>
      <w:r w:rsidRPr="00B32864">
        <w:rPr>
          <w:rFonts w:ascii="Arial" w:hAnsi="Arial" w:cs="Arial"/>
          <w:spacing w:val="-4"/>
          <w:sz w:val="20"/>
          <w:szCs w:val="20"/>
        </w:rPr>
        <w:t xml:space="preserve"> </w:t>
      </w:r>
      <w:r w:rsidRPr="00B32864">
        <w:rPr>
          <w:rFonts w:ascii="Arial" w:hAnsi="Arial" w:cs="Arial"/>
          <w:sz w:val="20"/>
          <w:szCs w:val="20"/>
        </w:rPr>
        <w:t>condition at (2) refers to equation 1, however, no equation is shown or provided to be used for calculating emissions. Can TCEQ clarify this permit condition to identify the equation used for calculating emissions and to identify the EPNs that are subject to this emission calculation methodology?</w:t>
      </w:r>
    </w:p>
    <w:p w14:paraId="613FB677" w14:textId="77777777" w:rsidR="00C373FC" w:rsidRPr="00B32864" w:rsidRDefault="00C373FC" w:rsidP="00C373FC">
      <w:pPr>
        <w:pStyle w:val="ListParagraph"/>
        <w:numPr>
          <w:ilvl w:val="1"/>
          <w:numId w:val="17"/>
        </w:numPr>
        <w:tabs>
          <w:tab w:val="left" w:pos="1579"/>
          <w:tab w:val="left" w:pos="1580"/>
        </w:tabs>
        <w:ind w:left="359"/>
        <w:rPr>
          <w:rFonts w:ascii="Arial" w:hAnsi="Arial" w:cs="Arial"/>
          <w:sz w:val="20"/>
          <w:szCs w:val="20"/>
        </w:rPr>
      </w:pPr>
      <w:r w:rsidRPr="00B32864">
        <w:rPr>
          <w:rFonts w:ascii="Arial" w:hAnsi="Arial" w:cs="Arial"/>
          <w:sz w:val="20"/>
          <w:szCs w:val="20"/>
        </w:rPr>
        <w:t>SC</w:t>
      </w:r>
      <w:r w:rsidRPr="00B32864">
        <w:rPr>
          <w:rFonts w:ascii="Arial" w:hAnsi="Arial" w:cs="Arial"/>
          <w:spacing w:val="-4"/>
          <w:sz w:val="20"/>
          <w:szCs w:val="20"/>
        </w:rPr>
        <w:t xml:space="preserve"> </w:t>
      </w:r>
      <w:r w:rsidRPr="00B32864">
        <w:rPr>
          <w:rFonts w:ascii="Arial" w:hAnsi="Arial" w:cs="Arial"/>
          <w:sz w:val="20"/>
          <w:szCs w:val="20"/>
        </w:rPr>
        <w:t>46.A.3</w:t>
      </w:r>
      <w:r w:rsidRPr="00B32864">
        <w:rPr>
          <w:rFonts w:ascii="Arial" w:hAnsi="Arial" w:cs="Arial"/>
          <w:spacing w:val="-3"/>
          <w:sz w:val="20"/>
          <w:szCs w:val="20"/>
        </w:rPr>
        <w:t xml:space="preserve"> </w:t>
      </w:r>
      <w:r w:rsidRPr="00B32864">
        <w:rPr>
          <w:rFonts w:ascii="Arial" w:hAnsi="Arial" w:cs="Arial"/>
          <w:sz w:val="20"/>
          <w:szCs w:val="20"/>
        </w:rPr>
        <w:t>and</w:t>
      </w:r>
      <w:r w:rsidRPr="00B32864">
        <w:rPr>
          <w:rFonts w:ascii="Arial" w:hAnsi="Arial" w:cs="Arial"/>
          <w:spacing w:val="-3"/>
          <w:sz w:val="20"/>
          <w:szCs w:val="20"/>
        </w:rPr>
        <w:t xml:space="preserve"> </w:t>
      </w:r>
      <w:r w:rsidRPr="00B32864">
        <w:rPr>
          <w:rFonts w:ascii="Arial" w:hAnsi="Arial" w:cs="Arial"/>
          <w:sz w:val="20"/>
          <w:szCs w:val="20"/>
        </w:rPr>
        <w:t>4.</w:t>
      </w:r>
      <w:r w:rsidRPr="00B32864">
        <w:rPr>
          <w:rFonts w:ascii="Arial" w:hAnsi="Arial" w:cs="Arial"/>
          <w:spacing w:val="-3"/>
          <w:sz w:val="20"/>
          <w:szCs w:val="20"/>
        </w:rPr>
        <w:t xml:space="preserve"> </w:t>
      </w:r>
      <w:r w:rsidRPr="00B32864">
        <w:rPr>
          <w:rFonts w:ascii="Arial" w:hAnsi="Arial" w:cs="Arial"/>
          <w:sz w:val="20"/>
          <w:szCs w:val="20"/>
        </w:rPr>
        <w:t>These</w:t>
      </w:r>
      <w:r w:rsidRPr="00B32864">
        <w:rPr>
          <w:rFonts w:ascii="Arial" w:hAnsi="Arial" w:cs="Arial"/>
          <w:spacing w:val="-4"/>
          <w:sz w:val="20"/>
          <w:szCs w:val="20"/>
        </w:rPr>
        <w:t xml:space="preserve"> </w:t>
      </w:r>
      <w:r w:rsidRPr="00B32864">
        <w:rPr>
          <w:rFonts w:ascii="Arial" w:hAnsi="Arial" w:cs="Arial"/>
          <w:sz w:val="20"/>
          <w:szCs w:val="20"/>
        </w:rPr>
        <w:t>conditions</w:t>
      </w:r>
      <w:r w:rsidRPr="00B32864">
        <w:rPr>
          <w:rFonts w:ascii="Arial" w:hAnsi="Arial" w:cs="Arial"/>
          <w:spacing w:val="-3"/>
          <w:sz w:val="20"/>
          <w:szCs w:val="20"/>
        </w:rPr>
        <w:t xml:space="preserve"> </w:t>
      </w:r>
      <w:r w:rsidRPr="00B32864">
        <w:rPr>
          <w:rFonts w:ascii="Arial" w:hAnsi="Arial" w:cs="Arial"/>
          <w:sz w:val="20"/>
          <w:szCs w:val="20"/>
        </w:rPr>
        <w:t>refer</w:t>
      </w:r>
      <w:r w:rsidRPr="00B32864">
        <w:rPr>
          <w:rFonts w:ascii="Arial" w:hAnsi="Arial" w:cs="Arial"/>
          <w:spacing w:val="-4"/>
          <w:sz w:val="20"/>
          <w:szCs w:val="20"/>
        </w:rPr>
        <w:t xml:space="preserve"> </w:t>
      </w:r>
      <w:r w:rsidRPr="00B32864">
        <w:rPr>
          <w:rFonts w:ascii="Arial" w:hAnsi="Arial" w:cs="Arial"/>
          <w:sz w:val="20"/>
          <w:szCs w:val="20"/>
        </w:rPr>
        <w:t>to</w:t>
      </w:r>
      <w:r w:rsidRPr="00B32864">
        <w:rPr>
          <w:rFonts w:ascii="Arial" w:hAnsi="Arial" w:cs="Arial"/>
          <w:spacing w:val="-3"/>
          <w:sz w:val="20"/>
          <w:szCs w:val="20"/>
        </w:rPr>
        <w:t xml:space="preserve"> </w:t>
      </w:r>
      <w:r w:rsidRPr="00B32864">
        <w:rPr>
          <w:rFonts w:ascii="Arial" w:hAnsi="Arial" w:cs="Arial"/>
          <w:sz w:val="20"/>
          <w:szCs w:val="20"/>
        </w:rPr>
        <w:t>the</w:t>
      </w:r>
      <w:r w:rsidRPr="00B32864">
        <w:rPr>
          <w:rFonts w:ascii="Arial" w:hAnsi="Arial" w:cs="Arial"/>
          <w:spacing w:val="-2"/>
          <w:sz w:val="20"/>
          <w:szCs w:val="20"/>
        </w:rPr>
        <w:t xml:space="preserve"> </w:t>
      </w:r>
      <w:r w:rsidRPr="00B32864">
        <w:rPr>
          <w:rFonts w:ascii="Arial" w:hAnsi="Arial" w:cs="Arial"/>
          <w:sz w:val="20"/>
          <w:szCs w:val="20"/>
        </w:rPr>
        <w:t>emissions</w:t>
      </w:r>
      <w:r w:rsidRPr="00B32864">
        <w:rPr>
          <w:rFonts w:ascii="Arial" w:hAnsi="Arial" w:cs="Arial"/>
          <w:spacing w:val="-3"/>
          <w:sz w:val="20"/>
          <w:szCs w:val="20"/>
        </w:rPr>
        <w:t xml:space="preserve"> </w:t>
      </w:r>
      <w:r w:rsidRPr="00B32864">
        <w:rPr>
          <w:rFonts w:ascii="Arial" w:hAnsi="Arial" w:cs="Arial"/>
          <w:sz w:val="20"/>
          <w:szCs w:val="20"/>
        </w:rPr>
        <w:t>associated</w:t>
      </w:r>
      <w:r w:rsidRPr="00B32864">
        <w:rPr>
          <w:rFonts w:ascii="Arial" w:hAnsi="Arial" w:cs="Arial"/>
          <w:spacing w:val="-3"/>
          <w:sz w:val="20"/>
          <w:szCs w:val="20"/>
        </w:rPr>
        <w:t xml:space="preserve"> </w:t>
      </w:r>
      <w:r w:rsidRPr="00B32864">
        <w:rPr>
          <w:rFonts w:ascii="Arial" w:hAnsi="Arial" w:cs="Arial"/>
          <w:sz w:val="20"/>
          <w:szCs w:val="20"/>
        </w:rPr>
        <w:t>with</w:t>
      </w:r>
      <w:r w:rsidRPr="00B32864">
        <w:rPr>
          <w:rFonts w:ascii="Arial" w:hAnsi="Arial" w:cs="Arial"/>
          <w:spacing w:val="-3"/>
          <w:sz w:val="20"/>
          <w:szCs w:val="20"/>
        </w:rPr>
        <w:t xml:space="preserve"> </w:t>
      </w:r>
      <w:r w:rsidRPr="00B32864">
        <w:rPr>
          <w:rFonts w:ascii="Arial" w:hAnsi="Arial" w:cs="Arial"/>
          <w:sz w:val="20"/>
          <w:szCs w:val="20"/>
        </w:rPr>
        <w:t>the</w:t>
      </w:r>
      <w:r w:rsidRPr="00B32864">
        <w:rPr>
          <w:rFonts w:ascii="Arial" w:hAnsi="Arial" w:cs="Arial"/>
          <w:spacing w:val="-4"/>
          <w:sz w:val="20"/>
          <w:szCs w:val="20"/>
        </w:rPr>
        <w:t xml:space="preserve"> </w:t>
      </w:r>
      <w:r w:rsidRPr="00B32864">
        <w:rPr>
          <w:rFonts w:ascii="Arial" w:hAnsi="Arial" w:cs="Arial"/>
          <w:sz w:val="20"/>
          <w:szCs w:val="20"/>
        </w:rPr>
        <w:t>transfer</w:t>
      </w:r>
      <w:r w:rsidRPr="00B32864">
        <w:rPr>
          <w:rFonts w:ascii="Arial" w:hAnsi="Arial" w:cs="Arial"/>
          <w:spacing w:val="-4"/>
          <w:sz w:val="20"/>
          <w:szCs w:val="20"/>
        </w:rPr>
        <w:t xml:space="preserve"> </w:t>
      </w:r>
      <w:r w:rsidRPr="00B32864">
        <w:rPr>
          <w:rFonts w:ascii="Arial" w:hAnsi="Arial" w:cs="Arial"/>
          <w:sz w:val="20"/>
          <w:szCs w:val="20"/>
        </w:rPr>
        <w:t>of</w:t>
      </w:r>
      <w:r w:rsidRPr="00B32864">
        <w:rPr>
          <w:rFonts w:ascii="Arial" w:hAnsi="Arial" w:cs="Arial"/>
          <w:spacing w:val="-4"/>
          <w:sz w:val="20"/>
          <w:szCs w:val="20"/>
        </w:rPr>
        <w:t xml:space="preserve"> </w:t>
      </w:r>
      <w:r w:rsidRPr="00B32864">
        <w:rPr>
          <w:rFonts w:ascii="Arial" w:hAnsi="Arial" w:cs="Arial"/>
          <w:sz w:val="20"/>
          <w:szCs w:val="20"/>
        </w:rPr>
        <w:t xml:space="preserve">a product, but the equation for calculation is not provided nor is it indicated for what EPNs this requirement is </w:t>
      </w:r>
      <w:r w:rsidRPr="00B32864">
        <w:rPr>
          <w:rFonts w:ascii="Arial" w:hAnsi="Arial" w:cs="Arial"/>
          <w:sz w:val="20"/>
          <w:szCs w:val="20"/>
        </w:rPr>
        <w:lastRenderedPageBreak/>
        <w:t>applicable to. Can TCEQ please include the equation that appears to be missing and provide information on what EPNs should have emissions calculated using this methodology?</w:t>
      </w:r>
    </w:p>
    <w:p w14:paraId="6447EC2A" w14:textId="77777777" w:rsidR="00C373FC" w:rsidRPr="00B32864" w:rsidRDefault="00C373FC" w:rsidP="00C373FC">
      <w:pPr>
        <w:pStyle w:val="ListParagraph"/>
        <w:numPr>
          <w:ilvl w:val="1"/>
          <w:numId w:val="17"/>
        </w:numPr>
        <w:tabs>
          <w:tab w:val="left" w:pos="1579"/>
          <w:tab w:val="left" w:pos="1580"/>
        </w:tabs>
        <w:ind w:left="359" w:right="102"/>
        <w:rPr>
          <w:rFonts w:ascii="Arial" w:hAnsi="Arial" w:cs="Arial"/>
          <w:sz w:val="20"/>
          <w:szCs w:val="20"/>
        </w:rPr>
      </w:pPr>
      <w:r w:rsidRPr="00B32864">
        <w:rPr>
          <w:rFonts w:ascii="Arial" w:hAnsi="Arial" w:cs="Arial"/>
          <w:sz w:val="20"/>
          <w:szCs w:val="20"/>
        </w:rPr>
        <w:t>SC 46.E. This special condition appears to have combined two unrelated permit conditions,</w:t>
      </w:r>
      <w:r w:rsidRPr="00B32864">
        <w:rPr>
          <w:rFonts w:ascii="Arial" w:hAnsi="Arial" w:cs="Arial"/>
          <w:spacing w:val="-4"/>
          <w:sz w:val="20"/>
          <w:szCs w:val="20"/>
        </w:rPr>
        <w:t xml:space="preserve"> </w:t>
      </w:r>
      <w:r w:rsidRPr="00B32864">
        <w:rPr>
          <w:rFonts w:ascii="Arial" w:hAnsi="Arial" w:cs="Arial"/>
          <w:sz w:val="20"/>
          <w:szCs w:val="20"/>
        </w:rPr>
        <w:t>one</w:t>
      </w:r>
      <w:r w:rsidRPr="00B32864">
        <w:rPr>
          <w:rFonts w:ascii="Arial" w:hAnsi="Arial" w:cs="Arial"/>
          <w:spacing w:val="-4"/>
          <w:sz w:val="20"/>
          <w:szCs w:val="20"/>
        </w:rPr>
        <w:t xml:space="preserve"> </w:t>
      </w:r>
      <w:r w:rsidRPr="00B32864">
        <w:rPr>
          <w:rFonts w:ascii="Arial" w:hAnsi="Arial" w:cs="Arial"/>
          <w:sz w:val="20"/>
          <w:szCs w:val="20"/>
        </w:rPr>
        <w:t>for</w:t>
      </w:r>
      <w:r w:rsidRPr="00B32864">
        <w:rPr>
          <w:rFonts w:ascii="Arial" w:hAnsi="Arial" w:cs="Arial"/>
          <w:spacing w:val="-4"/>
          <w:sz w:val="20"/>
          <w:szCs w:val="20"/>
        </w:rPr>
        <w:t xml:space="preserve"> </w:t>
      </w:r>
      <w:r w:rsidRPr="00B32864">
        <w:rPr>
          <w:rFonts w:ascii="Arial" w:hAnsi="Arial" w:cs="Arial"/>
          <w:sz w:val="20"/>
          <w:szCs w:val="20"/>
        </w:rPr>
        <w:t>wastewater</w:t>
      </w:r>
      <w:r w:rsidRPr="00B32864">
        <w:rPr>
          <w:rFonts w:ascii="Arial" w:hAnsi="Arial" w:cs="Arial"/>
          <w:spacing w:val="-4"/>
          <w:sz w:val="20"/>
          <w:szCs w:val="20"/>
        </w:rPr>
        <w:t xml:space="preserve"> </w:t>
      </w:r>
      <w:r w:rsidRPr="00B32864">
        <w:rPr>
          <w:rFonts w:ascii="Arial" w:hAnsi="Arial" w:cs="Arial"/>
          <w:sz w:val="20"/>
          <w:szCs w:val="20"/>
        </w:rPr>
        <w:t>emissions</w:t>
      </w:r>
      <w:r w:rsidRPr="00B32864">
        <w:rPr>
          <w:rFonts w:ascii="Arial" w:hAnsi="Arial" w:cs="Arial"/>
          <w:spacing w:val="-4"/>
          <w:sz w:val="20"/>
          <w:szCs w:val="20"/>
        </w:rPr>
        <w:t xml:space="preserve"> </w:t>
      </w:r>
      <w:r w:rsidRPr="00B32864">
        <w:rPr>
          <w:rFonts w:ascii="Arial" w:hAnsi="Arial" w:cs="Arial"/>
          <w:sz w:val="20"/>
          <w:szCs w:val="20"/>
        </w:rPr>
        <w:t>and</w:t>
      </w:r>
      <w:r w:rsidRPr="00B32864">
        <w:rPr>
          <w:rFonts w:ascii="Arial" w:hAnsi="Arial" w:cs="Arial"/>
          <w:spacing w:val="-4"/>
          <w:sz w:val="20"/>
          <w:szCs w:val="20"/>
        </w:rPr>
        <w:t xml:space="preserve"> </w:t>
      </w:r>
      <w:r w:rsidRPr="00B32864">
        <w:rPr>
          <w:rFonts w:ascii="Arial" w:hAnsi="Arial" w:cs="Arial"/>
          <w:sz w:val="20"/>
          <w:szCs w:val="20"/>
        </w:rPr>
        <w:t>one</w:t>
      </w:r>
      <w:r w:rsidRPr="00B32864">
        <w:rPr>
          <w:rFonts w:ascii="Arial" w:hAnsi="Arial" w:cs="Arial"/>
          <w:spacing w:val="-3"/>
          <w:sz w:val="20"/>
          <w:szCs w:val="20"/>
        </w:rPr>
        <w:t xml:space="preserve"> </w:t>
      </w:r>
      <w:r w:rsidRPr="00B32864">
        <w:rPr>
          <w:rFonts w:ascii="Arial" w:hAnsi="Arial" w:cs="Arial"/>
          <w:sz w:val="20"/>
          <w:szCs w:val="20"/>
        </w:rPr>
        <w:t>for</w:t>
      </w:r>
      <w:r w:rsidRPr="00B32864">
        <w:rPr>
          <w:rFonts w:ascii="Arial" w:hAnsi="Arial" w:cs="Arial"/>
          <w:spacing w:val="-4"/>
          <w:sz w:val="20"/>
          <w:szCs w:val="20"/>
        </w:rPr>
        <w:t xml:space="preserve"> </w:t>
      </w:r>
      <w:r w:rsidRPr="00B32864">
        <w:rPr>
          <w:rFonts w:ascii="Arial" w:hAnsi="Arial" w:cs="Arial"/>
          <w:sz w:val="20"/>
          <w:szCs w:val="20"/>
        </w:rPr>
        <w:t>vapor</w:t>
      </w:r>
      <w:r w:rsidRPr="00B32864">
        <w:rPr>
          <w:rFonts w:ascii="Arial" w:hAnsi="Arial" w:cs="Arial"/>
          <w:spacing w:val="-3"/>
          <w:sz w:val="20"/>
          <w:szCs w:val="20"/>
        </w:rPr>
        <w:t xml:space="preserve"> </w:t>
      </w:r>
      <w:r w:rsidRPr="00B32864">
        <w:rPr>
          <w:rFonts w:ascii="Arial" w:hAnsi="Arial" w:cs="Arial"/>
          <w:sz w:val="20"/>
          <w:szCs w:val="20"/>
        </w:rPr>
        <w:t>combustion</w:t>
      </w:r>
      <w:r w:rsidRPr="00B32864">
        <w:rPr>
          <w:rFonts w:ascii="Arial" w:hAnsi="Arial" w:cs="Arial"/>
          <w:spacing w:val="-4"/>
          <w:sz w:val="20"/>
          <w:szCs w:val="20"/>
        </w:rPr>
        <w:t xml:space="preserve"> </w:t>
      </w:r>
      <w:r w:rsidRPr="00B32864">
        <w:rPr>
          <w:rFonts w:ascii="Arial" w:hAnsi="Arial" w:cs="Arial"/>
          <w:sz w:val="20"/>
          <w:szCs w:val="20"/>
        </w:rPr>
        <w:t>units.</w:t>
      </w:r>
      <w:r w:rsidRPr="00B32864">
        <w:rPr>
          <w:rFonts w:ascii="Arial" w:hAnsi="Arial" w:cs="Arial"/>
          <w:spacing w:val="-4"/>
          <w:sz w:val="20"/>
          <w:szCs w:val="20"/>
        </w:rPr>
        <w:t xml:space="preserve"> </w:t>
      </w:r>
      <w:r w:rsidRPr="00B32864">
        <w:rPr>
          <w:rFonts w:ascii="Arial" w:hAnsi="Arial" w:cs="Arial"/>
          <w:sz w:val="20"/>
          <w:szCs w:val="20"/>
        </w:rPr>
        <w:t>The</w:t>
      </w:r>
      <w:r w:rsidRPr="00B32864">
        <w:rPr>
          <w:rFonts w:ascii="Arial" w:hAnsi="Arial" w:cs="Arial"/>
          <w:spacing w:val="-4"/>
          <w:sz w:val="20"/>
          <w:szCs w:val="20"/>
        </w:rPr>
        <w:t xml:space="preserve"> </w:t>
      </w:r>
      <w:r w:rsidRPr="00B32864">
        <w:rPr>
          <w:rFonts w:ascii="Arial" w:hAnsi="Arial" w:cs="Arial"/>
          <w:sz w:val="20"/>
          <w:szCs w:val="20"/>
        </w:rPr>
        <w:t>second part of the condition states “Monthly compliance calculation for limits on pollutants for annual control device potential to emit (EPNs VC-001, VC-002, VC-003, and FL-001)”. Should this condition be a stand-alone condition? Also, can TCEQ explain why compliance would be based on a potential to emit and not the VOC emission limit prescribed in the table of Special Condition 2 of NSR 95754?</w:t>
      </w:r>
    </w:p>
    <w:p w14:paraId="798D943B" w14:textId="417C6320" w:rsidR="00052257" w:rsidRPr="00B32864" w:rsidRDefault="00C373FC" w:rsidP="00AE318B">
      <w:pPr>
        <w:pStyle w:val="ListParagraph"/>
        <w:numPr>
          <w:ilvl w:val="0"/>
          <w:numId w:val="17"/>
        </w:numPr>
        <w:rPr>
          <w:rFonts w:ascii="Arial" w:hAnsi="Arial" w:cs="Arial"/>
          <w:sz w:val="20"/>
          <w:szCs w:val="20"/>
        </w:rPr>
      </w:pPr>
      <w:r w:rsidRPr="00B32864">
        <w:rPr>
          <w:rFonts w:ascii="Arial" w:hAnsi="Arial" w:cs="Arial"/>
          <w:sz w:val="20"/>
          <w:szCs w:val="20"/>
        </w:rPr>
        <w:t>SC</w:t>
      </w:r>
      <w:r w:rsidRPr="00B32864">
        <w:rPr>
          <w:rFonts w:ascii="Arial" w:hAnsi="Arial" w:cs="Arial"/>
          <w:spacing w:val="-4"/>
          <w:sz w:val="20"/>
          <w:szCs w:val="20"/>
        </w:rPr>
        <w:t xml:space="preserve"> </w:t>
      </w:r>
      <w:r w:rsidRPr="00B32864">
        <w:rPr>
          <w:rFonts w:ascii="Arial" w:hAnsi="Arial" w:cs="Arial"/>
          <w:sz w:val="20"/>
          <w:szCs w:val="20"/>
        </w:rPr>
        <w:t>46.G.</w:t>
      </w:r>
      <w:r w:rsidRPr="00B32864">
        <w:rPr>
          <w:rFonts w:ascii="Arial" w:hAnsi="Arial" w:cs="Arial"/>
          <w:spacing w:val="-3"/>
          <w:sz w:val="20"/>
          <w:szCs w:val="20"/>
        </w:rPr>
        <w:t xml:space="preserve"> </w:t>
      </w:r>
      <w:r w:rsidRPr="00B32864">
        <w:rPr>
          <w:rFonts w:ascii="Arial" w:hAnsi="Arial" w:cs="Arial"/>
          <w:sz w:val="20"/>
          <w:szCs w:val="20"/>
        </w:rPr>
        <w:t>This</w:t>
      </w:r>
      <w:r w:rsidRPr="00B32864">
        <w:rPr>
          <w:rFonts w:ascii="Arial" w:hAnsi="Arial" w:cs="Arial"/>
          <w:spacing w:val="-3"/>
          <w:sz w:val="20"/>
          <w:szCs w:val="20"/>
        </w:rPr>
        <w:t xml:space="preserve"> </w:t>
      </w:r>
      <w:r w:rsidRPr="00B32864">
        <w:rPr>
          <w:rFonts w:ascii="Arial" w:hAnsi="Arial" w:cs="Arial"/>
          <w:sz w:val="20"/>
          <w:szCs w:val="20"/>
        </w:rPr>
        <w:t>condition</w:t>
      </w:r>
      <w:r w:rsidRPr="00B32864">
        <w:rPr>
          <w:rFonts w:ascii="Arial" w:hAnsi="Arial" w:cs="Arial"/>
          <w:spacing w:val="-6"/>
          <w:sz w:val="20"/>
          <w:szCs w:val="20"/>
        </w:rPr>
        <w:t xml:space="preserve"> </w:t>
      </w:r>
      <w:r w:rsidRPr="00B32864">
        <w:rPr>
          <w:rFonts w:ascii="Arial" w:hAnsi="Arial" w:cs="Arial"/>
          <w:sz w:val="20"/>
          <w:szCs w:val="20"/>
        </w:rPr>
        <w:t>relates</w:t>
      </w:r>
      <w:r w:rsidRPr="00B32864">
        <w:rPr>
          <w:rFonts w:ascii="Arial" w:hAnsi="Arial" w:cs="Arial"/>
          <w:spacing w:val="-3"/>
          <w:sz w:val="20"/>
          <w:szCs w:val="20"/>
        </w:rPr>
        <w:t xml:space="preserve"> </w:t>
      </w:r>
      <w:r w:rsidRPr="00B32864">
        <w:rPr>
          <w:rFonts w:ascii="Arial" w:hAnsi="Arial" w:cs="Arial"/>
          <w:sz w:val="20"/>
          <w:szCs w:val="20"/>
        </w:rPr>
        <w:t>to</w:t>
      </w:r>
      <w:r w:rsidRPr="00B32864">
        <w:rPr>
          <w:rFonts w:ascii="Arial" w:hAnsi="Arial" w:cs="Arial"/>
          <w:spacing w:val="-3"/>
          <w:sz w:val="20"/>
          <w:szCs w:val="20"/>
        </w:rPr>
        <w:t xml:space="preserve"> </w:t>
      </w:r>
      <w:r w:rsidRPr="00B32864">
        <w:rPr>
          <w:rFonts w:ascii="Arial" w:hAnsi="Arial" w:cs="Arial"/>
          <w:sz w:val="20"/>
          <w:szCs w:val="20"/>
        </w:rPr>
        <w:t>flare</w:t>
      </w:r>
      <w:r w:rsidRPr="00B32864">
        <w:rPr>
          <w:rFonts w:ascii="Arial" w:hAnsi="Arial" w:cs="Arial"/>
          <w:spacing w:val="-4"/>
          <w:sz w:val="20"/>
          <w:szCs w:val="20"/>
        </w:rPr>
        <w:t xml:space="preserve"> </w:t>
      </w:r>
      <w:r w:rsidRPr="00B32864">
        <w:rPr>
          <w:rFonts w:ascii="Arial" w:hAnsi="Arial" w:cs="Arial"/>
          <w:sz w:val="20"/>
          <w:szCs w:val="20"/>
        </w:rPr>
        <w:t>emissions.</w:t>
      </w:r>
      <w:r w:rsidRPr="00B32864">
        <w:rPr>
          <w:rFonts w:ascii="Arial" w:hAnsi="Arial" w:cs="Arial"/>
          <w:spacing w:val="-3"/>
          <w:sz w:val="20"/>
          <w:szCs w:val="20"/>
        </w:rPr>
        <w:t xml:space="preserve"> </w:t>
      </w:r>
      <w:r w:rsidRPr="00B32864">
        <w:rPr>
          <w:rFonts w:ascii="Arial" w:hAnsi="Arial" w:cs="Arial"/>
          <w:sz w:val="20"/>
          <w:szCs w:val="20"/>
        </w:rPr>
        <w:t>Is</w:t>
      </w:r>
      <w:r w:rsidRPr="00B32864">
        <w:rPr>
          <w:rFonts w:ascii="Arial" w:hAnsi="Arial" w:cs="Arial"/>
          <w:spacing w:val="-3"/>
          <w:sz w:val="20"/>
          <w:szCs w:val="20"/>
        </w:rPr>
        <w:t xml:space="preserve"> </w:t>
      </w:r>
      <w:r w:rsidRPr="00B32864">
        <w:rPr>
          <w:rFonts w:ascii="Arial" w:hAnsi="Arial" w:cs="Arial"/>
          <w:sz w:val="20"/>
          <w:szCs w:val="20"/>
        </w:rPr>
        <w:t>this</w:t>
      </w:r>
      <w:r w:rsidRPr="00B32864">
        <w:rPr>
          <w:rFonts w:ascii="Arial" w:hAnsi="Arial" w:cs="Arial"/>
          <w:spacing w:val="-3"/>
          <w:sz w:val="20"/>
          <w:szCs w:val="20"/>
        </w:rPr>
        <w:t xml:space="preserve"> </w:t>
      </w:r>
      <w:r w:rsidRPr="00B32864">
        <w:rPr>
          <w:rFonts w:ascii="Arial" w:hAnsi="Arial" w:cs="Arial"/>
          <w:sz w:val="20"/>
          <w:szCs w:val="20"/>
        </w:rPr>
        <w:t>flare</w:t>
      </w:r>
      <w:r w:rsidRPr="00B32864">
        <w:rPr>
          <w:rFonts w:ascii="Arial" w:hAnsi="Arial" w:cs="Arial"/>
          <w:spacing w:val="-4"/>
          <w:sz w:val="20"/>
          <w:szCs w:val="20"/>
        </w:rPr>
        <w:t xml:space="preserve"> </w:t>
      </w:r>
      <w:r w:rsidRPr="00B32864">
        <w:rPr>
          <w:rFonts w:ascii="Arial" w:hAnsi="Arial" w:cs="Arial"/>
          <w:sz w:val="20"/>
          <w:szCs w:val="20"/>
        </w:rPr>
        <w:t>equipped</w:t>
      </w:r>
      <w:r w:rsidRPr="00B32864">
        <w:rPr>
          <w:rFonts w:ascii="Arial" w:hAnsi="Arial" w:cs="Arial"/>
          <w:spacing w:val="-1"/>
          <w:sz w:val="20"/>
          <w:szCs w:val="20"/>
        </w:rPr>
        <w:t xml:space="preserve"> </w:t>
      </w:r>
      <w:r w:rsidRPr="00B32864">
        <w:rPr>
          <w:rFonts w:ascii="Arial" w:hAnsi="Arial" w:cs="Arial"/>
          <w:sz w:val="20"/>
          <w:szCs w:val="20"/>
        </w:rPr>
        <w:t>with</w:t>
      </w:r>
      <w:r w:rsidRPr="00B32864">
        <w:rPr>
          <w:rFonts w:ascii="Arial" w:hAnsi="Arial" w:cs="Arial"/>
          <w:spacing w:val="-3"/>
          <w:sz w:val="20"/>
          <w:szCs w:val="20"/>
        </w:rPr>
        <w:t xml:space="preserve"> </w:t>
      </w:r>
      <w:r w:rsidRPr="00B32864">
        <w:rPr>
          <w:rFonts w:ascii="Arial" w:hAnsi="Arial" w:cs="Arial"/>
          <w:sz w:val="20"/>
          <w:szCs w:val="20"/>
        </w:rPr>
        <w:t>continuous gas flow and composition monitors? How is the waste gas component contribution and the heat content of the waste gas constituents determined? Can TCEQ please clarify for the</w:t>
      </w:r>
      <w:r w:rsidRPr="00B32864">
        <w:rPr>
          <w:rFonts w:ascii="Arial" w:hAnsi="Arial" w:cs="Arial"/>
          <w:spacing w:val="-2"/>
          <w:sz w:val="20"/>
          <w:szCs w:val="20"/>
        </w:rPr>
        <w:t xml:space="preserve"> </w:t>
      </w:r>
      <w:r w:rsidRPr="00B32864">
        <w:rPr>
          <w:rFonts w:ascii="Arial" w:hAnsi="Arial" w:cs="Arial"/>
          <w:sz w:val="20"/>
          <w:szCs w:val="20"/>
        </w:rPr>
        <w:t>record</w:t>
      </w:r>
      <w:r w:rsidRPr="00B32864">
        <w:rPr>
          <w:rFonts w:ascii="Arial" w:hAnsi="Arial" w:cs="Arial"/>
          <w:spacing w:val="-1"/>
          <w:sz w:val="20"/>
          <w:szCs w:val="20"/>
        </w:rPr>
        <w:t xml:space="preserve"> </w:t>
      </w:r>
      <w:r w:rsidRPr="00B32864">
        <w:rPr>
          <w:rFonts w:ascii="Arial" w:hAnsi="Arial" w:cs="Arial"/>
          <w:sz w:val="20"/>
          <w:szCs w:val="20"/>
        </w:rPr>
        <w:t>what</w:t>
      </w:r>
      <w:r w:rsidRPr="00B32864">
        <w:rPr>
          <w:rFonts w:ascii="Arial" w:hAnsi="Arial" w:cs="Arial"/>
          <w:spacing w:val="-1"/>
          <w:sz w:val="20"/>
          <w:szCs w:val="20"/>
        </w:rPr>
        <w:t xml:space="preserve"> </w:t>
      </w:r>
      <w:r w:rsidRPr="00B32864">
        <w:rPr>
          <w:rFonts w:ascii="Arial" w:hAnsi="Arial" w:cs="Arial"/>
          <w:sz w:val="20"/>
          <w:szCs w:val="20"/>
        </w:rPr>
        <w:t>monitoring</w:t>
      </w:r>
      <w:r w:rsidRPr="00B32864">
        <w:rPr>
          <w:rFonts w:ascii="Arial" w:hAnsi="Arial" w:cs="Arial"/>
          <w:spacing w:val="-1"/>
          <w:sz w:val="20"/>
          <w:szCs w:val="20"/>
        </w:rPr>
        <w:t xml:space="preserve"> </w:t>
      </w:r>
      <w:r w:rsidRPr="00B32864">
        <w:rPr>
          <w:rFonts w:ascii="Arial" w:hAnsi="Arial" w:cs="Arial"/>
          <w:sz w:val="20"/>
          <w:szCs w:val="20"/>
        </w:rPr>
        <w:t>equipment</w:t>
      </w:r>
      <w:r w:rsidRPr="00B32864">
        <w:rPr>
          <w:rFonts w:ascii="Arial" w:hAnsi="Arial" w:cs="Arial"/>
          <w:spacing w:val="-1"/>
          <w:sz w:val="20"/>
          <w:szCs w:val="20"/>
        </w:rPr>
        <w:t xml:space="preserve"> </w:t>
      </w:r>
      <w:r w:rsidRPr="00B32864">
        <w:rPr>
          <w:rFonts w:ascii="Arial" w:hAnsi="Arial" w:cs="Arial"/>
          <w:sz w:val="20"/>
          <w:szCs w:val="20"/>
        </w:rPr>
        <w:t>is</w:t>
      </w:r>
      <w:r w:rsidRPr="00B32864">
        <w:rPr>
          <w:rFonts w:ascii="Arial" w:hAnsi="Arial" w:cs="Arial"/>
          <w:spacing w:val="-1"/>
          <w:sz w:val="20"/>
          <w:szCs w:val="20"/>
        </w:rPr>
        <w:t xml:space="preserve"> </w:t>
      </w:r>
      <w:r w:rsidRPr="00B32864">
        <w:rPr>
          <w:rFonts w:ascii="Arial" w:hAnsi="Arial" w:cs="Arial"/>
          <w:sz w:val="20"/>
          <w:szCs w:val="20"/>
        </w:rPr>
        <w:t>available</w:t>
      </w:r>
      <w:r w:rsidRPr="00B32864">
        <w:rPr>
          <w:rFonts w:ascii="Arial" w:hAnsi="Arial" w:cs="Arial"/>
          <w:spacing w:val="-2"/>
          <w:sz w:val="20"/>
          <w:szCs w:val="20"/>
        </w:rPr>
        <w:t xml:space="preserve"> </w:t>
      </w:r>
      <w:r w:rsidRPr="00B32864">
        <w:rPr>
          <w:rFonts w:ascii="Arial" w:hAnsi="Arial" w:cs="Arial"/>
          <w:sz w:val="20"/>
          <w:szCs w:val="20"/>
        </w:rPr>
        <w:t>for</w:t>
      </w:r>
      <w:r w:rsidRPr="00B32864">
        <w:rPr>
          <w:rFonts w:ascii="Arial" w:hAnsi="Arial" w:cs="Arial"/>
          <w:spacing w:val="-2"/>
          <w:sz w:val="20"/>
          <w:szCs w:val="20"/>
        </w:rPr>
        <w:t xml:space="preserve"> </w:t>
      </w:r>
      <w:r w:rsidRPr="00B32864">
        <w:rPr>
          <w:rFonts w:ascii="Arial" w:hAnsi="Arial" w:cs="Arial"/>
          <w:sz w:val="20"/>
          <w:szCs w:val="20"/>
        </w:rPr>
        <w:t>the</w:t>
      </w:r>
      <w:r w:rsidRPr="00B32864">
        <w:rPr>
          <w:rFonts w:ascii="Arial" w:hAnsi="Arial" w:cs="Arial"/>
          <w:spacing w:val="-2"/>
          <w:sz w:val="20"/>
          <w:szCs w:val="20"/>
        </w:rPr>
        <w:t xml:space="preserve"> </w:t>
      </w:r>
      <w:r w:rsidRPr="00B32864">
        <w:rPr>
          <w:rFonts w:ascii="Arial" w:hAnsi="Arial" w:cs="Arial"/>
          <w:sz w:val="20"/>
          <w:szCs w:val="20"/>
        </w:rPr>
        <w:t>waste</w:t>
      </w:r>
      <w:r w:rsidRPr="00B32864">
        <w:rPr>
          <w:rFonts w:ascii="Arial" w:hAnsi="Arial" w:cs="Arial"/>
          <w:spacing w:val="-2"/>
          <w:sz w:val="20"/>
          <w:szCs w:val="20"/>
        </w:rPr>
        <w:t xml:space="preserve"> </w:t>
      </w:r>
      <w:r w:rsidRPr="00B32864">
        <w:rPr>
          <w:rFonts w:ascii="Arial" w:hAnsi="Arial" w:cs="Arial"/>
          <w:sz w:val="20"/>
          <w:szCs w:val="20"/>
        </w:rPr>
        <w:t>gas flow</w:t>
      </w:r>
      <w:r w:rsidRPr="00B32864">
        <w:rPr>
          <w:rFonts w:ascii="Arial" w:hAnsi="Arial" w:cs="Arial"/>
          <w:spacing w:val="-2"/>
          <w:sz w:val="20"/>
          <w:szCs w:val="20"/>
        </w:rPr>
        <w:t xml:space="preserve"> </w:t>
      </w:r>
      <w:r w:rsidRPr="00B32864">
        <w:rPr>
          <w:rFonts w:ascii="Arial" w:hAnsi="Arial" w:cs="Arial"/>
          <w:sz w:val="20"/>
          <w:szCs w:val="20"/>
        </w:rPr>
        <w:t>to</w:t>
      </w:r>
      <w:r w:rsidRPr="00B32864">
        <w:rPr>
          <w:rFonts w:ascii="Arial" w:hAnsi="Arial" w:cs="Arial"/>
          <w:spacing w:val="-1"/>
          <w:sz w:val="20"/>
          <w:szCs w:val="20"/>
        </w:rPr>
        <w:t xml:space="preserve"> </w:t>
      </w:r>
      <w:r w:rsidRPr="00B32864">
        <w:rPr>
          <w:rFonts w:ascii="Arial" w:hAnsi="Arial" w:cs="Arial"/>
          <w:sz w:val="20"/>
          <w:szCs w:val="20"/>
        </w:rPr>
        <w:t>the</w:t>
      </w:r>
      <w:r w:rsidRPr="00B32864">
        <w:rPr>
          <w:rFonts w:ascii="Arial" w:hAnsi="Arial" w:cs="Arial"/>
          <w:spacing w:val="-2"/>
          <w:sz w:val="20"/>
          <w:szCs w:val="20"/>
        </w:rPr>
        <w:t xml:space="preserve"> </w:t>
      </w:r>
      <w:r w:rsidRPr="00B32864">
        <w:rPr>
          <w:rFonts w:ascii="Arial" w:hAnsi="Arial" w:cs="Arial"/>
          <w:sz w:val="20"/>
          <w:szCs w:val="20"/>
        </w:rPr>
        <w:t>flare and how any such data is used to calculate emissions.</w:t>
      </w:r>
    </w:p>
    <w:p w14:paraId="6BD0A731" w14:textId="71CD07B1" w:rsidR="00052257" w:rsidRPr="003A1FC8" w:rsidRDefault="00052257" w:rsidP="00052257">
      <w:pPr>
        <w:rPr>
          <w:rFonts w:cs="Arial"/>
          <w:szCs w:val="20"/>
        </w:rPr>
      </w:pPr>
    </w:p>
    <w:p w14:paraId="5DB21AE7" w14:textId="77777777" w:rsidR="00711683" w:rsidRDefault="0084399C" w:rsidP="00711683">
      <w:pPr>
        <w:rPr>
          <w:rStyle w:val="Strong"/>
          <w:b w:val="0"/>
          <w:bCs w:val="0"/>
        </w:rPr>
      </w:pPr>
      <w:bookmarkStart w:id="2" w:name="_Hlk120611935"/>
      <w:r w:rsidRPr="00725612">
        <w:rPr>
          <w:rStyle w:val="Strong"/>
        </w:rPr>
        <w:t>TCEQ R</w:t>
      </w:r>
      <w:r w:rsidR="0089546D">
        <w:rPr>
          <w:rStyle w:val="Strong"/>
        </w:rPr>
        <w:t>esponse</w:t>
      </w:r>
      <w:r w:rsidR="00097D16">
        <w:rPr>
          <w:rStyle w:val="Strong"/>
        </w:rPr>
        <w:t xml:space="preserve"> to EPA Objection</w:t>
      </w:r>
      <w:r w:rsidR="001C3978">
        <w:rPr>
          <w:rStyle w:val="Strong"/>
        </w:rPr>
        <w:t>s</w:t>
      </w:r>
      <w:r w:rsidR="00097D16">
        <w:rPr>
          <w:rStyle w:val="Strong"/>
        </w:rPr>
        <w:t xml:space="preserve"> 1</w:t>
      </w:r>
      <w:r w:rsidR="001C3978">
        <w:rPr>
          <w:rStyle w:val="Strong"/>
        </w:rPr>
        <w:t xml:space="preserve">a, 1b, 1c, 1d, 1e, 1f, 1g, 1h, 1i, 1j and </w:t>
      </w:r>
      <w:r w:rsidR="00DE1E5C">
        <w:rPr>
          <w:rStyle w:val="Strong"/>
        </w:rPr>
        <w:t>1k</w:t>
      </w:r>
      <w:bookmarkEnd w:id="2"/>
      <w:r w:rsidRPr="00725612">
        <w:rPr>
          <w:rStyle w:val="Strong"/>
        </w:rPr>
        <w:t>:</w:t>
      </w:r>
      <w:r w:rsidRPr="00725612">
        <w:t xml:space="preserve"> </w:t>
      </w:r>
      <w:r w:rsidR="006D7C70">
        <w:rPr>
          <w:rStyle w:val="Strong"/>
          <w:b w:val="0"/>
          <w:bCs w:val="0"/>
        </w:rPr>
        <w:t xml:space="preserve">The ED notes NSR </w:t>
      </w:r>
      <w:r w:rsidR="006D7C70" w:rsidRPr="00DE1E5C">
        <w:rPr>
          <w:rStyle w:val="Strong"/>
          <w:b w:val="0"/>
          <w:bCs w:val="0"/>
        </w:rPr>
        <w:t>Permit No. 95754</w:t>
      </w:r>
      <w:r w:rsidR="006D7C70">
        <w:rPr>
          <w:rStyle w:val="Strong"/>
          <w:b w:val="0"/>
          <w:bCs w:val="0"/>
        </w:rPr>
        <w:t xml:space="preserve">, </w:t>
      </w:r>
      <w:r w:rsidR="00C16AA8">
        <w:rPr>
          <w:rStyle w:val="Strong"/>
          <w:b w:val="0"/>
          <w:bCs w:val="0"/>
        </w:rPr>
        <w:t xml:space="preserve">renewal and </w:t>
      </w:r>
      <w:r w:rsidR="00BB2677">
        <w:rPr>
          <w:rStyle w:val="Strong"/>
          <w:b w:val="0"/>
          <w:bCs w:val="0"/>
        </w:rPr>
        <w:t xml:space="preserve">amendment </w:t>
      </w:r>
      <w:r w:rsidR="006D7C70">
        <w:rPr>
          <w:rStyle w:val="Strong"/>
          <w:b w:val="0"/>
          <w:bCs w:val="0"/>
        </w:rPr>
        <w:t xml:space="preserve">Project </w:t>
      </w:r>
      <w:r w:rsidR="006D7C70" w:rsidRPr="009158E0">
        <w:rPr>
          <w:rStyle w:val="Strong"/>
          <w:b w:val="0"/>
          <w:bCs w:val="0"/>
        </w:rPr>
        <w:t>345739</w:t>
      </w:r>
      <w:r w:rsidR="006D7C70">
        <w:rPr>
          <w:rStyle w:val="Strong"/>
          <w:b w:val="0"/>
          <w:bCs w:val="0"/>
        </w:rPr>
        <w:t xml:space="preserve"> issued on June 8, 2023 </w:t>
      </w:r>
      <w:r w:rsidR="00E66E2F">
        <w:rPr>
          <w:rStyle w:val="Strong"/>
          <w:b w:val="0"/>
          <w:bCs w:val="0"/>
        </w:rPr>
        <w:t>addresses</w:t>
      </w:r>
      <w:r w:rsidR="00313682">
        <w:rPr>
          <w:rStyle w:val="Strong"/>
          <w:b w:val="0"/>
          <w:bCs w:val="0"/>
        </w:rPr>
        <w:t xml:space="preserve"> the above referenced EPA objections</w:t>
      </w:r>
      <w:r w:rsidR="00E66E2F">
        <w:rPr>
          <w:rStyle w:val="Strong"/>
          <w:b w:val="0"/>
          <w:bCs w:val="0"/>
        </w:rPr>
        <w:t>.</w:t>
      </w:r>
      <w:r w:rsidR="00313682">
        <w:rPr>
          <w:rStyle w:val="Strong"/>
          <w:b w:val="0"/>
          <w:bCs w:val="0"/>
        </w:rPr>
        <w:t xml:space="preserve"> </w:t>
      </w:r>
      <w:r w:rsidR="00E66E2F">
        <w:rPr>
          <w:rStyle w:val="Strong"/>
          <w:b w:val="0"/>
          <w:bCs w:val="0"/>
        </w:rPr>
        <w:t>Proposed Permit</w:t>
      </w:r>
      <w:r w:rsidR="00F47771">
        <w:rPr>
          <w:rStyle w:val="Strong"/>
          <w:b w:val="0"/>
          <w:bCs w:val="0"/>
        </w:rPr>
        <w:t xml:space="preserve"> incorporates by reference NSR</w:t>
      </w:r>
      <w:r w:rsidR="00E66E2F">
        <w:rPr>
          <w:rStyle w:val="Strong"/>
          <w:b w:val="0"/>
          <w:bCs w:val="0"/>
        </w:rPr>
        <w:t xml:space="preserve"> </w:t>
      </w:r>
      <w:r w:rsidR="00F47771" w:rsidRPr="00DE1E5C">
        <w:rPr>
          <w:rStyle w:val="Strong"/>
          <w:b w:val="0"/>
          <w:bCs w:val="0"/>
        </w:rPr>
        <w:t>Permit No. 95754</w:t>
      </w:r>
      <w:r w:rsidR="00F47771">
        <w:rPr>
          <w:rStyle w:val="Strong"/>
          <w:b w:val="0"/>
          <w:bCs w:val="0"/>
        </w:rPr>
        <w:t xml:space="preserve">, issued June 8, 2023 </w:t>
      </w:r>
      <w:r w:rsidR="00E86A24">
        <w:rPr>
          <w:rStyle w:val="Strong"/>
          <w:b w:val="0"/>
          <w:bCs w:val="0"/>
        </w:rPr>
        <w:t xml:space="preserve">in the </w:t>
      </w:r>
      <w:r w:rsidR="00E66E2F" w:rsidRPr="00E66E2F">
        <w:rPr>
          <w:rStyle w:val="Strong"/>
          <w:b w:val="0"/>
          <w:bCs w:val="0"/>
        </w:rPr>
        <w:t>New Source Review authorizations</w:t>
      </w:r>
      <w:r w:rsidR="00E86A24">
        <w:rPr>
          <w:rStyle w:val="Strong"/>
          <w:b w:val="0"/>
          <w:bCs w:val="0"/>
        </w:rPr>
        <w:t xml:space="preserve"> table listed on page 140</w:t>
      </w:r>
      <w:r w:rsidR="000030C0">
        <w:rPr>
          <w:rStyle w:val="Strong"/>
          <w:b w:val="0"/>
          <w:bCs w:val="0"/>
        </w:rPr>
        <w:t>.</w:t>
      </w:r>
      <w:r w:rsidR="001301E8">
        <w:rPr>
          <w:rStyle w:val="Strong"/>
          <w:b w:val="0"/>
          <w:bCs w:val="0"/>
        </w:rPr>
        <w:t xml:space="preserve"> </w:t>
      </w:r>
    </w:p>
    <w:p w14:paraId="7D2008DF" w14:textId="77777777" w:rsidR="00711683" w:rsidRDefault="00711683" w:rsidP="00711683">
      <w:pPr>
        <w:rPr>
          <w:rStyle w:val="Strong"/>
          <w:b w:val="0"/>
          <w:bCs w:val="0"/>
        </w:rPr>
      </w:pPr>
    </w:p>
    <w:p w14:paraId="2406BBDE" w14:textId="1A3012D1" w:rsidR="009F4248" w:rsidRDefault="001301E8" w:rsidP="00711683">
      <w:r>
        <w:rPr>
          <w:rStyle w:val="Strong"/>
          <w:b w:val="0"/>
          <w:bCs w:val="0"/>
        </w:rPr>
        <w:t xml:space="preserve">Detailed description of the </w:t>
      </w:r>
      <w:r w:rsidR="00FE7509">
        <w:rPr>
          <w:rStyle w:val="Strong"/>
          <w:b w:val="0"/>
          <w:bCs w:val="0"/>
        </w:rPr>
        <w:t xml:space="preserve">changes made in Project 345739 </w:t>
      </w:r>
      <w:r w:rsidR="00711683">
        <w:t>is documented in</w:t>
      </w:r>
      <w:r w:rsidR="00622262">
        <w:t xml:space="preserve"> the</w:t>
      </w:r>
      <w:r w:rsidR="005E1530">
        <w:t xml:space="preserve"> </w:t>
      </w:r>
      <w:bookmarkStart w:id="3" w:name="_Hlk138844607"/>
      <w:r w:rsidR="005E1530">
        <w:rPr>
          <w:rStyle w:val="Strong"/>
          <w:b w:val="0"/>
          <w:bCs w:val="0"/>
        </w:rPr>
        <w:t>technical review document (WCC content ID</w:t>
      </w:r>
      <w:r w:rsidR="005E1530">
        <w:t xml:space="preserve"> </w:t>
      </w:r>
      <w:r w:rsidR="005E1530" w:rsidRPr="005E1530">
        <w:t>6557967</w:t>
      </w:r>
      <w:r w:rsidR="005E1530">
        <w:t>)</w:t>
      </w:r>
      <w:bookmarkEnd w:id="3"/>
      <w:r w:rsidR="00CA2C14">
        <w:t>. I</w:t>
      </w:r>
      <w:r w:rsidR="005E1530">
        <w:t>t includes</w:t>
      </w:r>
      <w:r w:rsidR="005E1530" w:rsidRPr="005E1530">
        <w:t xml:space="preserve"> </w:t>
      </w:r>
      <w:r w:rsidR="00711683">
        <w:t>a</w:t>
      </w:r>
      <w:r w:rsidR="00711683" w:rsidRPr="00131C0C">
        <w:rPr>
          <w:rStyle w:val="Strong"/>
          <w:b w:val="0"/>
          <w:bCs w:val="0"/>
        </w:rPr>
        <w:t xml:space="preserve">dequate </w:t>
      </w:r>
      <w:r w:rsidR="00711683">
        <w:rPr>
          <w:rStyle w:val="Strong"/>
          <w:b w:val="0"/>
          <w:bCs w:val="0"/>
        </w:rPr>
        <w:t>m</w:t>
      </w:r>
      <w:r w:rsidR="00711683" w:rsidRPr="00131C0C">
        <w:rPr>
          <w:rStyle w:val="Strong"/>
          <w:b w:val="0"/>
          <w:bCs w:val="0"/>
        </w:rPr>
        <w:t xml:space="preserve">onitoring </w:t>
      </w:r>
      <w:r w:rsidR="00711683">
        <w:rPr>
          <w:rStyle w:val="Strong"/>
          <w:b w:val="0"/>
          <w:bCs w:val="0"/>
        </w:rPr>
        <w:t>r</w:t>
      </w:r>
      <w:r w:rsidR="00711683" w:rsidRPr="00131C0C">
        <w:rPr>
          <w:rStyle w:val="Strong"/>
          <w:b w:val="0"/>
          <w:bCs w:val="0"/>
        </w:rPr>
        <w:t xml:space="preserve">equirements to </w:t>
      </w:r>
      <w:r w:rsidR="00711683">
        <w:rPr>
          <w:rStyle w:val="Strong"/>
          <w:b w:val="0"/>
          <w:bCs w:val="0"/>
        </w:rPr>
        <w:t>a</w:t>
      </w:r>
      <w:r w:rsidR="00711683" w:rsidRPr="00131C0C">
        <w:rPr>
          <w:rStyle w:val="Strong"/>
          <w:b w:val="0"/>
          <w:bCs w:val="0"/>
        </w:rPr>
        <w:t xml:space="preserve">ssure </w:t>
      </w:r>
      <w:r w:rsidR="00711683">
        <w:rPr>
          <w:rStyle w:val="Strong"/>
          <w:b w:val="0"/>
          <w:bCs w:val="0"/>
        </w:rPr>
        <w:t>c</w:t>
      </w:r>
      <w:r w:rsidR="00711683" w:rsidRPr="00131C0C">
        <w:rPr>
          <w:rStyle w:val="Strong"/>
          <w:b w:val="0"/>
          <w:bCs w:val="0"/>
        </w:rPr>
        <w:t>ompliance</w:t>
      </w:r>
      <w:r w:rsidR="00711683">
        <w:rPr>
          <w:rStyle w:val="Strong"/>
          <w:b w:val="0"/>
          <w:bCs w:val="0"/>
        </w:rPr>
        <w:t xml:space="preserve"> </w:t>
      </w:r>
      <w:r w:rsidR="00711683" w:rsidRPr="00131C0C">
        <w:rPr>
          <w:rStyle w:val="Strong"/>
          <w:b w:val="0"/>
          <w:bCs w:val="0"/>
        </w:rPr>
        <w:t xml:space="preserve">with </w:t>
      </w:r>
      <w:r w:rsidR="00711683">
        <w:rPr>
          <w:rStyle w:val="Strong"/>
          <w:b w:val="0"/>
          <w:bCs w:val="0"/>
        </w:rPr>
        <w:t>p</w:t>
      </w:r>
      <w:r w:rsidR="00711683" w:rsidRPr="00131C0C">
        <w:rPr>
          <w:rStyle w:val="Strong"/>
          <w:b w:val="0"/>
          <w:bCs w:val="0"/>
        </w:rPr>
        <w:t xml:space="preserve">ermitted </w:t>
      </w:r>
      <w:r w:rsidR="00711683">
        <w:rPr>
          <w:rStyle w:val="Strong"/>
          <w:b w:val="0"/>
          <w:bCs w:val="0"/>
        </w:rPr>
        <w:t>e</w:t>
      </w:r>
      <w:r w:rsidR="00711683" w:rsidRPr="00131C0C">
        <w:rPr>
          <w:rStyle w:val="Strong"/>
          <w:b w:val="0"/>
          <w:bCs w:val="0"/>
        </w:rPr>
        <w:t xml:space="preserve">mission </w:t>
      </w:r>
      <w:r w:rsidR="00711683">
        <w:rPr>
          <w:rStyle w:val="Strong"/>
          <w:b w:val="0"/>
          <w:bCs w:val="0"/>
        </w:rPr>
        <w:t>l</w:t>
      </w:r>
      <w:r w:rsidR="00711683" w:rsidRPr="00131C0C">
        <w:rPr>
          <w:rStyle w:val="Strong"/>
          <w:b w:val="0"/>
          <w:bCs w:val="0"/>
        </w:rPr>
        <w:t>imits</w:t>
      </w:r>
      <w:r w:rsidR="005E1530">
        <w:rPr>
          <w:rStyle w:val="Strong"/>
          <w:b w:val="0"/>
          <w:bCs w:val="0"/>
        </w:rPr>
        <w:t>.</w:t>
      </w:r>
      <w:r w:rsidR="0002759B">
        <w:rPr>
          <w:rStyle w:val="Strong"/>
          <w:b w:val="0"/>
          <w:bCs w:val="0"/>
        </w:rPr>
        <w:t xml:space="preserve"> This document also </w:t>
      </w:r>
      <w:r w:rsidR="008403ED">
        <w:rPr>
          <w:rStyle w:val="Strong"/>
          <w:b w:val="0"/>
          <w:bCs w:val="0"/>
        </w:rPr>
        <w:t xml:space="preserve">contains a technical analysis of </w:t>
      </w:r>
      <w:r w:rsidR="002D34B7">
        <w:rPr>
          <w:rStyle w:val="Strong"/>
          <w:b w:val="0"/>
          <w:bCs w:val="0"/>
        </w:rPr>
        <w:t>the nonattainment and PSD review applicability</w:t>
      </w:r>
      <w:r w:rsidR="003945C3">
        <w:rPr>
          <w:rStyle w:val="Strong"/>
          <w:b w:val="0"/>
          <w:bCs w:val="0"/>
        </w:rPr>
        <w:t>,</w:t>
      </w:r>
      <w:r w:rsidR="00636A52">
        <w:rPr>
          <w:rStyle w:val="Strong"/>
          <w:b w:val="0"/>
          <w:bCs w:val="0"/>
        </w:rPr>
        <w:t xml:space="preserve"> including a retrospective review.</w:t>
      </w:r>
      <w:r w:rsidR="00C50190">
        <w:rPr>
          <w:rStyle w:val="Strong"/>
          <w:b w:val="0"/>
          <w:bCs w:val="0"/>
        </w:rPr>
        <w:t xml:space="preserve"> A detailed response to each of the EPA </w:t>
      </w:r>
      <w:r w:rsidR="0003335F">
        <w:rPr>
          <w:rStyle w:val="Strong"/>
          <w:b w:val="0"/>
          <w:bCs w:val="0"/>
        </w:rPr>
        <w:t>O</w:t>
      </w:r>
      <w:r w:rsidR="00C50190">
        <w:rPr>
          <w:rStyle w:val="Strong"/>
          <w:b w:val="0"/>
          <w:bCs w:val="0"/>
        </w:rPr>
        <w:t>bjection</w:t>
      </w:r>
      <w:r w:rsidR="0003335F">
        <w:rPr>
          <w:rStyle w:val="Strong"/>
          <w:b w:val="0"/>
          <w:bCs w:val="0"/>
        </w:rPr>
        <w:t xml:space="preserve"> 1</w:t>
      </w:r>
      <w:r w:rsidR="00C50190">
        <w:rPr>
          <w:rStyle w:val="Strong"/>
          <w:b w:val="0"/>
          <w:bCs w:val="0"/>
        </w:rPr>
        <w:t xml:space="preserve"> is listed below.</w:t>
      </w:r>
    </w:p>
    <w:p w14:paraId="1C7589DB" w14:textId="2B624C56" w:rsidR="00052257" w:rsidRDefault="00052257" w:rsidP="004535E5"/>
    <w:p w14:paraId="424B2760" w14:textId="17D3B444" w:rsidR="001970AA" w:rsidRDefault="00DE1E5C" w:rsidP="00DE1E5C">
      <w:pPr>
        <w:rPr>
          <w:rStyle w:val="Strong"/>
          <w:b w:val="0"/>
          <w:bCs w:val="0"/>
        </w:rPr>
      </w:pPr>
      <w:bookmarkStart w:id="4" w:name="_Hlk120092577"/>
      <w:r w:rsidRPr="00725612">
        <w:rPr>
          <w:rStyle w:val="Strong"/>
        </w:rPr>
        <w:t>TCEQ R</w:t>
      </w:r>
      <w:r>
        <w:rPr>
          <w:rStyle w:val="Strong"/>
        </w:rPr>
        <w:t>esponse to EPA Objection 1a</w:t>
      </w:r>
      <w:bookmarkEnd w:id="4"/>
      <w:r>
        <w:rPr>
          <w:rStyle w:val="Strong"/>
        </w:rPr>
        <w:t xml:space="preserve">: </w:t>
      </w:r>
      <w:r w:rsidR="00713630" w:rsidRPr="00713630">
        <w:rPr>
          <w:rStyle w:val="Strong"/>
          <w:b w:val="0"/>
          <w:bCs w:val="0"/>
        </w:rPr>
        <w:t>In regard to</w:t>
      </w:r>
      <w:r w:rsidR="00713630">
        <w:rPr>
          <w:rStyle w:val="Strong"/>
          <w:b w:val="0"/>
          <w:bCs w:val="0"/>
        </w:rPr>
        <w:t xml:space="preserve"> NSR </w:t>
      </w:r>
      <w:r w:rsidR="00713630" w:rsidRPr="00DE1E5C">
        <w:rPr>
          <w:rStyle w:val="Strong"/>
          <w:b w:val="0"/>
          <w:bCs w:val="0"/>
        </w:rPr>
        <w:t>Permit No. 95754</w:t>
      </w:r>
      <w:r w:rsidR="00713630">
        <w:rPr>
          <w:rStyle w:val="Strong"/>
          <w:b w:val="0"/>
          <w:bCs w:val="0"/>
        </w:rPr>
        <w:t xml:space="preserve">, </w:t>
      </w:r>
      <w:r w:rsidR="009C12E9" w:rsidRPr="009C12E9">
        <w:rPr>
          <w:rStyle w:val="Strong"/>
          <w:b w:val="0"/>
          <w:bCs w:val="0"/>
        </w:rPr>
        <w:t>Special Condition (SC) 2 which establishes VOC emission caps for three groups of units</w:t>
      </w:r>
      <w:r w:rsidR="00713630">
        <w:rPr>
          <w:rStyle w:val="Strong"/>
          <w:b w:val="0"/>
          <w:bCs w:val="0"/>
        </w:rPr>
        <w:t>,</w:t>
      </w:r>
      <w:r w:rsidR="009C12E9" w:rsidRPr="009C12E9">
        <w:rPr>
          <w:rStyle w:val="Strong"/>
          <w:b w:val="0"/>
          <w:bCs w:val="0"/>
        </w:rPr>
        <w:t xml:space="preserve"> </w:t>
      </w:r>
      <w:r w:rsidR="00713630">
        <w:rPr>
          <w:rStyle w:val="Strong"/>
          <w:b w:val="0"/>
          <w:bCs w:val="0"/>
        </w:rPr>
        <w:t>t</w:t>
      </w:r>
      <w:r>
        <w:rPr>
          <w:rStyle w:val="Strong"/>
          <w:b w:val="0"/>
          <w:bCs w:val="0"/>
        </w:rPr>
        <w:t>he permit holder</w:t>
      </w:r>
      <w:r w:rsidRPr="00DE1E5C">
        <w:rPr>
          <w:rStyle w:val="Strong"/>
          <w:b w:val="0"/>
          <w:bCs w:val="0"/>
        </w:rPr>
        <w:t xml:space="preserve"> maintains records of product specific movements, individual MSS activities, and the associated product physical properties as required by </w:t>
      </w:r>
      <w:r>
        <w:rPr>
          <w:rStyle w:val="Strong"/>
          <w:b w:val="0"/>
          <w:bCs w:val="0"/>
        </w:rPr>
        <w:t xml:space="preserve">NSR </w:t>
      </w:r>
      <w:r w:rsidRPr="00DE1E5C">
        <w:rPr>
          <w:rStyle w:val="Strong"/>
          <w:b w:val="0"/>
          <w:bCs w:val="0"/>
        </w:rPr>
        <w:t>Permit No.</w:t>
      </w:r>
      <w:r>
        <w:rPr>
          <w:rStyle w:val="Strong"/>
          <w:b w:val="0"/>
          <w:bCs w:val="0"/>
        </w:rPr>
        <w:t xml:space="preserve"> </w:t>
      </w:r>
      <w:r w:rsidRPr="00DE1E5C">
        <w:rPr>
          <w:rStyle w:val="Strong"/>
          <w:b w:val="0"/>
          <w:bCs w:val="0"/>
        </w:rPr>
        <w:t xml:space="preserve">95754, Special Condition Nos. 11, 27, 34, and 43 which is utilized to calculate monthly emissions to demonstrate compliance with the applicable emission limit(s). The calculated emissions are then summed and compared to the appropriate MAERT limits per the applicable requirements of </w:t>
      </w:r>
      <w:r w:rsidR="009C12E9">
        <w:rPr>
          <w:rStyle w:val="Strong"/>
          <w:b w:val="0"/>
          <w:bCs w:val="0"/>
        </w:rPr>
        <w:t xml:space="preserve">NSR </w:t>
      </w:r>
      <w:r w:rsidRPr="00DE1E5C">
        <w:rPr>
          <w:rStyle w:val="Strong"/>
          <w:b w:val="0"/>
          <w:bCs w:val="0"/>
        </w:rPr>
        <w:t>Permit No. 95754, Special Condition Nos. 2, 11, 27, 34, 44, and 46.</w:t>
      </w:r>
    </w:p>
    <w:p w14:paraId="5E9C6934" w14:textId="317CEAED" w:rsidR="008C0288" w:rsidRDefault="008C0288" w:rsidP="001970AA">
      <w:pPr>
        <w:rPr>
          <w:rStyle w:val="Strong"/>
          <w:color w:val="FF0000"/>
        </w:rPr>
      </w:pPr>
    </w:p>
    <w:p w14:paraId="2E160722" w14:textId="426E2A73" w:rsidR="00231796" w:rsidRPr="0025439E" w:rsidRDefault="00AE511E" w:rsidP="001970AA">
      <w:pPr>
        <w:rPr>
          <w:rStyle w:val="Strong"/>
          <w:b w:val="0"/>
          <w:bCs w:val="0"/>
        </w:rPr>
      </w:pPr>
      <w:r>
        <w:rPr>
          <w:rStyle w:val="Strong"/>
          <w:b w:val="0"/>
          <w:bCs w:val="0"/>
        </w:rPr>
        <w:t xml:space="preserve">Regarding </w:t>
      </w:r>
      <w:r w:rsidRPr="00EC1D85">
        <w:rPr>
          <w:rStyle w:val="Strong"/>
          <w:b w:val="0"/>
          <w:bCs w:val="0"/>
        </w:rPr>
        <w:t>EPNs VC-001, VC-002, VC-003, and FL-001</w:t>
      </w:r>
      <w:r>
        <w:rPr>
          <w:rStyle w:val="Strong"/>
          <w:b w:val="0"/>
          <w:bCs w:val="0"/>
        </w:rPr>
        <w:t xml:space="preserve">, </w:t>
      </w:r>
      <w:r w:rsidR="004A73FB">
        <w:rPr>
          <w:rStyle w:val="Strong"/>
          <w:b w:val="0"/>
          <w:bCs w:val="0"/>
        </w:rPr>
        <w:t xml:space="preserve">TCEQ provides the following </w:t>
      </w:r>
      <w:r w:rsidR="004A73FB" w:rsidRPr="004A73FB">
        <w:rPr>
          <w:rStyle w:val="Strong"/>
          <w:b w:val="0"/>
          <w:bCs w:val="0"/>
        </w:rPr>
        <w:t>explanation on how compliance with each of these emission caps is to be determined across these EPNs</w:t>
      </w:r>
      <w:r>
        <w:rPr>
          <w:rStyle w:val="Strong"/>
          <w:b w:val="0"/>
          <w:bCs w:val="0"/>
        </w:rPr>
        <w:t>:</w:t>
      </w:r>
      <w:r w:rsidR="004A73FB" w:rsidRPr="004A73FB">
        <w:rPr>
          <w:rStyle w:val="Strong"/>
          <w:b w:val="0"/>
          <w:bCs w:val="0"/>
        </w:rPr>
        <w:t xml:space="preserve"> </w:t>
      </w:r>
      <w:r w:rsidR="00FD1F3E" w:rsidRPr="0025439E">
        <w:rPr>
          <w:rStyle w:val="Strong"/>
          <w:b w:val="0"/>
          <w:bCs w:val="0"/>
        </w:rPr>
        <w:t>Each VCU and flare (</w:t>
      </w:r>
      <w:r w:rsidR="00231796" w:rsidRPr="0025439E">
        <w:rPr>
          <w:rStyle w:val="Strong"/>
          <w:b w:val="0"/>
          <w:bCs w:val="0"/>
        </w:rPr>
        <w:t xml:space="preserve">EPNs VC-001, VC-002, VC-003, </w:t>
      </w:r>
      <w:r w:rsidR="003B1415" w:rsidRPr="0025439E">
        <w:rPr>
          <w:rStyle w:val="Strong"/>
          <w:b w:val="0"/>
          <w:bCs w:val="0"/>
        </w:rPr>
        <w:t xml:space="preserve">and </w:t>
      </w:r>
      <w:r w:rsidR="00231796" w:rsidRPr="0025439E">
        <w:rPr>
          <w:rStyle w:val="Strong"/>
          <w:b w:val="0"/>
          <w:bCs w:val="0"/>
        </w:rPr>
        <w:t>FL-001</w:t>
      </w:r>
      <w:r w:rsidR="00FD1F3E" w:rsidRPr="0025439E">
        <w:rPr>
          <w:rStyle w:val="Strong"/>
          <w:b w:val="0"/>
          <w:bCs w:val="0"/>
        </w:rPr>
        <w:t>)</w:t>
      </w:r>
      <w:r w:rsidR="00231796" w:rsidRPr="0025439E">
        <w:rPr>
          <w:rStyle w:val="Strong"/>
          <w:b w:val="0"/>
          <w:bCs w:val="0"/>
        </w:rPr>
        <w:t xml:space="preserve"> ha</w:t>
      </w:r>
      <w:r w:rsidR="00FD1F3E" w:rsidRPr="0025439E">
        <w:rPr>
          <w:rStyle w:val="Strong"/>
          <w:b w:val="0"/>
          <w:bCs w:val="0"/>
        </w:rPr>
        <w:t>s</w:t>
      </w:r>
      <w:r w:rsidR="00231796" w:rsidRPr="0025439E">
        <w:rPr>
          <w:rStyle w:val="Strong"/>
          <w:b w:val="0"/>
          <w:bCs w:val="0"/>
        </w:rPr>
        <w:t xml:space="preserve"> </w:t>
      </w:r>
      <w:r w:rsidR="003B1415" w:rsidRPr="0025439E">
        <w:rPr>
          <w:rStyle w:val="Strong"/>
          <w:b w:val="0"/>
          <w:bCs w:val="0"/>
        </w:rPr>
        <w:t xml:space="preserve">individual short-term emissions </w:t>
      </w:r>
      <w:r w:rsidR="00FD1F3E" w:rsidRPr="0025439E">
        <w:rPr>
          <w:rStyle w:val="Strong"/>
          <w:b w:val="0"/>
          <w:bCs w:val="0"/>
        </w:rPr>
        <w:t>limit</w:t>
      </w:r>
      <w:r w:rsidR="003B1415" w:rsidRPr="0025439E">
        <w:rPr>
          <w:rStyle w:val="Strong"/>
          <w:b w:val="0"/>
          <w:bCs w:val="0"/>
        </w:rPr>
        <w:t xml:space="preserve"> applicable to Groups A, B, and C</w:t>
      </w:r>
      <w:r w:rsidR="007A29D2" w:rsidRPr="0025439E">
        <w:rPr>
          <w:rStyle w:val="Strong"/>
          <w:b w:val="0"/>
          <w:bCs w:val="0"/>
        </w:rPr>
        <w:t xml:space="preserve"> </w:t>
      </w:r>
      <w:r w:rsidR="00B52020" w:rsidRPr="0025439E">
        <w:rPr>
          <w:rStyle w:val="Strong"/>
          <w:b w:val="0"/>
          <w:bCs w:val="0"/>
        </w:rPr>
        <w:t>based</w:t>
      </w:r>
      <w:r w:rsidR="007A29D2" w:rsidRPr="0025439E">
        <w:rPr>
          <w:rStyle w:val="Strong"/>
          <w:b w:val="0"/>
          <w:bCs w:val="0"/>
        </w:rPr>
        <w:t xml:space="preserve"> worst-case emission calculations. </w:t>
      </w:r>
    </w:p>
    <w:p w14:paraId="43CDEB90" w14:textId="2486B12C" w:rsidR="00231796" w:rsidRPr="0025439E" w:rsidRDefault="00231796" w:rsidP="001970AA">
      <w:pPr>
        <w:rPr>
          <w:rStyle w:val="Strong"/>
          <w:b w:val="0"/>
          <w:bCs w:val="0"/>
        </w:rPr>
      </w:pPr>
    </w:p>
    <w:p w14:paraId="547B2384" w14:textId="635E4E42" w:rsidR="00231796" w:rsidRPr="0025439E" w:rsidRDefault="00FD1F3E" w:rsidP="00374EC5">
      <w:pPr>
        <w:rPr>
          <w:rStyle w:val="Strong"/>
          <w:b w:val="0"/>
          <w:bCs w:val="0"/>
        </w:rPr>
      </w:pPr>
      <w:r w:rsidRPr="0025439E">
        <w:rPr>
          <w:rStyle w:val="Strong"/>
          <w:b w:val="0"/>
          <w:bCs w:val="0"/>
        </w:rPr>
        <w:t>In addition, t</w:t>
      </w:r>
      <w:r w:rsidR="003B1415" w:rsidRPr="0025439E">
        <w:rPr>
          <w:rStyle w:val="Strong"/>
          <w:b w:val="0"/>
          <w:bCs w:val="0"/>
        </w:rPr>
        <w:t xml:space="preserve">he VCUs and Flare have an annual emission cap for Groups A and B (VOC limits are separate for the two groups) and an individual annual cap for Group C. </w:t>
      </w:r>
      <w:r w:rsidR="00374EC5" w:rsidRPr="0025439E">
        <w:rPr>
          <w:rStyle w:val="Strong"/>
          <w:b w:val="0"/>
          <w:bCs w:val="0"/>
        </w:rPr>
        <w:t>The annual emission cap is the summation of the following activities that route to control: Controlled Loading, Hose Venting, Wastewater System, Roof Landing (Routine and MSS)</w:t>
      </w:r>
      <w:r w:rsidR="007A29D2" w:rsidRPr="0025439E">
        <w:rPr>
          <w:rStyle w:val="Strong"/>
          <w:b w:val="0"/>
          <w:bCs w:val="0"/>
        </w:rPr>
        <w:t xml:space="preserve"> for each Group Facility. </w:t>
      </w:r>
      <w:r w:rsidR="001627C2" w:rsidRPr="0025439E">
        <w:rPr>
          <w:rStyle w:val="Strong"/>
          <w:b w:val="0"/>
          <w:bCs w:val="0"/>
        </w:rPr>
        <w:t>Each activity contributing to the emissions represented under</w:t>
      </w:r>
      <w:r w:rsidRPr="0025439E">
        <w:rPr>
          <w:rStyle w:val="Strong"/>
          <w:b w:val="0"/>
          <w:bCs w:val="0"/>
        </w:rPr>
        <w:t xml:space="preserve"> EPNs</w:t>
      </w:r>
      <w:r w:rsidR="001627C2" w:rsidRPr="0025439E">
        <w:rPr>
          <w:rStyle w:val="Strong"/>
          <w:b w:val="0"/>
          <w:bCs w:val="0"/>
        </w:rPr>
        <w:t xml:space="preserve"> VC-001, VC-002, VC-003, and FL-001 are bound the by the emission representations made in the application and Special Conditions related to each activity. </w:t>
      </w:r>
      <w:r w:rsidRPr="0025439E">
        <w:rPr>
          <w:rStyle w:val="Strong"/>
          <w:b w:val="0"/>
          <w:bCs w:val="0"/>
        </w:rPr>
        <w:t>E</w:t>
      </w:r>
      <w:r w:rsidR="001627C2" w:rsidRPr="0025439E">
        <w:rPr>
          <w:rStyle w:val="Strong"/>
          <w:b w:val="0"/>
          <w:bCs w:val="0"/>
        </w:rPr>
        <w:t xml:space="preserve">mission calculations </w:t>
      </w:r>
      <w:r w:rsidRPr="0025439E">
        <w:rPr>
          <w:rStyle w:val="Strong"/>
          <w:b w:val="0"/>
          <w:bCs w:val="0"/>
        </w:rPr>
        <w:t xml:space="preserve">conservatively </w:t>
      </w:r>
      <w:r w:rsidR="001627C2" w:rsidRPr="0025439E">
        <w:rPr>
          <w:rStyle w:val="Strong"/>
          <w:b w:val="0"/>
          <w:bCs w:val="0"/>
        </w:rPr>
        <w:t>ass</w:t>
      </w:r>
      <w:r w:rsidR="00BB3D56" w:rsidRPr="0025439E">
        <w:rPr>
          <w:rStyle w:val="Strong"/>
          <w:b w:val="0"/>
          <w:bCs w:val="0"/>
        </w:rPr>
        <w:t xml:space="preserve">umes </w:t>
      </w:r>
      <w:r w:rsidR="007B22C3" w:rsidRPr="0025439E">
        <w:rPr>
          <w:rStyle w:val="Strong"/>
          <w:b w:val="0"/>
          <w:bCs w:val="0"/>
        </w:rPr>
        <w:t xml:space="preserve">that </w:t>
      </w:r>
      <w:r w:rsidRPr="0025439E">
        <w:rPr>
          <w:rStyle w:val="Strong"/>
          <w:b w:val="0"/>
          <w:bCs w:val="0"/>
        </w:rPr>
        <w:t xml:space="preserve">all waste streams can be routed to any VCU, and </w:t>
      </w:r>
      <w:r w:rsidR="007B22C3" w:rsidRPr="0025439E">
        <w:rPr>
          <w:rStyle w:val="Strong"/>
          <w:b w:val="0"/>
          <w:bCs w:val="0"/>
        </w:rPr>
        <w:t xml:space="preserve">the </w:t>
      </w:r>
      <w:r w:rsidR="00B52020" w:rsidRPr="0025439E">
        <w:rPr>
          <w:rStyle w:val="Strong"/>
          <w:b w:val="0"/>
          <w:bCs w:val="0"/>
        </w:rPr>
        <w:t xml:space="preserve">control </w:t>
      </w:r>
      <w:r w:rsidR="007B22C3" w:rsidRPr="0025439E">
        <w:rPr>
          <w:rStyle w:val="Strong"/>
          <w:b w:val="0"/>
          <w:bCs w:val="0"/>
        </w:rPr>
        <w:t xml:space="preserve">shall achieve a 99.9% control efficiency (as per Special Condition 46) and an appropriate capture efficiency for loading type. </w:t>
      </w:r>
    </w:p>
    <w:p w14:paraId="0C9D174C" w14:textId="0193637B" w:rsidR="00933317" w:rsidRPr="0025439E" w:rsidRDefault="00933317" w:rsidP="001970AA">
      <w:pPr>
        <w:rPr>
          <w:rStyle w:val="Strong"/>
          <w:b w:val="0"/>
          <w:bCs w:val="0"/>
        </w:rPr>
      </w:pPr>
    </w:p>
    <w:p w14:paraId="0E5C17E1" w14:textId="416230B0" w:rsidR="00933317" w:rsidRPr="0025439E" w:rsidRDefault="00626220" w:rsidP="001970AA">
      <w:pPr>
        <w:rPr>
          <w:rStyle w:val="Strong"/>
          <w:b w:val="0"/>
          <w:bCs w:val="0"/>
        </w:rPr>
      </w:pPr>
      <w:r w:rsidRPr="0025439E">
        <w:rPr>
          <w:rStyle w:val="Strong"/>
          <w:b w:val="0"/>
          <w:bCs w:val="0"/>
        </w:rPr>
        <w:t xml:space="preserve">Please </w:t>
      </w:r>
      <w:r w:rsidR="00735EBA" w:rsidRPr="0025439E">
        <w:rPr>
          <w:rStyle w:val="Strong"/>
          <w:b w:val="0"/>
          <w:bCs w:val="0"/>
        </w:rPr>
        <w:t xml:space="preserve">also </w:t>
      </w:r>
      <w:r w:rsidRPr="0025439E">
        <w:rPr>
          <w:rStyle w:val="Strong"/>
          <w:b w:val="0"/>
          <w:bCs w:val="0"/>
        </w:rPr>
        <w:t xml:space="preserve">see ITC Response-to-Comments (Comment #6) for </w:t>
      </w:r>
      <w:r w:rsidR="00A24F35">
        <w:rPr>
          <w:rStyle w:val="Strong"/>
          <w:b w:val="0"/>
          <w:bCs w:val="0"/>
        </w:rPr>
        <w:t xml:space="preserve">NSR </w:t>
      </w:r>
      <w:r w:rsidRPr="0025439E">
        <w:rPr>
          <w:rStyle w:val="Strong"/>
          <w:b w:val="0"/>
          <w:bCs w:val="0"/>
        </w:rPr>
        <w:t>Project 294773 (WCC Doc. 5596361)</w:t>
      </w:r>
      <w:r w:rsidR="000D543B" w:rsidRPr="0025439E">
        <w:rPr>
          <w:rStyle w:val="Strong"/>
          <w:b w:val="0"/>
          <w:bCs w:val="0"/>
        </w:rPr>
        <w:t xml:space="preserve">, Technical Review for </w:t>
      </w:r>
      <w:r w:rsidR="00A24F35">
        <w:rPr>
          <w:rStyle w:val="Strong"/>
          <w:b w:val="0"/>
          <w:bCs w:val="0"/>
        </w:rPr>
        <w:t xml:space="preserve">NSR </w:t>
      </w:r>
      <w:r w:rsidR="000D543B" w:rsidRPr="0025439E">
        <w:rPr>
          <w:rStyle w:val="Strong"/>
          <w:b w:val="0"/>
          <w:bCs w:val="0"/>
        </w:rPr>
        <w:t>Project</w:t>
      </w:r>
      <w:r w:rsidR="00A17842" w:rsidRPr="0025439E">
        <w:rPr>
          <w:rStyle w:val="Strong"/>
          <w:b w:val="0"/>
          <w:bCs w:val="0"/>
        </w:rPr>
        <w:t xml:space="preserve"> 219916</w:t>
      </w:r>
      <w:r w:rsidR="000D543B" w:rsidRPr="0025439E">
        <w:rPr>
          <w:rStyle w:val="Strong"/>
          <w:b w:val="0"/>
          <w:bCs w:val="0"/>
        </w:rPr>
        <w:t xml:space="preserve"> (WCC Doc. 4945304)</w:t>
      </w:r>
      <w:r w:rsidR="00A17842" w:rsidRPr="0025439E">
        <w:rPr>
          <w:rStyle w:val="Strong"/>
          <w:b w:val="0"/>
          <w:bCs w:val="0"/>
        </w:rPr>
        <w:t xml:space="preserve"> and Technical Review for </w:t>
      </w:r>
      <w:r w:rsidR="00A24F35">
        <w:rPr>
          <w:rStyle w:val="Strong"/>
          <w:b w:val="0"/>
          <w:bCs w:val="0"/>
        </w:rPr>
        <w:t xml:space="preserve">NSR </w:t>
      </w:r>
      <w:r w:rsidR="00A17842" w:rsidRPr="0025439E">
        <w:rPr>
          <w:rStyle w:val="Strong"/>
          <w:b w:val="0"/>
          <w:bCs w:val="0"/>
        </w:rPr>
        <w:t>Project 235891</w:t>
      </w:r>
      <w:r w:rsidR="003816B0" w:rsidRPr="0025439E">
        <w:rPr>
          <w:rStyle w:val="Strong"/>
          <w:b w:val="0"/>
          <w:bCs w:val="0"/>
        </w:rPr>
        <w:t xml:space="preserve"> </w:t>
      </w:r>
      <w:r w:rsidR="00A17842" w:rsidRPr="0025439E">
        <w:rPr>
          <w:rStyle w:val="Strong"/>
          <w:b w:val="0"/>
          <w:bCs w:val="0"/>
        </w:rPr>
        <w:t>(WCC Doc. 4888296).</w:t>
      </w:r>
      <w:r w:rsidR="006B21C3" w:rsidRPr="0025439E">
        <w:rPr>
          <w:rStyle w:val="Strong"/>
          <w:b w:val="0"/>
          <w:bCs w:val="0"/>
        </w:rPr>
        <w:t xml:space="preserve"> </w:t>
      </w:r>
    </w:p>
    <w:p w14:paraId="4A191B9C" w14:textId="4044FF79" w:rsidR="00933317" w:rsidRPr="0025439E" w:rsidRDefault="00933317" w:rsidP="001970AA">
      <w:pPr>
        <w:rPr>
          <w:rStyle w:val="Strong"/>
        </w:rPr>
      </w:pPr>
    </w:p>
    <w:p w14:paraId="11FD9CD7" w14:textId="31917F8F" w:rsidR="00735EBA" w:rsidRPr="0025439E" w:rsidRDefault="00933317" w:rsidP="001970AA">
      <w:pPr>
        <w:rPr>
          <w:rStyle w:val="Strong"/>
          <w:b w:val="0"/>
          <w:bCs w:val="0"/>
        </w:rPr>
      </w:pPr>
      <w:r w:rsidRPr="0025439E">
        <w:rPr>
          <w:rStyle w:val="Strong"/>
          <w:b w:val="0"/>
          <w:bCs w:val="0"/>
        </w:rPr>
        <w:lastRenderedPageBreak/>
        <w:t>Non-Aggregation of Group Facility B</w:t>
      </w:r>
    </w:p>
    <w:p w14:paraId="32098998" w14:textId="71E20160" w:rsidR="00933317" w:rsidRPr="0025439E" w:rsidRDefault="00933317" w:rsidP="001970AA">
      <w:pPr>
        <w:rPr>
          <w:rStyle w:val="Strong"/>
          <w:b w:val="0"/>
          <w:bCs w:val="0"/>
        </w:rPr>
      </w:pPr>
      <w:r w:rsidRPr="0025439E">
        <w:rPr>
          <w:rStyle w:val="Strong"/>
          <w:b w:val="0"/>
          <w:bCs w:val="0"/>
        </w:rPr>
        <w:t xml:space="preserve">A project aggregation review was conducted for </w:t>
      </w:r>
      <w:r w:rsidR="00735EBA" w:rsidRPr="0025439E">
        <w:rPr>
          <w:rStyle w:val="Strong"/>
          <w:b w:val="0"/>
          <w:bCs w:val="0"/>
        </w:rPr>
        <w:t xml:space="preserve">TCEQ NSR </w:t>
      </w:r>
      <w:r w:rsidRPr="0025439E">
        <w:rPr>
          <w:rStyle w:val="Strong"/>
          <w:b w:val="0"/>
          <w:bCs w:val="0"/>
        </w:rPr>
        <w:t xml:space="preserve">Projects 211610 and 219916 (Issued January 16, 2015) for possible nonattainment circumvents due to requested authorization of Group Facility ID B as a distinct project from Group Facility ID A. In the review, a 2009 EPA action on Project Aggregation was used as a source in combination with information supplied by the Applicant – specifically, construction of Group A Facilities had commenced during the time Group B Facilities were proposed, the nature of customer contracts for for-hire bulk marine terminals, the overall project scope, and it was concluded that project aggregation was unwarranted. </w:t>
      </w:r>
    </w:p>
    <w:p w14:paraId="01DA537C" w14:textId="2FC17631" w:rsidR="00933317" w:rsidRPr="0025439E" w:rsidRDefault="00933317" w:rsidP="001970AA">
      <w:pPr>
        <w:rPr>
          <w:rStyle w:val="Strong"/>
          <w:b w:val="0"/>
          <w:bCs w:val="0"/>
        </w:rPr>
      </w:pPr>
    </w:p>
    <w:p w14:paraId="2BE00DD8" w14:textId="535200B0" w:rsidR="00933317" w:rsidRPr="0025439E" w:rsidRDefault="00A516E5" w:rsidP="001970AA">
      <w:pPr>
        <w:rPr>
          <w:rStyle w:val="Strong"/>
          <w:b w:val="0"/>
          <w:bCs w:val="0"/>
        </w:rPr>
      </w:pPr>
      <w:r w:rsidRPr="0025439E">
        <w:rPr>
          <w:rStyle w:val="Strong"/>
          <w:b w:val="0"/>
          <w:bCs w:val="0"/>
        </w:rPr>
        <w:t>Specifically, t</w:t>
      </w:r>
      <w:r w:rsidR="00735EBA" w:rsidRPr="0025439E">
        <w:rPr>
          <w:rStyle w:val="Strong"/>
          <w:b w:val="0"/>
          <w:bCs w:val="0"/>
        </w:rPr>
        <w:t xml:space="preserve">he determination was based on the EPA’s interpretation </w:t>
      </w:r>
      <w:r w:rsidRPr="0025439E">
        <w:rPr>
          <w:rStyle w:val="Strong"/>
          <w:b w:val="0"/>
          <w:bCs w:val="0"/>
        </w:rPr>
        <w:t xml:space="preserve">in the 2009 action </w:t>
      </w:r>
      <w:r w:rsidR="00735EBA" w:rsidRPr="0025439E">
        <w:rPr>
          <w:rStyle w:val="Strong"/>
          <w:b w:val="0"/>
          <w:bCs w:val="0"/>
        </w:rPr>
        <w:t>as follows.</w:t>
      </w:r>
      <w:r w:rsidR="00933317" w:rsidRPr="0025439E">
        <w:rPr>
          <w:rStyle w:val="Strong"/>
          <w:b w:val="0"/>
          <w:bCs w:val="0"/>
        </w:rPr>
        <w:t xml:space="preserve"> “</w:t>
      </w:r>
      <w:r w:rsidR="00933317" w:rsidRPr="0025439E">
        <w:rPr>
          <w:rStyle w:val="Strong"/>
          <w:b w:val="0"/>
          <w:bCs w:val="0"/>
          <w:i/>
          <w:iCs/>
        </w:rPr>
        <w:t>When activities are undertaken three or more years apart, there is less of a basis that they have a substantial technical or economic relationship because the activities are typically part of entirely different planning and capital funding cycles. The fact that the earlier activities were constructed and operated independently for such a long period of time tends to support a determination that the latter activities are technically and economically unrelated and independent from the other earlier constructed activities. Even if activities are related, once three years have passed, it is difficult to argue that they are substantially related and constitute a single project. We note that the selection for a 3-year timeframe is long enough to ensure a reasonable likelihood that the presumption if independence will be valid but is short enough to maintain a useful separation between relevant construction cycles, consistent with industry practice</w:t>
      </w:r>
      <w:r w:rsidR="00933317" w:rsidRPr="0025439E">
        <w:rPr>
          <w:rStyle w:val="Strong"/>
          <w:b w:val="0"/>
          <w:bCs w:val="0"/>
        </w:rPr>
        <w:t xml:space="preserve">”. </w:t>
      </w:r>
    </w:p>
    <w:p w14:paraId="6544D6F4" w14:textId="1CF73FA3" w:rsidR="00933317" w:rsidRPr="0025439E" w:rsidRDefault="00933317" w:rsidP="001970AA">
      <w:pPr>
        <w:rPr>
          <w:rStyle w:val="Strong"/>
          <w:b w:val="0"/>
          <w:bCs w:val="0"/>
        </w:rPr>
      </w:pPr>
    </w:p>
    <w:p w14:paraId="209C41ED" w14:textId="69479393" w:rsidR="00735EBA" w:rsidRPr="0025439E" w:rsidRDefault="00933317" w:rsidP="001970AA">
      <w:pPr>
        <w:rPr>
          <w:rStyle w:val="Strong"/>
          <w:b w:val="0"/>
          <w:bCs w:val="0"/>
        </w:rPr>
      </w:pPr>
      <w:r w:rsidRPr="0025439E">
        <w:rPr>
          <w:rStyle w:val="Strong"/>
          <w:b w:val="0"/>
          <w:bCs w:val="0"/>
        </w:rPr>
        <w:t>Non-Aggregation of Group Facility C</w:t>
      </w:r>
    </w:p>
    <w:p w14:paraId="191B2179" w14:textId="77777777" w:rsidR="00735EBA" w:rsidRPr="0025439E" w:rsidRDefault="00735EBA" w:rsidP="001970AA">
      <w:pPr>
        <w:rPr>
          <w:rStyle w:val="Strong"/>
          <w:b w:val="0"/>
          <w:bCs w:val="0"/>
        </w:rPr>
      </w:pPr>
    </w:p>
    <w:p w14:paraId="54510065" w14:textId="7D2F7BFD" w:rsidR="00933317" w:rsidRPr="0025439E" w:rsidRDefault="00933317" w:rsidP="001970AA">
      <w:pPr>
        <w:rPr>
          <w:rStyle w:val="Strong"/>
          <w:b w:val="0"/>
          <w:bCs w:val="0"/>
        </w:rPr>
      </w:pPr>
      <w:r w:rsidRPr="0025439E">
        <w:rPr>
          <w:rStyle w:val="Strong"/>
          <w:b w:val="0"/>
          <w:bCs w:val="0"/>
        </w:rPr>
        <w:t xml:space="preserve">A Project Aggregation review was conducted for </w:t>
      </w:r>
      <w:r w:rsidR="00CF2542" w:rsidRPr="0025439E">
        <w:rPr>
          <w:rStyle w:val="Strong"/>
          <w:b w:val="0"/>
          <w:bCs w:val="0"/>
        </w:rPr>
        <w:t xml:space="preserve">TCEQ NSR </w:t>
      </w:r>
      <w:r w:rsidRPr="0025439E">
        <w:rPr>
          <w:rStyle w:val="Strong"/>
          <w:b w:val="0"/>
          <w:bCs w:val="0"/>
        </w:rPr>
        <w:t xml:space="preserve">Project 243313 (Issued July 11, 2017) </w:t>
      </w:r>
      <w:r w:rsidR="00626220" w:rsidRPr="0025439E">
        <w:rPr>
          <w:rStyle w:val="Strong"/>
          <w:b w:val="0"/>
          <w:bCs w:val="0"/>
        </w:rPr>
        <w:t>due to possible nonattainment circumvention in regard to project increases of VOC emissions from the proposed amendment. In Project 243313, the Applicant proposed to authorize an expansion of storage capacity, including new storage tanks and associated piping and fugitive emissions (Known as Group Facility C).</w:t>
      </w:r>
    </w:p>
    <w:p w14:paraId="1D8E0EE1" w14:textId="6DDD93DE" w:rsidR="00626220" w:rsidRPr="0025439E" w:rsidRDefault="00626220" w:rsidP="001970AA">
      <w:pPr>
        <w:rPr>
          <w:rStyle w:val="Strong"/>
          <w:b w:val="0"/>
          <w:bCs w:val="0"/>
        </w:rPr>
      </w:pPr>
    </w:p>
    <w:p w14:paraId="687EAC73" w14:textId="7F714A70" w:rsidR="00626220" w:rsidRPr="0025439E" w:rsidRDefault="00626220" w:rsidP="001970AA">
      <w:pPr>
        <w:rPr>
          <w:rStyle w:val="Strong"/>
          <w:b w:val="0"/>
          <w:bCs w:val="0"/>
        </w:rPr>
      </w:pPr>
      <w:r w:rsidRPr="0025439E">
        <w:rPr>
          <w:rStyle w:val="Strong"/>
          <w:b w:val="0"/>
          <w:bCs w:val="0"/>
        </w:rPr>
        <w:t xml:space="preserve">A case-by-case aggregation review was conducted due to possible nonattainment circumvention concerns. The TCEQ used information provided by the Applicant to determine technical and economical relatedness of the projects. </w:t>
      </w:r>
    </w:p>
    <w:p w14:paraId="6EEEE33D" w14:textId="5D907E83" w:rsidR="00626220" w:rsidRPr="0025439E" w:rsidRDefault="00626220" w:rsidP="001970AA">
      <w:pPr>
        <w:rPr>
          <w:rStyle w:val="Strong"/>
          <w:b w:val="0"/>
          <w:bCs w:val="0"/>
        </w:rPr>
      </w:pPr>
    </w:p>
    <w:p w14:paraId="0B526267" w14:textId="6150F80A" w:rsidR="00626220" w:rsidRDefault="00626220" w:rsidP="001970AA">
      <w:pPr>
        <w:rPr>
          <w:rStyle w:val="Strong"/>
          <w:b w:val="0"/>
          <w:bCs w:val="0"/>
        </w:rPr>
      </w:pPr>
      <w:r w:rsidRPr="0025439E">
        <w:rPr>
          <w:rStyle w:val="Strong"/>
          <w:b w:val="0"/>
          <w:bCs w:val="0"/>
        </w:rPr>
        <w:t>T</w:t>
      </w:r>
      <w:r w:rsidR="00151BD5" w:rsidRPr="0025439E">
        <w:rPr>
          <w:rStyle w:val="Strong"/>
          <w:b w:val="0"/>
          <w:bCs w:val="0"/>
        </w:rPr>
        <w:t>CEQ</w:t>
      </w:r>
      <w:r w:rsidRPr="0025439E">
        <w:rPr>
          <w:rStyle w:val="Strong"/>
          <w:b w:val="0"/>
          <w:bCs w:val="0"/>
        </w:rPr>
        <w:t xml:space="preserve"> reviewed contemporaneous documents provided by ITC, on the two projects (Group Facility B and C), which was generated during the 2013-2016 time period, including: agreements with terminal customers, engineering firms and insurance underwriters, transactions of ITC’s board of directors; construction progress and start-up notifications provided to the TCEQ; and ITC’s prior statements to TCEQ concerning its plans for operation. Considering the overall timespan of a construction project (from initial “open season” discussions with customers through start of operations of new facilities), there was no indication that ITC had improperly avoided major NSR review through non-aggregation. All Group B facilities have been authorized in January 2015 will have started operations before any actual construction work began on the Group C facilities. </w:t>
      </w:r>
    </w:p>
    <w:p w14:paraId="7A4885A0" w14:textId="34670DDA" w:rsidR="00D02200" w:rsidRDefault="00D02200" w:rsidP="001970AA">
      <w:pPr>
        <w:rPr>
          <w:rStyle w:val="Strong"/>
          <w:b w:val="0"/>
          <w:bCs w:val="0"/>
        </w:rPr>
      </w:pPr>
    </w:p>
    <w:p w14:paraId="3CAB477D" w14:textId="127FEBFE" w:rsidR="00D02200" w:rsidRPr="009E36BC" w:rsidRDefault="008D1DDF" w:rsidP="00D02200">
      <w:pPr>
        <w:rPr>
          <w:rStyle w:val="Strong"/>
          <w:b w:val="0"/>
          <w:bCs w:val="0"/>
        </w:rPr>
      </w:pPr>
      <w:r w:rsidRPr="009E36BC">
        <w:rPr>
          <w:rStyle w:val="Strong"/>
          <w:b w:val="0"/>
          <w:bCs w:val="0"/>
        </w:rPr>
        <w:t xml:space="preserve">Emission summary </w:t>
      </w:r>
      <w:r w:rsidR="00622262" w:rsidRPr="009E36BC">
        <w:rPr>
          <w:rStyle w:val="Strong"/>
          <w:b w:val="0"/>
          <w:bCs w:val="0"/>
        </w:rPr>
        <w:t xml:space="preserve">for </w:t>
      </w:r>
      <w:r w:rsidR="00237EA3" w:rsidRPr="009E36BC">
        <w:rPr>
          <w:rStyle w:val="Strong"/>
          <w:b w:val="0"/>
          <w:bCs w:val="0"/>
        </w:rPr>
        <w:t>plantwide</w:t>
      </w:r>
      <w:r w:rsidR="00622262" w:rsidRPr="009E36BC">
        <w:rPr>
          <w:rStyle w:val="Strong"/>
          <w:b w:val="0"/>
          <w:bCs w:val="0"/>
        </w:rPr>
        <w:t xml:space="preserve"> emissions</w:t>
      </w:r>
      <w:r w:rsidR="00237EA3" w:rsidRPr="009E36BC">
        <w:rPr>
          <w:rStyle w:val="Strong"/>
          <w:b w:val="0"/>
          <w:bCs w:val="0"/>
        </w:rPr>
        <w:t xml:space="preserve"> and for each of the three facility groups (Group IDs A, B and C) authorized by this permit </w:t>
      </w:r>
      <w:r w:rsidR="0046642A" w:rsidRPr="009E36BC">
        <w:rPr>
          <w:rStyle w:val="Strong"/>
          <w:b w:val="0"/>
          <w:bCs w:val="0"/>
        </w:rPr>
        <w:t xml:space="preserve">is described on pages 1-3 of </w:t>
      </w:r>
      <w:r w:rsidR="00622262" w:rsidRPr="009E36BC">
        <w:rPr>
          <w:rStyle w:val="Strong"/>
          <w:b w:val="0"/>
          <w:bCs w:val="0"/>
        </w:rPr>
        <w:t>the technical review document (WCC content ID 6557967)</w:t>
      </w:r>
      <w:r w:rsidR="0032662C" w:rsidRPr="009E36BC">
        <w:rPr>
          <w:rStyle w:val="Strong"/>
          <w:b w:val="0"/>
          <w:bCs w:val="0"/>
        </w:rPr>
        <w:t xml:space="preserve">. </w:t>
      </w:r>
      <w:r w:rsidR="00D02200" w:rsidRPr="009E36BC">
        <w:rPr>
          <w:rStyle w:val="Strong"/>
          <w:b w:val="0"/>
          <w:bCs w:val="0"/>
        </w:rPr>
        <w:t xml:space="preserve">There is an emissions cap for each Tank Group (A, B, C) and Controlled Routine/MSS Activities. As each Group Facility ID contains different EPNs, each Group is bounded by the emission caps found on the MAERT along with Special Condition No. 2. </w:t>
      </w:r>
    </w:p>
    <w:p w14:paraId="11E251F1" w14:textId="77777777" w:rsidR="00D02200" w:rsidRPr="009E36BC" w:rsidRDefault="00D02200" w:rsidP="00D02200">
      <w:pPr>
        <w:rPr>
          <w:rStyle w:val="Strong"/>
          <w:b w:val="0"/>
          <w:bCs w:val="0"/>
        </w:rPr>
      </w:pPr>
    </w:p>
    <w:p w14:paraId="326E41A0" w14:textId="77777777" w:rsidR="00D02200" w:rsidRPr="009E36BC" w:rsidRDefault="00D02200" w:rsidP="00D02200">
      <w:pPr>
        <w:rPr>
          <w:rStyle w:val="Strong"/>
          <w:b w:val="0"/>
          <w:bCs w:val="0"/>
        </w:rPr>
      </w:pPr>
      <w:r w:rsidRPr="009E36BC">
        <w:rPr>
          <w:rStyle w:val="Strong"/>
          <w:b w:val="0"/>
          <w:bCs w:val="0"/>
        </w:rPr>
        <w:t xml:space="preserve">For Groups A and B facilities, the emissions cap located in Special Condition No. 2 is the total of the Storage Tank Emissions Cap along with the respective Fugitive, Uncontrolled Loading, Uncontrolled Roof Landing, Hose Venting, Hose Draining, Uncontrolled MSS, Controlled Routine Activities (Loading, Hose </w:t>
      </w:r>
      <w:r w:rsidRPr="009E36BC">
        <w:rPr>
          <w:rStyle w:val="Strong"/>
          <w:b w:val="0"/>
          <w:bCs w:val="0"/>
        </w:rPr>
        <w:lastRenderedPageBreak/>
        <w:t xml:space="preserve">Venting, Roof Landing) and Controlled MSS Cap. This cap was included to ensure that each Group would not be above major source threshold and to prevent circumvention of nonattainment review applicability. </w:t>
      </w:r>
    </w:p>
    <w:p w14:paraId="4AD85E02" w14:textId="77777777" w:rsidR="00D02200" w:rsidRPr="009E36BC" w:rsidRDefault="00D02200" w:rsidP="00D02200">
      <w:pPr>
        <w:rPr>
          <w:rStyle w:val="Strong"/>
          <w:b w:val="0"/>
          <w:bCs w:val="0"/>
        </w:rPr>
      </w:pPr>
    </w:p>
    <w:p w14:paraId="699B461F" w14:textId="0D35165F" w:rsidR="00D02200" w:rsidRPr="009E36BC" w:rsidRDefault="00D02200" w:rsidP="00D02200">
      <w:pPr>
        <w:rPr>
          <w:rStyle w:val="Strong"/>
          <w:b w:val="0"/>
          <w:bCs w:val="0"/>
        </w:rPr>
      </w:pPr>
      <w:r w:rsidRPr="009E36BC">
        <w:rPr>
          <w:rStyle w:val="Strong"/>
          <w:b w:val="0"/>
          <w:bCs w:val="0"/>
        </w:rPr>
        <w:t xml:space="preserve">For Group C facilities, the emissions cap located in Special Condition No. 2 is the total of the Storage Tank Emissions Cap along with the respective Fugitive, Uncontrolled Loading, Uncontrolled Roof Landing, Hose Venting, Hose Draining, Controlled (Loading, Hose Venting, Roof Landing, MSS) Activities Cap, and Uncontrolled MSS Cap. </w:t>
      </w:r>
    </w:p>
    <w:p w14:paraId="48A7E2BF" w14:textId="77777777" w:rsidR="001E52B1" w:rsidRPr="009E36BC" w:rsidRDefault="001E52B1" w:rsidP="00D02200">
      <w:pPr>
        <w:rPr>
          <w:rStyle w:val="Strong"/>
          <w:b w:val="0"/>
          <w:bCs w:val="0"/>
        </w:rPr>
      </w:pPr>
    </w:p>
    <w:p w14:paraId="04DDF379" w14:textId="77777777" w:rsidR="00D02200" w:rsidRPr="009E36BC" w:rsidRDefault="00D02200" w:rsidP="00D02200">
      <w:pPr>
        <w:rPr>
          <w:rStyle w:val="Strong"/>
          <w:b w:val="0"/>
          <w:bCs w:val="0"/>
        </w:rPr>
      </w:pPr>
      <w:r w:rsidRPr="009E36BC">
        <w:rPr>
          <w:rStyle w:val="Strong"/>
          <w:b w:val="0"/>
          <w:bCs w:val="0"/>
        </w:rPr>
        <w:t>As all Storage Tanks are Internal Floating Roof (IFR) tanks, all tank EPNs represent controlled emissions. For Group Facilities A and B, EPN VC-001, VC-002, VC-003, and FL-001 represent the controlled emissions cap for loading, hose venting, wastewater system, and MSS activities. There is also a Controlled MSS Emission Cap (EPNs MSS-CONT-A and MSS-CONT-B). For Group Facility C, EPN LOAD-CONT-C and MSS-CONT-C represent emissions routed to control devices.</w:t>
      </w:r>
    </w:p>
    <w:p w14:paraId="7F80FDA9" w14:textId="77777777" w:rsidR="00D02200" w:rsidRPr="009E36BC" w:rsidRDefault="00D02200" w:rsidP="00D02200">
      <w:pPr>
        <w:rPr>
          <w:rStyle w:val="Strong"/>
          <w:b w:val="0"/>
          <w:bCs w:val="0"/>
        </w:rPr>
      </w:pPr>
    </w:p>
    <w:p w14:paraId="0C83CE59" w14:textId="48A6A511" w:rsidR="00D02200" w:rsidRPr="009E36BC" w:rsidRDefault="00EB0E1B" w:rsidP="00D02200">
      <w:pPr>
        <w:rPr>
          <w:rStyle w:val="Strong"/>
          <w:b w:val="0"/>
          <w:bCs w:val="0"/>
        </w:rPr>
      </w:pPr>
      <w:r w:rsidRPr="009E36BC">
        <w:rPr>
          <w:rStyle w:val="Strong"/>
          <w:b w:val="0"/>
          <w:bCs w:val="0"/>
        </w:rPr>
        <w:t xml:space="preserve">Monitoring requirements for the VCUs are </w:t>
      </w:r>
      <w:r w:rsidR="00F83226" w:rsidRPr="009E36BC">
        <w:rPr>
          <w:rStyle w:val="Strong"/>
          <w:b w:val="0"/>
          <w:bCs w:val="0"/>
        </w:rPr>
        <w:t>describ</w:t>
      </w:r>
      <w:r w:rsidRPr="009E36BC">
        <w:rPr>
          <w:rStyle w:val="Strong"/>
          <w:b w:val="0"/>
          <w:bCs w:val="0"/>
        </w:rPr>
        <w:t xml:space="preserve">ed on page 6 of the </w:t>
      </w:r>
      <w:r w:rsidR="0032662C" w:rsidRPr="009E36BC">
        <w:rPr>
          <w:rStyle w:val="Strong"/>
          <w:b w:val="0"/>
          <w:bCs w:val="0"/>
        </w:rPr>
        <w:t xml:space="preserve">technical review document (WCC content ID 6557967). </w:t>
      </w:r>
      <w:r w:rsidR="00D02200" w:rsidRPr="009E36BC">
        <w:rPr>
          <w:rStyle w:val="Strong"/>
          <w:b w:val="0"/>
          <w:bCs w:val="0"/>
        </w:rPr>
        <w:t xml:space="preserve">The Vapor Combustors (VCUs) are used to control a variety of routine and MSS related sources. This includes emissions from the IFR Tanks (working/breathing emissions, landing events), marine and land-based loading, hose venting and draining, Wastewater Collection, and MSS activities, as applicable. The monthly emissions from VCUs are the summation of the calculated emissions from these controlled activities utilizing the appropriate control efficiency as part of Special Condition No. 46.A(5). </w:t>
      </w:r>
    </w:p>
    <w:p w14:paraId="5D20C430" w14:textId="4B707D4A" w:rsidR="009C12E9" w:rsidRDefault="009C12E9" w:rsidP="00DE1E5C">
      <w:pPr>
        <w:rPr>
          <w:rStyle w:val="Strong"/>
          <w:b w:val="0"/>
          <w:bCs w:val="0"/>
        </w:rPr>
      </w:pPr>
    </w:p>
    <w:p w14:paraId="358355AD" w14:textId="4D21AA27" w:rsidR="00713630" w:rsidRDefault="00713630" w:rsidP="00284A27">
      <w:pPr>
        <w:rPr>
          <w:rStyle w:val="Strong"/>
          <w:b w:val="0"/>
          <w:bCs w:val="0"/>
        </w:rPr>
      </w:pPr>
      <w:r w:rsidRPr="00725612">
        <w:rPr>
          <w:rStyle w:val="Strong"/>
        </w:rPr>
        <w:t>TCEQ R</w:t>
      </w:r>
      <w:r>
        <w:rPr>
          <w:rStyle w:val="Strong"/>
        </w:rPr>
        <w:t xml:space="preserve">esponse to EPA Objection 1b: </w:t>
      </w:r>
      <w:r w:rsidRPr="00713630">
        <w:rPr>
          <w:rStyle w:val="Strong"/>
          <w:b w:val="0"/>
          <w:bCs w:val="0"/>
        </w:rPr>
        <w:t>In regard to</w:t>
      </w:r>
      <w:r>
        <w:rPr>
          <w:rStyle w:val="Strong"/>
          <w:b w:val="0"/>
          <w:bCs w:val="0"/>
        </w:rPr>
        <w:t xml:space="preserve"> NSR </w:t>
      </w:r>
      <w:r w:rsidRPr="00DE1E5C">
        <w:rPr>
          <w:rStyle w:val="Strong"/>
          <w:b w:val="0"/>
          <w:bCs w:val="0"/>
        </w:rPr>
        <w:t>Permit No. 95754</w:t>
      </w:r>
      <w:r>
        <w:rPr>
          <w:rStyle w:val="Strong"/>
          <w:b w:val="0"/>
          <w:bCs w:val="0"/>
        </w:rPr>
        <w:t>,</w:t>
      </w:r>
      <w:r w:rsidR="00284A27" w:rsidRPr="00284A27">
        <w:t xml:space="preserve"> </w:t>
      </w:r>
      <w:r w:rsidR="00284A27" w:rsidRPr="00284A27">
        <w:rPr>
          <w:rStyle w:val="Strong"/>
          <w:b w:val="0"/>
          <w:bCs w:val="0"/>
        </w:rPr>
        <w:t>SC 46 for determining compliance with the emission limits in SC 2</w:t>
      </w:r>
      <w:r w:rsidR="00284A27">
        <w:rPr>
          <w:rStyle w:val="Strong"/>
          <w:b w:val="0"/>
          <w:bCs w:val="0"/>
        </w:rPr>
        <w:t>, the ED notes SC</w:t>
      </w:r>
      <w:r w:rsidR="00284A27" w:rsidRPr="00284A27">
        <w:rPr>
          <w:rStyle w:val="Strong"/>
          <w:b w:val="0"/>
          <w:bCs w:val="0"/>
        </w:rPr>
        <w:t xml:space="preserve"> 46 establishes the emission calculation methodologies upon which </w:t>
      </w:r>
      <w:r w:rsidR="00284A27">
        <w:rPr>
          <w:rStyle w:val="Strong"/>
          <w:b w:val="0"/>
          <w:bCs w:val="0"/>
        </w:rPr>
        <w:t>the permit holder</w:t>
      </w:r>
      <w:r w:rsidR="00284A27" w:rsidRPr="00284A27">
        <w:rPr>
          <w:rStyle w:val="Strong"/>
          <w:b w:val="0"/>
          <w:bCs w:val="0"/>
        </w:rPr>
        <w:t xml:space="preserve"> is required to demonstrate compliance with the</w:t>
      </w:r>
      <w:r w:rsidR="00284A27">
        <w:rPr>
          <w:rStyle w:val="Strong"/>
          <w:b w:val="0"/>
          <w:bCs w:val="0"/>
        </w:rPr>
        <w:t xml:space="preserve"> </w:t>
      </w:r>
      <w:r w:rsidR="00284A27" w:rsidRPr="00284A27">
        <w:rPr>
          <w:rStyle w:val="Strong"/>
          <w:b w:val="0"/>
          <w:bCs w:val="0"/>
        </w:rPr>
        <w:t>Maximum Allowable Emission Rate Table (MAERT). The phrase “potential to emit” is not intended to refer to anything other than the MAERT and as defined in accordance with Title 30 Texas Administrative Code Chapter 122.10(20).</w:t>
      </w:r>
    </w:p>
    <w:p w14:paraId="1F897C2D" w14:textId="77777777" w:rsidR="004F5DC6" w:rsidRDefault="004F5DC6" w:rsidP="00284A27">
      <w:pPr>
        <w:rPr>
          <w:rStyle w:val="Strong"/>
          <w:b w:val="0"/>
          <w:bCs w:val="0"/>
        </w:rPr>
      </w:pPr>
    </w:p>
    <w:p w14:paraId="785AE259" w14:textId="372250D5" w:rsidR="009C12E9" w:rsidRDefault="007F538B" w:rsidP="00DE1E5C">
      <w:pPr>
        <w:rPr>
          <w:rStyle w:val="Strong"/>
          <w:b w:val="0"/>
          <w:bCs w:val="0"/>
        </w:rPr>
      </w:pPr>
      <w:r w:rsidRPr="00725612">
        <w:rPr>
          <w:rStyle w:val="Strong"/>
        </w:rPr>
        <w:t>TCEQ R</w:t>
      </w:r>
      <w:r>
        <w:rPr>
          <w:rStyle w:val="Strong"/>
        </w:rPr>
        <w:t xml:space="preserve">esponse to EPA Objection 1c: </w:t>
      </w:r>
      <w:r w:rsidRPr="00713630">
        <w:rPr>
          <w:rStyle w:val="Strong"/>
          <w:b w:val="0"/>
          <w:bCs w:val="0"/>
        </w:rPr>
        <w:t>In regard</w:t>
      </w:r>
      <w:r>
        <w:rPr>
          <w:rStyle w:val="Strong"/>
          <w:b w:val="0"/>
          <w:bCs w:val="0"/>
        </w:rPr>
        <w:t xml:space="preserve"> to locating information related to storage tank emissions referenced in SC 11, the ED notes </w:t>
      </w:r>
      <w:r w:rsidR="007F344C">
        <w:rPr>
          <w:rStyle w:val="Strong"/>
          <w:b w:val="0"/>
          <w:bCs w:val="0"/>
        </w:rPr>
        <w:t xml:space="preserve">all </w:t>
      </w:r>
      <w:r>
        <w:rPr>
          <w:rStyle w:val="Strong"/>
          <w:b w:val="0"/>
          <w:bCs w:val="0"/>
        </w:rPr>
        <w:t xml:space="preserve">publicly accessible files </w:t>
      </w:r>
      <w:r w:rsidR="006C0243">
        <w:rPr>
          <w:rStyle w:val="Strong"/>
          <w:b w:val="0"/>
          <w:bCs w:val="0"/>
        </w:rPr>
        <w:t>associated with the April 16, 2021</w:t>
      </w:r>
      <w:r w:rsidR="007F344C">
        <w:rPr>
          <w:rStyle w:val="Strong"/>
          <w:b w:val="0"/>
          <w:bCs w:val="0"/>
        </w:rPr>
        <w:t>,</w:t>
      </w:r>
      <w:r w:rsidR="006C0243">
        <w:rPr>
          <w:rStyle w:val="Strong"/>
          <w:b w:val="0"/>
          <w:bCs w:val="0"/>
        </w:rPr>
        <w:t xml:space="preserve"> issuance of NSR </w:t>
      </w:r>
      <w:r w:rsidR="006C0243" w:rsidRPr="00DE1E5C">
        <w:rPr>
          <w:rStyle w:val="Strong"/>
          <w:b w:val="0"/>
          <w:bCs w:val="0"/>
        </w:rPr>
        <w:t>Permit No. 95754</w:t>
      </w:r>
      <w:r w:rsidR="006C0243">
        <w:rPr>
          <w:rStyle w:val="Strong"/>
          <w:b w:val="0"/>
          <w:bCs w:val="0"/>
        </w:rPr>
        <w:t xml:space="preserve"> are available </w:t>
      </w:r>
      <w:r w:rsidR="006C0243" w:rsidRPr="006C0243">
        <w:rPr>
          <w:rStyle w:val="Strong"/>
          <w:b w:val="0"/>
          <w:bCs w:val="0"/>
        </w:rPr>
        <w:t>TCEQ Central File Room Online</w:t>
      </w:r>
      <w:r w:rsidR="007F344C">
        <w:rPr>
          <w:rStyle w:val="Strong"/>
          <w:b w:val="0"/>
          <w:bCs w:val="0"/>
        </w:rPr>
        <w:t>. These records</w:t>
      </w:r>
      <w:r w:rsidR="006C0243">
        <w:rPr>
          <w:rStyle w:val="Strong"/>
          <w:b w:val="0"/>
          <w:bCs w:val="0"/>
        </w:rPr>
        <w:t xml:space="preserve"> may be accessed by selecting NSR permit records database and entering </w:t>
      </w:r>
      <w:r w:rsidR="007F344C" w:rsidRPr="00DE1E5C">
        <w:rPr>
          <w:rStyle w:val="Strong"/>
          <w:b w:val="0"/>
          <w:bCs w:val="0"/>
        </w:rPr>
        <w:t>95754</w:t>
      </w:r>
      <w:r w:rsidR="007F344C">
        <w:rPr>
          <w:rStyle w:val="Strong"/>
          <w:b w:val="0"/>
          <w:bCs w:val="0"/>
        </w:rPr>
        <w:t xml:space="preserve"> as primary ID </w:t>
      </w:r>
      <w:r w:rsidR="00B16C9F">
        <w:rPr>
          <w:rStyle w:val="Strong"/>
          <w:b w:val="0"/>
          <w:bCs w:val="0"/>
        </w:rPr>
        <w:t xml:space="preserve">(same as NSR permit number) </w:t>
      </w:r>
      <w:r w:rsidR="007F344C">
        <w:rPr>
          <w:rStyle w:val="Strong"/>
          <w:b w:val="0"/>
          <w:bCs w:val="0"/>
        </w:rPr>
        <w:t xml:space="preserve">and </w:t>
      </w:r>
      <w:r w:rsidR="007F344C" w:rsidRPr="007F344C">
        <w:rPr>
          <w:rStyle w:val="Strong"/>
          <w:b w:val="0"/>
          <w:bCs w:val="0"/>
        </w:rPr>
        <w:t>294773</w:t>
      </w:r>
      <w:r w:rsidR="007F344C">
        <w:rPr>
          <w:rStyle w:val="Strong"/>
          <w:b w:val="0"/>
          <w:bCs w:val="0"/>
        </w:rPr>
        <w:t xml:space="preserve"> as secondary ID</w:t>
      </w:r>
      <w:r w:rsidR="00B16C9F">
        <w:rPr>
          <w:rStyle w:val="Strong"/>
          <w:b w:val="0"/>
          <w:bCs w:val="0"/>
        </w:rPr>
        <w:t xml:space="preserve"> (same as NSR project number)</w:t>
      </w:r>
      <w:r w:rsidR="007F344C">
        <w:rPr>
          <w:rStyle w:val="Strong"/>
          <w:b w:val="0"/>
          <w:bCs w:val="0"/>
        </w:rPr>
        <w:t xml:space="preserve">. </w:t>
      </w:r>
    </w:p>
    <w:p w14:paraId="4A5D5A27" w14:textId="77777777" w:rsidR="00A14F1D" w:rsidRDefault="00A14F1D" w:rsidP="00DE1E5C">
      <w:pPr>
        <w:rPr>
          <w:rStyle w:val="Strong"/>
          <w:b w:val="0"/>
          <w:bCs w:val="0"/>
        </w:rPr>
      </w:pPr>
    </w:p>
    <w:p w14:paraId="3677F36D" w14:textId="7A81335E" w:rsidR="007F538B" w:rsidRDefault="00A14F1D" w:rsidP="00DE1E5C">
      <w:pPr>
        <w:rPr>
          <w:rStyle w:val="Strong"/>
          <w:b w:val="0"/>
          <w:bCs w:val="0"/>
        </w:rPr>
      </w:pPr>
      <w:r w:rsidRPr="00A14F1D">
        <w:rPr>
          <w:rStyle w:val="Strong"/>
          <w:b w:val="0"/>
          <w:bCs w:val="0"/>
        </w:rPr>
        <w:t xml:space="preserve">Regarding EPA’s </w:t>
      </w:r>
      <w:r w:rsidR="00D33E06">
        <w:rPr>
          <w:rStyle w:val="Strong"/>
          <w:b w:val="0"/>
          <w:bCs w:val="0"/>
        </w:rPr>
        <w:t>request to provide</w:t>
      </w:r>
      <w:r w:rsidRPr="00A14F1D">
        <w:rPr>
          <w:rStyle w:val="Strong"/>
          <w:b w:val="0"/>
          <w:bCs w:val="0"/>
        </w:rPr>
        <w:t xml:space="preserve"> more detail on</w:t>
      </w:r>
      <w:r w:rsidR="00FF48A8">
        <w:rPr>
          <w:rStyle w:val="Strong"/>
          <w:b w:val="0"/>
          <w:bCs w:val="0"/>
        </w:rPr>
        <w:t xml:space="preserve"> </w:t>
      </w:r>
      <w:r w:rsidRPr="00A14F1D">
        <w:rPr>
          <w:rStyle w:val="Strong"/>
          <w:b w:val="0"/>
          <w:bCs w:val="0"/>
        </w:rPr>
        <w:t xml:space="preserve"> monitoring and recordkeeping requirement to ensure compliance with emission caps</w:t>
      </w:r>
      <w:r w:rsidR="00D33E06">
        <w:rPr>
          <w:rStyle w:val="Strong"/>
          <w:b w:val="0"/>
          <w:bCs w:val="0"/>
        </w:rPr>
        <w:t>, please refer to</w:t>
      </w:r>
      <w:r w:rsidRPr="00A14F1D">
        <w:rPr>
          <w:rStyle w:val="Strong"/>
          <w:b w:val="0"/>
          <w:bCs w:val="0"/>
        </w:rPr>
        <w:t xml:space="preserve"> </w:t>
      </w:r>
      <w:r w:rsidR="00D33E06">
        <w:rPr>
          <w:rStyle w:val="Strong"/>
          <w:b w:val="0"/>
          <w:bCs w:val="0"/>
        </w:rPr>
        <w:t xml:space="preserve">NSR Permit </w:t>
      </w:r>
      <w:r w:rsidR="00D33E06" w:rsidRPr="00DE1E5C">
        <w:rPr>
          <w:rStyle w:val="Strong"/>
          <w:b w:val="0"/>
          <w:bCs w:val="0"/>
        </w:rPr>
        <w:t>95754</w:t>
      </w:r>
      <w:r w:rsidR="00D33E06">
        <w:rPr>
          <w:rStyle w:val="Strong"/>
          <w:b w:val="0"/>
          <w:bCs w:val="0"/>
        </w:rPr>
        <w:t xml:space="preserve">, </w:t>
      </w:r>
      <w:r w:rsidRPr="00A14F1D">
        <w:rPr>
          <w:rStyle w:val="Strong"/>
          <w:b w:val="0"/>
          <w:bCs w:val="0"/>
        </w:rPr>
        <w:t>SC 11 (</w:t>
      </w:r>
      <w:r w:rsidR="00D33E06">
        <w:rPr>
          <w:rStyle w:val="Strong"/>
          <w:b w:val="0"/>
          <w:bCs w:val="0"/>
        </w:rPr>
        <w:t xml:space="preserve">for </w:t>
      </w:r>
      <w:r w:rsidRPr="00A14F1D">
        <w:rPr>
          <w:rStyle w:val="Strong"/>
          <w:b w:val="0"/>
          <w:bCs w:val="0"/>
        </w:rPr>
        <w:t>Tanks), SC 46 (</w:t>
      </w:r>
      <w:r w:rsidR="00735393">
        <w:rPr>
          <w:rStyle w:val="Strong"/>
          <w:b w:val="0"/>
          <w:bCs w:val="0"/>
        </w:rPr>
        <w:t xml:space="preserve">for </w:t>
      </w:r>
      <w:r w:rsidRPr="00A14F1D">
        <w:rPr>
          <w:rStyle w:val="Strong"/>
          <w:b w:val="0"/>
          <w:bCs w:val="0"/>
        </w:rPr>
        <w:t>Facility wide)</w:t>
      </w:r>
      <w:r w:rsidR="00735393">
        <w:rPr>
          <w:rStyle w:val="Strong"/>
          <w:b w:val="0"/>
          <w:bCs w:val="0"/>
        </w:rPr>
        <w:t xml:space="preserve"> emissions</w:t>
      </w:r>
      <w:r w:rsidRPr="00A14F1D">
        <w:rPr>
          <w:rStyle w:val="Strong"/>
          <w:b w:val="0"/>
          <w:bCs w:val="0"/>
        </w:rPr>
        <w:t xml:space="preserve"> </w:t>
      </w:r>
      <w:r w:rsidR="00735393">
        <w:rPr>
          <w:rStyle w:val="Strong"/>
          <w:b w:val="0"/>
          <w:bCs w:val="0"/>
        </w:rPr>
        <w:t>and</w:t>
      </w:r>
      <w:r w:rsidRPr="00A14F1D">
        <w:rPr>
          <w:rStyle w:val="Strong"/>
          <w:b w:val="0"/>
          <w:bCs w:val="0"/>
        </w:rPr>
        <w:t xml:space="preserve"> TCEQ’s Source Analysis &amp; Technical Review </w:t>
      </w:r>
      <w:r w:rsidR="00735393">
        <w:rPr>
          <w:rStyle w:val="Strong"/>
          <w:b w:val="0"/>
          <w:bCs w:val="0"/>
        </w:rPr>
        <w:t xml:space="preserve">documents </w:t>
      </w:r>
      <w:r w:rsidRPr="00A14F1D">
        <w:rPr>
          <w:rStyle w:val="Strong"/>
          <w:b w:val="0"/>
          <w:bCs w:val="0"/>
        </w:rPr>
        <w:t>for each NSR project</w:t>
      </w:r>
      <w:r w:rsidR="00B16C9F">
        <w:rPr>
          <w:rStyle w:val="Strong"/>
          <w:b w:val="0"/>
          <w:bCs w:val="0"/>
        </w:rPr>
        <w:t xml:space="preserve"> (e.g., </w:t>
      </w:r>
      <w:r w:rsidR="00B16C9F" w:rsidRPr="00B16C9F">
        <w:rPr>
          <w:rStyle w:val="Strong"/>
          <w:b w:val="0"/>
          <w:bCs w:val="0"/>
        </w:rPr>
        <w:t>WCC content ID 5596193</w:t>
      </w:r>
      <w:r w:rsidR="00B16C9F">
        <w:rPr>
          <w:rStyle w:val="Strong"/>
          <w:b w:val="0"/>
          <w:bCs w:val="0"/>
        </w:rPr>
        <w:t>)</w:t>
      </w:r>
      <w:r w:rsidRPr="00A14F1D">
        <w:rPr>
          <w:rStyle w:val="Strong"/>
          <w:b w:val="0"/>
          <w:bCs w:val="0"/>
        </w:rPr>
        <w:t xml:space="preserve">, and </w:t>
      </w:r>
      <w:bookmarkStart w:id="5" w:name="_Hlk120613004"/>
      <w:r w:rsidRPr="00A14F1D">
        <w:rPr>
          <w:rStyle w:val="Strong"/>
          <w:b w:val="0"/>
          <w:bCs w:val="0"/>
        </w:rPr>
        <w:t>the enforceable representations in the applicant’s permit applications</w:t>
      </w:r>
      <w:r w:rsidR="00B16C9F">
        <w:rPr>
          <w:rStyle w:val="Strong"/>
          <w:b w:val="0"/>
          <w:bCs w:val="0"/>
        </w:rPr>
        <w:t xml:space="preserve"> (e.g., </w:t>
      </w:r>
      <w:r w:rsidR="00B16C9F" w:rsidRPr="00B16C9F">
        <w:rPr>
          <w:rStyle w:val="Strong"/>
          <w:b w:val="0"/>
          <w:bCs w:val="0"/>
        </w:rPr>
        <w:t>WCC content ID 5665298</w:t>
      </w:r>
      <w:r w:rsidR="00B16C9F">
        <w:rPr>
          <w:rStyle w:val="Strong"/>
          <w:b w:val="0"/>
          <w:bCs w:val="0"/>
        </w:rPr>
        <w:t>)</w:t>
      </w:r>
      <w:bookmarkEnd w:id="5"/>
      <w:r w:rsidRPr="00A14F1D">
        <w:rPr>
          <w:rStyle w:val="Strong"/>
          <w:b w:val="0"/>
          <w:bCs w:val="0"/>
        </w:rPr>
        <w:t xml:space="preserve">. More specifically, </w:t>
      </w:r>
      <w:r w:rsidR="00735393">
        <w:rPr>
          <w:rStyle w:val="Strong"/>
          <w:b w:val="0"/>
          <w:bCs w:val="0"/>
        </w:rPr>
        <w:t>the permit holder</w:t>
      </w:r>
      <w:r w:rsidRPr="00A14F1D">
        <w:rPr>
          <w:rStyle w:val="Strong"/>
          <w:b w:val="0"/>
          <w:bCs w:val="0"/>
        </w:rPr>
        <w:t xml:space="preserve"> maintains records of product specific movements, individual MSS activities, and the associated product physical properties as required by </w:t>
      </w:r>
      <w:r w:rsidR="00735393">
        <w:rPr>
          <w:rStyle w:val="Strong"/>
          <w:b w:val="0"/>
          <w:bCs w:val="0"/>
        </w:rPr>
        <w:t xml:space="preserve">NSR </w:t>
      </w:r>
      <w:r w:rsidRPr="00A14F1D">
        <w:rPr>
          <w:rStyle w:val="Strong"/>
          <w:b w:val="0"/>
          <w:bCs w:val="0"/>
        </w:rPr>
        <w:t xml:space="preserve">Permit No. 95754, Special Condition Nos. 11, 27, 34, and 43 which is utilized to calculate monthly emissions to demonstrate compliance with the applicable emission limit(s). The calculated emissions are then summed and compared to the appropriate MAERT limits per the applicable requirements of </w:t>
      </w:r>
      <w:r w:rsidR="00735393">
        <w:rPr>
          <w:rStyle w:val="Strong"/>
          <w:b w:val="0"/>
          <w:bCs w:val="0"/>
        </w:rPr>
        <w:t xml:space="preserve">NSR </w:t>
      </w:r>
      <w:r w:rsidRPr="00A14F1D">
        <w:rPr>
          <w:rStyle w:val="Strong"/>
          <w:b w:val="0"/>
          <w:bCs w:val="0"/>
        </w:rPr>
        <w:t>Permit No. 95754, Special Condition Nos. 2, 11, 27, 34, 44, and 46.</w:t>
      </w:r>
    </w:p>
    <w:p w14:paraId="16CF2B80" w14:textId="24C47E95" w:rsidR="00992DAA" w:rsidRDefault="00992DAA" w:rsidP="00DE1E5C">
      <w:pPr>
        <w:rPr>
          <w:rStyle w:val="Strong"/>
          <w:b w:val="0"/>
          <w:bCs w:val="0"/>
        </w:rPr>
      </w:pPr>
    </w:p>
    <w:p w14:paraId="25D15EC8" w14:textId="150F5377" w:rsidR="00FF48A8" w:rsidRPr="0025439E" w:rsidRDefault="0069173E" w:rsidP="00DE1E5C">
      <w:pPr>
        <w:rPr>
          <w:rStyle w:val="Strong"/>
          <w:b w:val="0"/>
          <w:bCs w:val="0"/>
        </w:rPr>
      </w:pPr>
      <w:r w:rsidRPr="0025439E">
        <w:rPr>
          <w:rStyle w:val="Strong"/>
          <w:b w:val="0"/>
          <w:bCs w:val="0"/>
        </w:rPr>
        <w:t xml:space="preserve">Regarding </w:t>
      </w:r>
      <w:r w:rsidR="00A24F35" w:rsidRPr="00A24F35">
        <w:rPr>
          <w:rStyle w:val="Strong"/>
          <w:b w:val="0"/>
          <w:bCs w:val="0"/>
        </w:rPr>
        <w:t>ensuring</w:t>
      </w:r>
      <w:r w:rsidRPr="0025439E">
        <w:rPr>
          <w:rStyle w:val="Strong"/>
          <w:b w:val="0"/>
          <w:bCs w:val="0"/>
        </w:rPr>
        <w:t xml:space="preserve"> compliance with both the tank emission caps and the </w:t>
      </w:r>
      <w:proofErr w:type="spellStart"/>
      <w:r w:rsidRPr="0025439E">
        <w:rPr>
          <w:rStyle w:val="Strong"/>
          <w:b w:val="0"/>
          <w:bCs w:val="0"/>
        </w:rPr>
        <w:t>lb</w:t>
      </w:r>
      <w:proofErr w:type="spellEnd"/>
      <w:r w:rsidRPr="0025439E">
        <w:rPr>
          <w:rStyle w:val="Strong"/>
          <w:b w:val="0"/>
          <w:bCs w:val="0"/>
        </w:rPr>
        <w:t>/</w:t>
      </w:r>
      <w:proofErr w:type="spellStart"/>
      <w:r w:rsidRPr="0025439E">
        <w:rPr>
          <w:rStyle w:val="Strong"/>
          <w:b w:val="0"/>
          <w:bCs w:val="0"/>
        </w:rPr>
        <w:t>hr</w:t>
      </w:r>
      <w:proofErr w:type="spellEnd"/>
      <w:r w:rsidRPr="0025439E">
        <w:rPr>
          <w:rStyle w:val="Strong"/>
          <w:b w:val="0"/>
          <w:bCs w:val="0"/>
        </w:rPr>
        <w:t xml:space="preserve"> limits imposed on each individual tank, TCEQ notes e</w:t>
      </w:r>
      <w:r w:rsidR="005D3132" w:rsidRPr="0025439E">
        <w:rPr>
          <w:rStyle w:val="Strong"/>
          <w:b w:val="0"/>
          <w:bCs w:val="0"/>
        </w:rPr>
        <w:t xml:space="preserve">ach storage tank is limited by </w:t>
      </w:r>
      <w:r w:rsidR="00CF2542" w:rsidRPr="0025439E">
        <w:rPr>
          <w:rStyle w:val="Strong"/>
          <w:b w:val="0"/>
          <w:bCs w:val="0"/>
        </w:rPr>
        <w:t xml:space="preserve">both </w:t>
      </w:r>
      <w:r w:rsidR="005D3132" w:rsidRPr="0025439E">
        <w:rPr>
          <w:rStyle w:val="Strong"/>
          <w:b w:val="0"/>
          <w:bCs w:val="0"/>
        </w:rPr>
        <w:t>individual short- and long-term emission rates. The storage tank calculations were based on AP-42 Chapter 7 (Liquid Storage Tanks</w:t>
      </w:r>
      <w:r w:rsidR="00FF48A8" w:rsidRPr="0025439E">
        <w:rPr>
          <w:rStyle w:val="Strong"/>
          <w:b w:val="0"/>
          <w:bCs w:val="0"/>
        </w:rPr>
        <w:t>, November 2006</w:t>
      </w:r>
      <w:r w:rsidR="005D3132" w:rsidRPr="0025439E">
        <w:rPr>
          <w:rStyle w:val="Strong"/>
          <w:b w:val="0"/>
          <w:bCs w:val="0"/>
        </w:rPr>
        <w:t>). The calculations assume th</w:t>
      </w:r>
      <w:r w:rsidR="00FF48A8" w:rsidRPr="0025439E">
        <w:rPr>
          <w:rStyle w:val="Strong"/>
          <w:b w:val="0"/>
          <w:bCs w:val="0"/>
        </w:rPr>
        <w:t>at the highest emitting product that will be stored for each tank. ITC shall comply with the individual tank emission limits</w:t>
      </w:r>
      <w:r w:rsidR="002714D7" w:rsidRPr="0025439E">
        <w:rPr>
          <w:rStyle w:val="Strong"/>
          <w:b w:val="0"/>
          <w:bCs w:val="0"/>
        </w:rPr>
        <w:t xml:space="preserve">, including maximum throughput listed for each storage tank emission calculation provided in Table A-1A (WCC Document 5684402). </w:t>
      </w:r>
    </w:p>
    <w:p w14:paraId="37363941" w14:textId="77777777" w:rsidR="00FF48A8" w:rsidRPr="0025439E" w:rsidRDefault="00FF48A8" w:rsidP="00DE1E5C">
      <w:pPr>
        <w:rPr>
          <w:rStyle w:val="Strong"/>
          <w:b w:val="0"/>
          <w:bCs w:val="0"/>
        </w:rPr>
      </w:pPr>
    </w:p>
    <w:p w14:paraId="3DF7F827" w14:textId="2B6DC5B0" w:rsidR="00231796" w:rsidRPr="0025439E" w:rsidRDefault="002714D7" w:rsidP="00DE1E5C">
      <w:pPr>
        <w:rPr>
          <w:rStyle w:val="Strong"/>
          <w:b w:val="0"/>
          <w:bCs w:val="0"/>
        </w:rPr>
      </w:pPr>
      <w:r w:rsidRPr="0025439E">
        <w:rPr>
          <w:rStyle w:val="Strong"/>
          <w:b w:val="0"/>
          <w:bCs w:val="0"/>
        </w:rPr>
        <w:t xml:space="preserve">In addition, </w:t>
      </w:r>
      <w:r w:rsidR="00A318B8" w:rsidRPr="0025439E">
        <w:rPr>
          <w:rStyle w:val="Strong"/>
          <w:b w:val="0"/>
          <w:bCs w:val="0"/>
        </w:rPr>
        <w:t>Special Condition 11 requires the permit holder to maintain an emissions record that includes calculated emissions of VOC from all storage tanks and loading operations within the previous calendar month and the past consecutive 12-month period. The records include tank capacity gallons of liquid transferred, name of the material stored/loaded, VOC molecular weight, average temperature, vapor pressure, and throughput for the previous month and year-to-date</w:t>
      </w:r>
      <w:r w:rsidR="00FF48A8" w:rsidRPr="0025439E">
        <w:rPr>
          <w:rStyle w:val="Strong"/>
          <w:b w:val="0"/>
          <w:bCs w:val="0"/>
        </w:rPr>
        <w:t xml:space="preserve">. </w:t>
      </w:r>
      <w:r w:rsidRPr="0025439E">
        <w:rPr>
          <w:rStyle w:val="Strong"/>
          <w:b w:val="0"/>
          <w:bCs w:val="0"/>
        </w:rPr>
        <w:t>These parameters are utilized in the same storage tank emission calculations as referenced.</w:t>
      </w:r>
    </w:p>
    <w:p w14:paraId="2EAC6D67" w14:textId="7754F03F" w:rsidR="00FF48A8" w:rsidRPr="0025439E" w:rsidRDefault="00FF48A8" w:rsidP="00DE1E5C">
      <w:pPr>
        <w:rPr>
          <w:rStyle w:val="Strong"/>
          <w:b w:val="0"/>
          <w:bCs w:val="0"/>
        </w:rPr>
      </w:pPr>
    </w:p>
    <w:p w14:paraId="6A7881E2" w14:textId="05D7EEE0" w:rsidR="00FF48A8" w:rsidRPr="00CF2542" w:rsidRDefault="002714D7" w:rsidP="00DE1E5C">
      <w:pPr>
        <w:rPr>
          <w:rStyle w:val="Strong"/>
          <w:b w:val="0"/>
          <w:bCs w:val="0"/>
          <w:color w:val="0000FF"/>
        </w:rPr>
      </w:pPr>
      <w:r w:rsidRPr="0025439E">
        <w:rPr>
          <w:rStyle w:val="Strong"/>
          <w:b w:val="0"/>
          <w:bCs w:val="0"/>
        </w:rPr>
        <w:t xml:space="preserve">Due to the operational nature of for-hire bulk terminals and for further assurance that emissions from individual storage tanks will not exceed permitted emission limits, </w:t>
      </w:r>
      <w:r w:rsidR="0056195D" w:rsidRPr="0025439E">
        <w:rPr>
          <w:rStyle w:val="Strong"/>
          <w:b w:val="0"/>
          <w:bCs w:val="0"/>
        </w:rPr>
        <w:t xml:space="preserve">an annual Tank Cap for each facility group (A, B, and C) was authorized, which is the summation of the individual </w:t>
      </w:r>
      <w:r w:rsidR="006665AA" w:rsidRPr="0025439E">
        <w:rPr>
          <w:rStyle w:val="Strong"/>
          <w:b w:val="0"/>
          <w:bCs w:val="0"/>
        </w:rPr>
        <w:t>storage tank annual emissions</w:t>
      </w:r>
      <w:r w:rsidR="0056195D" w:rsidRPr="0025439E">
        <w:rPr>
          <w:rStyle w:val="Strong"/>
          <w:b w:val="0"/>
          <w:bCs w:val="0"/>
        </w:rPr>
        <w:t>. Storage tanks shall comply with both the individual and group emission limits</w:t>
      </w:r>
      <w:r w:rsidR="00113C48" w:rsidRPr="0025439E">
        <w:rPr>
          <w:rStyle w:val="Strong"/>
          <w:b w:val="0"/>
          <w:bCs w:val="0"/>
        </w:rPr>
        <w:t xml:space="preserve"> and recordkeeping is required as part of Special Condition 11.</w:t>
      </w:r>
    </w:p>
    <w:p w14:paraId="693DD8BF" w14:textId="103B0B46" w:rsidR="007F538B" w:rsidRDefault="007F538B" w:rsidP="00DE1E5C">
      <w:pPr>
        <w:rPr>
          <w:b/>
          <w:bCs/>
        </w:rPr>
      </w:pPr>
    </w:p>
    <w:p w14:paraId="442C3440" w14:textId="1ADA5C6D" w:rsidR="00C111EB" w:rsidRDefault="00C111EB" w:rsidP="00DE1E5C">
      <w:pPr>
        <w:rPr>
          <w:rStyle w:val="Strong"/>
          <w:b w:val="0"/>
          <w:bCs w:val="0"/>
        </w:rPr>
      </w:pPr>
      <w:r w:rsidRPr="00725612">
        <w:rPr>
          <w:rStyle w:val="Strong"/>
        </w:rPr>
        <w:t>TCEQ R</w:t>
      </w:r>
      <w:r>
        <w:rPr>
          <w:rStyle w:val="Strong"/>
        </w:rPr>
        <w:t xml:space="preserve">esponse to EPA Objection 1d: </w:t>
      </w:r>
      <w:r w:rsidRPr="00713630">
        <w:rPr>
          <w:rStyle w:val="Strong"/>
          <w:b w:val="0"/>
          <w:bCs w:val="0"/>
        </w:rPr>
        <w:t>In regard</w:t>
      </w:r>
      <w:r>
        <w:rPr>
          <w:rStyle w:val="Strong"/>
          <w:b w:val="0"/>
          <w:bCs w:val="0"/>
        </w:rPr>
        <w:t xml:space="preserve"> to</w:t>
      </w:r>
      <w:r w:rsidRPr="00A14F1D">
        <w:rPr>
          <w:rStyle w:val="Strong"/>
          <w:b w:val="0"/>
          <w:bCs w:val="0"/>
        </w:rPr>
        <w:t xml:space="preserve"> </w:t>
      </w:r>
      <w:r>
        <w:rPr>
          <w:rStyle w:val="Strong"/>
          <w:b w:val="0"/>
          <w:bCs w:val="0"/>
        </w:rPr>
        <w:t xml:space="preserve">NSR Permit </w:t>
      </w:r>
      <w:r w:rsidRPr="00DE1E5C">
        <w:rPr>
          <w:rStyle w:val="Strong"/>
          <w:b w:val="0"/>
          <w:bCs w:val="0"/>
        </w:rPr>
        <w:t>95754</w:t>
      </w:r>
      <w:r>
        <w:rPr>
          <w:rStyle w:val="Strong"/>
          <w:b w:val="0"/>
          <w:bCs w:val="0"/>
        </w:rPr>
        <w:t xml:space="preserve">, </w:t>
      </w:r>
      <w:r w:rsidRPr="00A14F1D">
        <w:rPr>
          <w:rStyle w:val="Strong"/>
          <w:b w:val="0"/>
          <w:bCs w:val="0"/>
        </w:rPr>
        <w:t>SC 1</w:t>
      </w:r>
      <w:r>
        <w:rPr>
          <w:rStyle w:val="Strong"/>
          <w:b w:val="0"/>
          <w:bCs w:val="0"/>
        </w:rPr>
        <w:t xml:space="preserve">7.C, </w:t>
      </w:r>
      <w:r w:rsidR="00055DF1">
        <w:rPr>
          <w:rStyle w:val="Strong"/>
          <w:b w:val="0"/>
          <w:bCs w:val="0"/>
        </w:rPr>
        <w:t xml:space="preserve">this </w:t>
      </w:r>
      <w:r w:rsidR="00055DF1" w:rsidRPr="00055DF1">
        <w:rPr>
          <w:rStyle w:val="Strong"/>
          <w:b w:val="0"/>
          <w:bCs w:val="0"/>
        </w:rPr>
        <w:t>condition refers to a maximum permitted loading rate</w:t>
      </w:r>
      <w:r w:rsidR="00055DF1">
        <w:rPr>
          <w:rStyle w:val="Strong"/>
          <w:b w:val="0"/>
          <w:bCs w:val="0"/>
        </w:rPr>
        <w:t xml:space="preserve"> and </w:t>
      </w:r>
      <w:r w:rsidR="00055DF1" w:rsidRPr="00055DF1">
        <w:rPr>
          <w:rStyle w:val="Strong"/>
          <w:b w:val="0"/>
          <w:bCs w:val="0"/>
        </w:rPr>
        <w:t>the operational limits in Attachment 1</w:t>
      </w:r>
      <w:r w:rsidR="00055DF1">
        <w:rPr>
          <w:rStyle w:val="Strong"/>
          <w:b w:val="0"/>
          <w:bCs w:val="0"/>
        </w:rPr>
        <w:t xml:space="preserve">. </w:t>
      </w:r>
      <w:r w:rsidR="00055DF1" w:rsidRPr="00055DF1">
        <w:rPr>
          <w:rStyle w:val="Strong"/>
          <w:b w:val="0"/>
          <w:bCs w:val="0"/>
        </w:rPr>
        <w:t xml:space="preserve">The maximum permitted loading rates are included in Table 2 of Attachment 1 of the </w:t>
      </w:r>
      <w:r w:rsidR="00055DF1">
        <w:rPr>
          <w:rStyle w:val="Strong"/>
          <w:b w:val="0"/>
          <w:bCs w:val="0"/>
        </w:rPr>
        <w:t xml:space="preserve">NSR </w:t>
      </w:r>
      <w:r w:rsidR="00055DF1" w:rsidRPr="00055DF1">
        <w:rPr>
          <w:rStyle w:val="Strong"/>
          <w:b w:val="0"/>
          <w:bCs w:val="0"/>
        </w:rPr>
        <w:t>permit</w:t>
      </w:r>
      <w:r w:rsidR="00055DF1">
        <w:rPr>
          <w:rStyle w:val="Strong"/>
          <w:b w:val="0"/>
          <w:bCs w:val="0"/>
        </w:rPr>
        <w:t>.</w:t>
      </w:r>
    </w:p>
    <w:p w14:paraId="46187E37" w14:textId="77777777" w:rsidR="0080647D" w:rsidRDefault="0080647D" w:rsidP="00DE1E5C">
      <w:pPr>
        <w:rPr>
          <w:rStyle w:val="Strong"/>
          <w:b w:val="0"/>
          <w:bCs w:val="0"/>
        </w:rPr>
      </w:pPr>
    </w:p>
    <w:p w14:paraId="5E46A697" w14:textId="6C813523" w:rsidR="0080647D" w:rsidRDefault="0080647D" w:rsidP="00DE1E5C">
      <w:pPr>
        <w:rPr>
          <w:rStyle w:val="Strong"/>
          <w:b w:val="0"/>
          <w:bCs w:val="0"/>
        </w:rPr>
      </w:pPr>
      <w:r w:rsidRPr="00725612">
        <w:rPr>
          <w:rStyle w:val="Strong"/>
        </w:rPr>
        <w:t>TCEQ R</w:t>
      </w:r>
      <w:r>
        <w:rPr>
          <w:rStyle w:val="Strong"/>
        </w:rPr>
        <w:t xml:space="preserve">esponse to EPA Objection 1e: </w:t>
      </w:r>
      <w:r w:rsidRPr="00713630">
        <w:rPr>
          <w:rStyle w:val="Strong"/>
          <w:b w:val="0"/>
          <w:bCs w:val="0"/>
        </w:rPr>
        <w:t>In regard</w:t>
      </w:r>
      <w:r>
        <w:rPr>
          <w:rStyle w:val="Strong"/>
          <w:b w:val="0"/>
          <w:bCs w:val="0"/>
        </w:rPr>
        <w:t xml:space="preserve"> to</w:t>
      </w:r>
      <w:r w:rsidRPr="00A14F1D">
        <w:rPr>
          <w:rStyle w:val="Strong"/>
          <w:b w:val="0"/>
          <w:bCs w:val="0"/>
        </w:rPr>
        <w:t xml:space="preserve"> </w:t>
      </w:r>
      <w:r>
        <w:rPr>
          <w:rStyle w:val="Strong"/>
          <w:b w:val="0"/>
          <w:bCs w:val="0"/>
        </w:rPr>
        <w:t xml:space="preserve">NSR Permit </w:t>
      </w:r>
      <w:r w:rsidRPr="00DE1E5C">
        <w:rPr>
          <w:rStyle w:val="Strong"/>
          <w:b w:val="0"/>
          <w:bCs w:val="0"/>
        </w:rPr>
        <w:t>95754</w:t>
      </w:r>
      <w:r>
        <w:rPr>
          <w:rStyle w:val="Strong"/>
          <w:b w:val="0"/>
          <w:bCs w:val="0"/>
        </w:rPr>
        <w:t xml:space="preserve">, </w:t>
      </w:r>
      <w:r w:rsidRPr="00A14F1D">
        <w:rPr>
          <w:rStyle w:val="Strong"/>
          <w:b w:val="0"/>
          <w:bCs w:val="0"/>
        </w:rPr>
        <w:t>SC 1</w:t>
      </w:r>
      <w:r>
        <w:rPr>
          <w:rStyle w:val="Strong"/>
          <w:b w:val="0"/>
          <w:bCs w:val="0"/>
        </w:rPr>
        <w:t xml:space="preserve">9, TCEQ confirms this </w:t>
      </w:r>
      <w:r w:rsidRPr="00055DF1">
        <w:rPr>
          <w:rStyle w:val="Strong"/>
          <w:b w:val="0"/>
          <w:bCs w:val="0"/>
        </w:rPr>
        <w:t>condition</w:t>
      </w:r>
      <w:r>
        <w:rPr>
          <w:rStyle w:val="Strong"/>
          <w:b w:val="0"/>
          <w:bCs w:val="0"/>
        </w:rPr>
        <w:t xml:space="preserve"> should refer back to SC 18.</w:t>
      </w:r>
      <w:r w:rsidR="0030403D">
        <w:rPr>
          <w:rStyle w:val="Strong"/>
          <w:b w:val="0"/>
          <w:bCs w:val="0"/>
        </w:rPr>
        <w:t xml:space="preserve"> </w:t>
      </w:r>
      <w:r w:rsidR="0030403D" w:rsidRPr="00CC3998">
        <w:rPr>
          <w:rStyle w:val="Strong"/>
          <w:b w:val="0"/>
          <w:bCs w:val="0"/>
        </w:rPr>
        <w:t xml:space="preserve">This change </w:t>
      </w:r>
      <w:r w:rsidR="00CC3998">
        <w:rPr>
          <w:rStyle w:val="Strong"/>
          <w:b w:val="0"/>
          <w:bCs w:val="0"/>
        </w:rPr>
        <w:t>is being</w:t>
      </w:r>
      <w:r w:rsidR="0030403D" w:rsidRPr="00CC3998">
        <w:rPr>
          <w:rStyle w:val="Strong"/>
          <w:b w:val="0"/>
          <w:bCs w:val="0"/>
        </w:rPr>
        <w:t xml:space="preserve"> made in </w:t>
      </w:r>
      <w:r w:rsidR="00CC3998">
        <w:rPr>
          <w:rStyle w:val="Strong"/>
          <w:b w:val="0"/>
          <w:bCs w:val="0"/>
        </w:rPr>
        <w:t xml:space="preserve">pending </w:t>
      </w:r>
      <w:r w:rsidR="0030403D" w:rsidRPr="00CC3998">
        <w:rPr>
          <w:rStyle w:val="Strong"/>
          <w:b w:val="0"/>
          <w:bCs w:val="0"/>
        </w:rPr>
        <w:t xml:space="preserve">Amendment/Renewal for NSR </w:t>
      </w:r>
      <w:r w:rsidR="008726E5">
        <w:rPr>
          <w:rStyle w:val="Strong"/>
          <w:b w:val="0"/>
          <w:bCs w:val="0"/>
        </w:rPr>
        <w:t xml:space="preserve">permit </w:t>
      </w:r>
      <w:r w:rsidR="0030403D" w:rsidRPr="00CC3998">
        <w:rPr>
          <w:rStyle w:val="Strong"/>
          <w:b w:val="0"/>
          <w:bCs w:val="0"/>
        </w:rPr>
        <w:t xml:space="preserve">95754 (Project 345739) </w:t>
      </w:r>
      <w:r w:rsidR="00F20369" w:rsidRPr="00CC3998">
        <w:rPr>
          <w:rStyle w:val="Strong"/>
          <w:b w:val="0"/>
          <w:bCs w:val="0"/>
        </w:rPr>
        <w:t xml:space="preserve">and </w:t>
      </w:r>
      <w:r w:rsidR="008726E5">
        <w:rPr>
          <w:rStyle w:val="Strong"/>
          <w:b w:val="0"/>
          <w:bCs w:val="0"/>
        </w:rPr>
        <w:t xml:space="preserve">upon issuance </w:t>
      </w:r>
      <w:r w:rsidR="00CC3998">
        <w:rPr>
          <w:rStyle w:val="Strong"/>
          <w:b w:val="0"/>
          <w:bCs w:val="0"/>
        </w:rPr>
        <w:t xml:space="preserve">applicant intends to submit </w:t>
      </w:r>
      <w:r w:rsidR="008726E5">
        <w:rPr>
          <w:rStyle w:val="Strong"/>
          <w:b w:val="0"/>
          <w:bCs w:val="0"/>
        </w:rPr>
        <w:t xml:space="preserve">a Title V revision project </w:t>
      </w:r>
      <w:r w:rsidR="00F20369" w:rsidRPr="00CC3998">
        <w:rPr>
          <w:rStyle w:val="Strong"/>
          <w:b w:val="0"/>
          <w:bCs w:val="0"/>
        </w:rPr>
        <w:t xml:space="preserve">to incorporate by reference </w:t>
      </w:r>
      <w:r w:rsidR="008726E5">
        <w:rPr>
          <w:rStyle w:val="Strong"/>
          <w:b w:val="0"/>
          <w:bCs w:val="0"/>
        </w:rPr>
        <w:t xml:space="preserve">the revised </w:t>
      </w:r>
      <w:r w:rsidR="00F20369" w:rsidRPr="00CC3998">
        <w:rPr>
          <w:rStyle w:val="Strong"/>
          <w:b w:val="0"/>
          <w:bCs w:val="0"/>
        </w:rPr>
        <w:t>NSR Permit 95754</w:t>
      </w:r>
      <w:r w:rsidR="005B74C4">
        <w:rPr>
          <w:rStyle w:val="Strong"/>
          <w:b w:val="0"/>
          <w:bCs w:val="0"/>
        </w:rPr>
        <w:t xml:space="preserve"> </w:t>
      </w:r>
      <w:r w:rsidR="005B74C4" w:rsidRPr="00CC3998">
        <w:rPr>
          <w:rStyle w:val="Strong"/>
          <w:b w:val="0"/>
          <w:bCs w:val="0"/>
        </w:rPr>
        <w:t xml:space="preserve">(Project 345739) </w:t>
      </w:r>
      <w:r w:rsidR="005B74C4">
        <w:rPr>
          <w:rStyle w:val="Strong"/>
          <w:b w:val="0"/>
          <w:bCs w:val="0"/>
        </w:rPr>
        <w:t>into FOP O3785</w:t>
      </w:r>
      <w:r w:rsidR="00F20369" w:rsidRPr="00CC3998">
        <w:rPr>
          <w:rStyle w:val="Strong"/>
          <w:b w:val="0"/>
          <w:bCs w:val="0"/>
        </w:rPr>
        <w:t>.</w:t>
      </w:r>
    </w:p>
    <w:p w14:paraId="10D06011" w14:textId="25023109" w:rsidR="00322915" w:rsidRDefault="00322915" w:rsidP="00DE1E5C">
      <w:pPr>
        <w:rPr>
          <w:rStyle w:val="Strong"/>
          <w:b w:val="0"/>
          <w:bCs w:val="0"/>
        </w:rPr>
      </w:pPr>
    </w:p>
    <w:p w14:paraId="601FFD56" w14:textId="6BB9EA8D" w:rsidR="00322915" w:rsidRDefault="00322915" w:rsidP="00DE1E5C">
      <w:pPr>
        <w:rPr>
          <w:rStyle w:val="Strong"/>
          <w:b w:val="0"/>
          <w:bCs w:val="0"/>
        </w:rPr>
      </w:pPr>
      <w:r w:rsidRPr="00725612">
        <w:rPr>
          <w:rStyle w:val="Strong"/>
        </w:rPr>
        <w:t>TCEQ R</w:t>
      </w:r>
      <w:r>
        <w:rPr>
          <w:rStyle w:val="Strong"/>
        </w:rPr>
        <w:t xml:space="preserve">esponse to EPA Objection 1f: </w:t>
      </w:r>
      <w:r w:rsidRPr="00713630">
        <w:rPr>
          <w:rStyle w:val="Strong"/>
          <w:b w:val="0"/>
          <w:bCs w:val="0"/>
        </w:rPr>
        <w:t>In regard</w:t>
      </w:r>
      <w:r>
        <w:rPr>
          <w:rStyle w:val="Strong"/>
          <w:b w:val="0"/>
          <w:bCs w:val="0"/>
        </w:rPr>
        <w:t xml:space="preserve"> to</w:t>
      </w:r>
      <w:r w:rsidRPr="00A14F1D">
        <w:rPr>
          <w:rStyle w:val="Strong"/>
          <w:b w:val="0"/>
          <w:bCs w:val="0"/>
        </w:rPr>
        <w:t xml:space="preserve"> </w:t>
      </w:r>
      <w:r>
        <w:rPr>
          <w:rStyle w:val="Strong"/>
          <w:b w:val="0"/>
          <w:bCs w:val="0"/>
        </w:rPr>
        <w:t xml:space="preserve">NSR Permit </w:t>
      </w:r>
      <w:r w:rsidRPr="00DE1E5C">
        <w:rPr>
          <w:rStyle w:val="Strong"/>
          <w:b w:val="0"/>
          <w:bCs w:val="0"/>
        </w:rPr>
        <w:t>95754</w:t>
      </w:r>
      <w:r>
        <w:rPr>
          <w:rStyle w:val="Strong"/>
          <w:b w:val="0"/>
          <w:bCs w:val="0"/>
        </w:rPr>
        <w:t xml:space="preserve">, </w:t>
      </w:r>
      <w:r w:rsidRPr="00A14F1D">
        <w:rPr>
          <w:rStyle w:val="Strong"/>
          <w:b w:val="0"/>
          <w:bCs w:val="0"/>
        </w:rPr>
        <w:t xml:space="preserve">SC </w:t>
      </w:r>
      <w:r>
        <w:rPr>
          <w:rStyle w:val="Strong"/>
          <w:b w:val="0"/>
          <w:bCs w:val="0"/>
        </w:rPr>
        <w:t>20</w:t>
      </w:r>
      <w:r w:rsidR="003A6A8C">
        <w:rPr>
          <w:rStyle w:val="Strong"/>
          <w:b w:val="0"/>
          <w:bCs w:val="0"/>
        </w:rPr>
        <w:t xml:space="preserve"> related to </w:t>
      </w:r>
      <w:r w:rsidR="003A6A8C" w:rsidRPr="003A6A8C">
        <w:rPr>
          <w:rStyle w:val="Strong"/>
          <w:b w:val="0"/>
          <w:bCs w:val="0"/>
        </w:rPr>
        <w:t>ship collection efficiency</w:t>
      </w:r>
      <w:r w:rsidR="003A6A8C">
        <w:rPr>
          <w:rStyle w:val="Strong"/>
          <w:b w:val="0"/>
          <w:bCs w:val="0"/>
        </w:rPr>
        <w:t xml:space="preserve"> tests</w:t>
      </w:r>
      <w:r>
        <w:rPr>
          <w:rStyle w:val="Strong"/>
          <w:b w:val="0"/>
          <w:bCs w:val="0"/>
        </w:rPr>
        <w:t xml:space="preserve">, TCEQ </w:t>
      </w:r>
      <w:r w:rsidR="00031708">
        <w:rPr>
          <w:rStyle w:val="Strong"/>
          <w:b w:val="0"/>
          <w:bCs w:val="0"/>
        </w:rPr>
        <w:t xml:space="preserve">has revised its previous guidance </w:t>
      </w:r>
      <w:r w:rsidR="00031708" w:rsidRPr="00031708">
        <w:rPr>
          <w:rStyle w:val="Strong"/>
          <w:b w:val="0"/>
          <w:bCs w:val="0"/>
        </w:rPr>
        <w:t>regarding marine loading collection efficiencies for ocean-going marine vessels</w:t>
      </w:r>
      <w:r w:rsidR="00031708">
        <w:rPr>
          <w:rStyle w:val="Strong"/>
          <w:b w:val="0"/>
          <w:bCs w:val="0"/>
        </w:rPr>
        <w:t xml:space="preserve"> </w:t>
      </w:r>
      <w:r w:rsidR="00DB4DC1">
        <w:rPr>
          <w:rStyle w:val="Strong"/>
          <w:b w:val="0"/>
          <w:bCs w:val="0"/>
        </w:rPr>
        <w:t>[</w:t>
      </w:r>
      <w:r w:rsidR="00031708">
        <w:rPr>
          <w:rStyle w:val="Strong"/>
          <w:b w:val="0"/>
          <w:bCs w:val="0"/>
        </w:rPr>
        <w:t xml:space="preserve">see </w:t>
      </w:r>
      <w:hyperlink r:id="rId17" w:history="1">
        <w:r w:rsidR="00DB4DC1">
          <w:rPr>
            <w:rStyle w:val="Hyperlink"/>
          </w:rPr>
          <w:t>TCEQ Marine</w:t>
        </w:r>
        <w:r w:rsidR="00CF2542">
          <w:rPr>
            <w:rStyle w:val="Hyperlink"/>
          </w:rPr>
          <w:t xml:space="preserve"> </w:t>
        </w:r>
        <w:r w:rsidR="00DB4DC1">
          <w:rPr>
            <w:rStyle w:val="Hyperlink"/>
          </w:rPr>
          <w:t>Loading Collection Efficiency Guidance (texas.gov)</w:t>
        </w:r>
      </w:hyperlink>
      <w:r w:rsidR="00DB4DC1">
        <w:t>]. SC</w:t>
      </w:r>
      <w:r w:rsidR="00DB4DC1" w:rsidRPr="00DB4DC1">
        <w:t xml:space="preserve"> 18 reflects current TCEQ requirements </w:t>
      </w:r>
      <w:r w:rsidR="0093309C">
        <w:t>based on</w:t>
      </w:r>
      <w:r w:rsidR="00DB4DC1" w:rsidRPr="00DB4DC1">
        <w:t xml:space="preserve"> receipt, review, and approval of ship collection efficiency data provided by the regulated community (60+ tests from 2015-2018).</w:t>
      </w:r>
      <w:r w:rsidR="0093309C">
        <w:t xml:space="preserve"> NSR </w:t>
      </w:r>
      <w:r w:rsidR="0093309C" w:rsidRPr="0093309C">
        <w:t xml:space="preserve">Permit No. 95754, </w:t>
      </w:r>
      <w:r w:rsidR="0093309C">
        <w:t>SC</w:t>
      </w:r>
      <w:r w:rsidR="0093309C" w:rsidRPr="0093309C">
        <w:t xml:space="preserve"> 17 establishes the applicable requirements developed by TCEQ based on the above noted ship collection efficiency testing </w:t>
      </w:r>
      <w:r w:rsidR="0093309C">
        <w:t xml:space="preserve">document </w:t>
      </w:r>
      <w:r w:rsidR="0093309C" w:rsidRPr="0093309C">
        <w:t>for ongoing compliance demonstration purposes</w:t>
      </w:r>
      <w:r w:rsidR="0093309C">
        <w:t>.</w:t>
      </w:r>
    </w:p>
    <w:p w14:paraId="4BF996F7" w14:textId="0677D3E5" w:rsidR="00C111EB" w:rsidRDefault="00C111EB" w:rsidP="00DE1E5C">
      <w:pPr>
        <w:rPr>
          <w:b/>
          <w:bCs/>
        </w:rPr>
      </w:pPr>
    </w:p>
    <w:p w14:paraId="3E08AB85" w14:textId="5CFECBF1" w:rsidR="00600A22" w:rsidRDefault="00600A22" w:rsidP="00DE1E5C">
      <w:pPr>
        <w:rPr>
          <w:rStyle w:val="Strong"/>
          <w:b w:val="0"/>
          <w:bCs w:val="0"/>
        </w:rPr>
      </w:pPr>
      <w:r w:rsidRPr="00725612">
        <w:rPr>
          <w:rStyle w:val="Strong"/>
        </w:rPr>
        <w:t>TCEQ R</w:t>
      </w:r>
      <w:r>
        <w:rPr>
          <w:rStyle w:val="Strong"/>
        </w:rPr>
        <w:t xml:space="preserve">esponse to EPA Objection 1g: </w:t>
      </w:r>
      <w:r w:rsidRPr="00713630">
        <w:rPr>
          <w:rStyle w:val="Strong"/>
          <w:b w:val="0"/>
          <w:bCs w:val="0"/>
        </w:rPr>
        <w:t>In regard</w:t>
      </w:r>
      <w:r>
        <w:rPr>
          <w:rStyle w:val="Strong"/>
          <w:b w:val="0"/>
          <w:bCs w:val="0"/>
        </w:rPr>
        <w:t xml:space="preserve"> to</w:t>
      </w:r>
      <w:r w:rsidRPr="00A14F1D">
        <w:rPr>
          <w:rStyle w:val="Strong"/>
          <w:b w:val="0"/>
          <w:bCs w:val="0"/>
        </w:rPr>
        <w:t xml:space="preserve"> </w:t>
      </w:r>
      <w:r>
        <w:rPr>
          <w:rStyle w:val="Strong"/>
          <w:b w:val="0"/>
          <w:bCs w:val="0"/>
        </w:rPr>
        <w:t xml:space="preserve">NSR Permit </w:t>
      </w:r>
      <w:r w:rsidRPr="00DE1E5C">
        <w:rPr>
          <w:rStyle w:val="Strong"/>
          <w:b w:val="0"/>
          <w:bCs w:val="0"/>
        </w:rPr>
        <w:t>95754</w:t>
      </w:r>
      <w:r>
        <w:rPr>
          <w:rStyle w:val="Strong"/>
          <w:b w:val="0"/>
          <w:bCs w:val="0"/>
        </w:rPr>
        <w:t xml:space="preserve">, </w:t>
      </w:r>
      <w:r w:rsidRPr="00A14F1D">
        <w:rPr>
          <w:rStyle w:val="Strong"/>
          <w:b w:val="0"/>
          <w:bCs w:val="0"/>
        </w:rPr>
        <w:t xml:space="preserve">SC </w:t>
      </w:r>
      <w:r>
        <w:rPr>
          <w:rStyle w:val="Strong"/>
          <w:b w:val="0"/>
          <w:bCs w:val="0"/>
        </w:rPr>
        <w:t>26 related to loading rate,</w:t>
      </w:r>
      <w:r w:rsidR="00643DBF">
        <w:rPr>
          <w:rStyle w:val="Strong"/>
          <w:b w:val="0"/>
          <w:bCs w:val="0"/>
        </w:rPr>
        <w:t xml:space="preserve"> the ED notes </w:t>
      </w:r>
      <w:r w:rsidR="00643DBF" w:rsidRPr="00643DBF">
        <w:rPr>
          <w:rStyle w:val="Strong"/>
          <w:b w:val="0"/>
          <w:bCs w:val="0"/>
        </w:rPr>
        <w:t>loading rates are physically limited and the additional restrictions for various products are identified to ensure there are no adverse off-property impacts. Attachment 1 limits the loading of all authorized compounds</w:t>
      </w:r>
      <w:r w:rsidR="00643DBF">
        <w:rPr>
          <w:rStyle w:val="Strong"/>
          <w:b w:val="0"/>
          <w:bCs w:val="0"/>
        </w:rPr>
        <w:t xml:space="preserve">. </w:t>
      </w:r>
      <w:r w:rsidR="00643DBF" w:rsidRPr="00643DBF">
        <w:rPr>
          <w:rStyle w:val="Strong"/>
          <w:b w:val="0"/>
          <w:bCs w:val="0"/>
        </w:rPr>
        <w:t xml:space="preserve">SC 17 refers to loading requirements onto ocean-going, </w:t>
      </w:r>
      <w:proofErr w:type="spellStart"/>
      <w:r w:rsidR="00643DBF" w:rsidRPr="00643DBF">
        <w:rPr>
          <w:rStyle w:val="Strong"/>
          <w:b w:val="0"/>
          <w:bCs w:val="0"/>
        </w:rPr>
        <w:t>inerted</w:t>
      </w:r>
      <w:proofErr w:type="spellEnd"/>
      <w:r w:rsidR="00643DBF" w:rsidRPr="00643DBF">
        <w:rPr>
          <w:rStyle w:val="Strong"/>
          <w:b w:val="0"/>
          <w:bCs w:val="0"/>
        </w:rPr>
        <w:t xml:space="preserve"> marine vessels. SC 17.C refers to maximum permitted loading rates. The maximum permitted loading rates are included in Table 2 of Attachment 1 of the permit for marine, truck, and rail loading</w:t>
      </w:r>
      <w:r w:rsidR="00FD6D42">
        <w:rPr>
          <w:rStyle w:val="Strong"/>
          <w:b w:val="0"/>
          <w:bCs w:val="0"/>
        </w:rPr>
        <w:t xml:space="preserve"> operations.</w:t>
      </w:r>
    </w:p>
    <w:p w14:paraId="4DCE8D9C" w14:textId="562C2340" w:rsidR="00600A22" w:rsidRDefault="00600A22" w:rsidP="00DE1E5C">
      <w:pPr>
        <w:rPr>
          <w:b/>
          <w:bCs/>
        </w:rPr>
      </w:pPr>
    </w:p>
    <w:p w14:paraId="7651211E" w14:textId="48763B02" w:rsidR="00B91654" w:rsidRPr="0025439E" w:rsidRDefault="00FD6D42" w:rsidP="00B91654">
      <w:pPr>
        <w:rPr>
          <w:rStyle w:val="Strong"/>
          <w:b w:val="0"/>
          <w:bCs w:val="0"/>
        </w:rPr>
      </w:pPr>
      <w:r w:rsidRPr="00725612">
        <w:rPr>
          <w:rStyle w:val="Strong"/>
        </w:rPr>
        <w:t>TCEQ R</w:t>
      </w:r>
      <w:r>
        <w:rPr>
          <w:rStyle w:val="Strong"/>
        </w:rPr>
        <w:t xml:space="preserve">esponse to EPA Objection 1h: </w:t>
      </w:r>
      <w:r w:rsidRPr="00713630">
        <w:rPr>
          <w:rStyle w:val="Strong"/>
          <w:b w:val="0"/>
          <w:bCs w:val="0"/>
        </w:rPr>
        <w:t>In regard</w:t>
      </w:r>
      <w:r>
        <w:rPr>
          <w:rStyle w:val="Strong"/>
          <w:b w:val="0"/>
          <w:bCs w:val="0"/>
        </w:rPr>
        <w:t xml:space="preserve"> to</w:t>
      </w:r>
      <w:r w:rsidRPr="00A14F1D">
        <w:rPr>
          <w:rStyle w:val="Strong"/>
          <w:b w:val="0"/>
          <w:bCs w:val="0"/>
        </w:rPr>
        <w:t xml:space="preserve"> </w:t>
      </w:r>
      <w:r>
        <w:rPr>
          <w:rStyle w:val="Strong"/>
          <w:b w:val="0"/>
          <w:bCs w:val="0"/>
        </w:rPr>
        <w:t xml:space="preserve">NSR Permit </w:t>
      </w:r>
      <w:r w:rsidRPr="00DE1E5C">
        <w:rPr>
          <w:rStyle w:val="Strong"/>
          <w:b w:val="0"/>
          <w:bCs w:val="0"/>
        </w:rPr>
        <w:t>95754</w:t>
      </w:r>
      <w:r>
        <w:rPr>
          <w:rStyle w:val="Strong"/>
          <w:b w:val="0"/>
          <w:bCs w:val="0"/>
        </w:rPr>
        <w:t xml:space="preserve">, </w:t>
      </w:r>
      <w:r w:rsidRPr="00A14F1D">
        <w:rPr>
          <w:rStyle w:val="Strong"/>
          <w:b w:val="0"/>
          <w:bCs w:val="0"/>
        </w:rPr>
        <w:t xml:space="preserve">SC </w:t>
      </w:r>
      <w:r w:rsidR="004A5CAC">
        <w:rPr>
          <w:rStyle w:val="Strong"/>
          <w:b w:val="0"/>
          <w:bCs w:val="0"/>
        </w:rPr>
        <w:t>46.A</w:t>
      </w:r>
      <w:r>
        <w:rPr>
          <w:rStyle w:val="Strong"/>
          <w:b w:val="0"/>
          <w:bCs w:val="0"/>
        </w:rPr>
        <w:t xml:space="preserve"> related to</w:t>
      </w:r>
      <w:r w:rsidR="004A5CAC">
        <w:rPr>
          <w:rStyle w:val="Strong"/>
          <w:b w:val="0"/>
          <w:bCs w:val="0"/>
        </w:rPr>
        <w:t xml:space="preserve"> </w:t>
      </w:r>
      <w:r w:rsidR="004A5CAC" w:rsidRPr="004A5CAC">
        <w:rPr>
          <w:rStyle w:val="Strong"/>
          <w:b w:val="0"/>
          <w:bCs w:val="0"/>
        </w:rPr>
        <w:t>calculating emissions from loading activities</w:t>
      </w:r>
      <w:r>
        <w:rPr>
          <w:rStyle w:val="Strong"/>
          <w:b w:val="0"/>
          <w:bCs w:val="0"/>
        </w:rPr>
        <w:t>, the ED notes</w:t>
      </w:r>
      <w:r w:rsidR="004A5CAC">
        <w:rPr>
          <w:rStyle w:val="Strong"/>
          <w:b w:val="0"/>
          <w:bCs w:val="0"/>
        </w:rPr>
        <w:t xml:space="preserve"> </w:t>
      </w:r>
      <w:r w:rsidR="004A5CAC" w:rsidRPr="004A5CAC">
        <w:rPr>
          <w:rStyle w:val="Strong"/>
          <w:b w:val="0"/>
          <w:bCs w:val="0"/>
        </w:rPr>
        <w:t>loading emission points and source names are contained in the MAERT of the permit, by Group A, B, or C (EPNs: DOCK-1, DOCK-2, DOCK-3, DOCK-4, RACK-1, RACK-3, RACK-5, LOAD-UNC-A, LOAD-UNC-B, LOAD-CONT-C, and LOAD-UNC-C</w:t>
      </w:r>
      <w:r w:rsidR="00FE50A4">
        <w:rPr>
          <w:rStyle w:val="Strong"/>
          <w:b w:val="0"/>
          <w:bCs w:val="0"/>
        </w:rPr>
        <w:t>)</w:t>
      </w:r>
      <w:r w:rsidR="004A5CAC" w:rsidRPr="004A5CAC">
        <w:rPr>
          <w:rStyle w:val="Strong"/>
          <w:b w:val="0"/>
          <w:bCs w:val="0"/>
        </w:rPr>
        <w:t xml:space="preserve">. The referenced equation is defined by AP-42, Section 5.2 (July 2008 edition). The equation </w:t>
      </w:r>
      <w:r w:rsidR="00982C62">
        <w:rPr>
          <w:rStyle w:val="Strong"/>
          <w:b w:val="0"/>
          <w:bCs w:val="0"/>
        </w:rPr>
        <w:t xml:space="preserve">is included </w:t>
      </w:r>
      <w:r w:rsidR="00E86A34">
        <w:rPr>
          <w:rStyle w:val="Strong"/>
          <w:b w:val="0"/>
          <w:bCs w:val="0"/>
        </w:rPr>
        <w:t>as</w:t>
      </w:r>
      <w:r w:rsidR="00E86A34" w:rsidRPr="00E86A34">
        <w:rPr>
          <w:rStyle w:val="Strong"/>
          <w:b w:val="0"/>
          <w:bCs w:val="0"/>
        </w:rPr>
        <w:t xml:space="preserve"> </w:t>
      </w:r>
      <w:r w:rsidR="00E86A34">
        <w:rPr>
          <w:rStyle w:val="Strong"/>
          <w:b w:val="0"/>
          <w:bCs w:val="0"/>
        </w:rPr>
        <w:t xml:space="preserve">SC 46.A(2) </w:t>
      </w:r>
      <w:r w:rsidR="00982C62">
        <w:rPr>
          <w:rStyle w:val="Strong"/>
          <w:b w:val="0"/>
          <w:bCs w:val="0"/>
        </w:rPr>
        <w:t>in</w:t>
      </w:r>
      <w:r w:rsidR="005B74C4" w:rsidRPr="00CC3998">
        <w:rPr>
          <w:rStyle w:val="Strong"/>
          <w:b w:val="0"/>
          <w:bCs w:val="0"/>
        </w:rPr>
        <w:t xml:space="preserve"> NSR </w:t>
      </w:r>
      <w:r w:rsidR="005B74C4">
        <w:rPr>
          <w:rStyle w:val="Strong"/>
          <w:b w:val="0"/>
          <w:bCs w:val="0"/>
        </w:rPr>
        <w:t xml:space="preserve">permit </w:t>
      </w:r>
      <w:r w:rsidR="005B74C4" w:rsidRPr="00CC3998">
        <w:rPr>
          <w:rStyle w:val="Strong"/>
          <w:b w:val="0"/>
          <w:bCs w:val="0"/>
        </w:rPr>
        <w:t>95754 (Project 345739)</w:t>
      </w:r>
      <w:r w:rsidR="00982C62">
        <w:rPr>
          <w:rStyle w:val="Strong"/>
          <w:b w:val="0"/>
          <w:bCs w:val="0"/>
        </w:rPr>
        <w:t xml:space="preserve">, </w:t>
      </w:r>
      <w:r w:rsidR="00B91654">
        <w:rPr>
          <w:rStyle w:val="Strong"/>
          <w:b w:val="0"/>
          <w:bCs w:val="0"/>
        </w:rPr>
        <w:t xml:space="preserve">issued </w:t>
      </w:r>
      <w:r w:rsidR="00E86A34">
        <w:rPr>
          <w:rStyle w:val="Strong"/>
          <w:b w:val="0"/>
          <w:bCs w:val="0"/>
        </w:rPr>
        <w:t>June 8, 2023</w:t>
      </w:r>
      <w:r w:rsidR="005B74C4" w:rsidRPr="00CC3998">
        <w:rPr>
          <w:rStyle w:val="Strong"/>
          <w:b w:val="0"/>
          <w:bCs w:val="0"/>
        </w:rPr>
        <w:t>.</w:t>
      </w:r>
    </w:p>
    <w:p w14:paraId="56D6ADB1" w14:textId="29E8B204" w:rsidR="00026818" w:rsidRDefault="00026818" w:rsidP="00026818">
      <w:pPr>
        <w:jc w:val="center"/>
        <w:rPr>
          <w:rStyle w:val="Strong"/>
          <w:b w:val="0"/>
          <w:bCs w:val="0"/>
        </w:rPr>
      </w:pPr>
    </w:p>
    <w:p w14:paraId="01545B36" w14:textId="0ACF03FA" w:rsidR="00FE50A4" w:rsidRDefault="00FE50A4" w:rsidP="004A5CAC">
      <w:pPr>
        <w:rPr>
          <w:rStyle w:val="Strong"/>
          <w:b w:val="0"/>
          <w:bCs w:val="0"/>
        </w:rPr>
      </w:pPr>
      <w:r w:rsidRPr="00725612">
        <w:rPr>
          <w:rStyle w:val="Strong"/>
        </w:rPr>
        <w:t>TCEQ R</w:t>
      </w:r>
      <w:r>
        <w:rPr>
          <w:rStyle w:val="Strong"/>
        </w:rPr>
        <w:t xml:space="preserve">esponse to EPA Objection 1i: </w:t>
      </w:r>
      <w:r w:rsidRPr="00713630">
        <w:rPr>
          <w:rStyle w:val="Strong"/>
          <w:b w:val="0"/>
          <w:bCs w:val="0"/>
        </w:rPr>
        <w:t>In regard</w:t>
      </w:r>
      <w:r>
        <w:rPr>
          <w:rStyle w:val="Strong"/>
          <w:b w:val="0"/>
          <w:bCs w:val="0"/>
        </w:rPr>
        <w:t xml:space="preserve"> to</w:t>
      </w:r>
      <w:r w:rsidRPr="00A14F1D">
        <w:rPr>
          <w:rStyle w:val="Strong"/>
          <w:b w:val="0"/>
          <w:bCs w:val="0"/>
        </w:rPr>
        <w:t xml:space="preserve"> </w:t>
      </w:r>
      <w:r>
        <w:rPr>
          <w:rStyle w:val="Strong"/>
          <w:b w:val="0"/>
          <w:bCs w:val="0"/>
        </w:rPr>
        <w:t xml:space="preserve">NSR Permit </w:t>
      </w:r>
      <w:r w:rsidRPr="00DE1E5C">
        <w:rPr>
          <w:rStyle w:val="Strong"/>
          <w:b w:val="0"/>
          <w:bCs w:val="0"/>
        </w:rPr>
        <w:t>95754</w:t>
      </w:r>
      <w:r>
        <w:rPr>
          <w:rStyle w:val="Strong"/>
          <w:b w:val="0"/>
          <w:bCs w:val="0"/>
        </w:rPr>
        <w:t xml:space="preserve">, </w:t>
      </w:r>
      <w:r w:rsidRPr="00A14F1D">
        <w:rPr>
          <w:rStyle w:val="Strong"/>
          <w:b w:val="0"/>
          <w:bCs w:val="0"/>
        </w:rPr>
        <w:t xml:space="preserve">SC </w:t>
      </w:r>
      <w:r>
        <w:rPr>
          <w:rStyle w:val="Strong"/>
          <w:b w:val="0"/>
          <w:bCs w:val="0"/>
        </w:rPr>
        <w:t xml:space="preserve">46.A.3 and 4 related to </w:t>
      </w:r>
      <w:r w:rsidRPr="004A5CAC">
        <w:rPr>
          <w:rStyle w:val="Strong"/>
          <w:b w:val="0"/>
          <w:bCs w:val="0"/>
        </w:rPr>
        <w:t xml:space="preserve">emissions </w:t>
      </w:r>
      <w:r w:rsidR="004A6903" w:rsidRPr="004A6903">
        <w:rPr>
          <w:rStyle w:val="Strong"/>
          <w:b w:val="0"/>
          <w:bCs w:val="0"/>
        </w:rPr>
        <w:t>associated with the transfer of a product</w:t>
      </w:r>
      <w:r>
        <w:rPr>
          <w:rStyle w:val="Strong"/>
          <w:b w:val="0"/>
          <w:bCs w:val="0"/>
        </w:rPr>
        <w:t xml:space="preserve">, the ED notes </w:t>
      </w:r>
      <w:r w:rsidR="004A6903">
        <w:rPr>
          <w:rStyle w:val="Strong"/>
          <w:b w:val="0"/>
          <w:bCs w:val="0"/>
        </w:rPr>
        <w:t>t</w:t>
      </w:r>
      <w:r w:rsidRPr="004A5CAC">
        <w:rPr>
          <w:rStyle w:val="Strong"/>
          <w:b w:val="0"/>
          <w:bCs w:val="0"/>
        </w:rPr>
        <w:t>he equation</w:t>
      </w:r>
      <w:r w:rsidR="004A6903">
        <w:rPr>
          <w:rStyle w:val="Strong"/>
          <w:b w:val="0"/>
          <w:bCs w:val="0"/>
        </w:rPr>
        <w:t>s</w:t>
      </w:r>
      <w:r w:rsidRPr="004A5CAC">
        <w:rPr>
          <w:rStyle w:val="Strong"/>
          <w:b w:val="0"/>
          <w:bCs w:val="0"/>
        </w:rPr>
        <w:t xml:space="preserve"> w</w:t>
      </w:r>
      <w:r w:rsidR="004A6903">
        <w:rPr>
          <w:rStyle w:val="Strong"/>
          <w:b w:val="0"/>
          <w:bCs w:val="0"/>
        </w:rPr>
        <w:t>ere</w:t>
      </w:r>
      <w:r w:rsidRPr="004A5CAC">
        <w:rPr>
          <w:rStyle w:val="Strong"/>
          <w:b w:val="0"/>
          <w:bCs w:val="0"/>
        </w:rPr>
        <w:t xml:space="preserve"> inadvertently left out of the </w:t>
      </w:r>
      <w:r>
        <w:rPr>
          <w:rStyle w:val="Strong"/>
          <w:b w:val="0"/>
          <w:bCs w:val="0"/>
        </w:rPr>
        <w:t xml:space="preserve">NSR </w:t>
      </w:r>
      <w:r w:rsidRPr="004A5CAC">
        <w:rPr>
          <w:rStyle w:val="Strong"/>
          <w:b w:val="0"/>
          <w:bCs w:val="0"/>
        </w:rPr>
        <w:t>permit</w:t>
      </w:r>
      <w:r w:rsidR="004A6903">
        <w:rPr>
          <w:rStyle w:val="Strong"/>
          <w:b w:val="0"/>
          <w:bCs w:val="0"/>
        </w:rPr>
        <w:t xml:space="preserve"> are listed below</w:t>
      </w:r>
      <w:r>
        <w:rPr>
          <w:rStyle w:val="Strong"/>
          <w:b w:val="0"/>
          <w:bCs w:val="0"/>
        </w:rPr>
        <w:t>.</w:t>
      </w:r>
      <w:r w:rsidR="00415E3D">
        <w:rPr>
          <w:rStyle w:val="Strong"/>
          <w:b w:val="0"/>
          <w:bCs w:val="0"/>
        </w:rPr>
        <w:t xml:space="preserve"> They are included as</w:t>
      </w:r>
      <w:r w:rsidR="00415E3D" w:rsidRPr="00E86A34">
        <w:rPr>
          <w:rStyle w:val="Strong"/>
          <w:b w:val="0"/>
          <w:bCs w:val="0"/>
        </w:rPr>
        <w:t xml:space="preserve"> </w:t>
      </w:r>
      <w:r w:rsidR="00415E3D">
        <w:rPr>
          <w:rStyle w:val="Strong"/>
          <w:b w:val="0"/>
          <w:bCs w:val="0"/>
        </w:rPr>
        <w:t>SC 46.A(</w:t>
      </w:r>
      <w:r w:rsidR="007B2721">
        <w:rPr>
          <w:rStyle w:val="Strong"/>
          <w:b w:val="0"/>
          <w:bCs w:val="0"/>
        </w:rPr>
        <w:t>3</w:t>
      </w:r>
      <w:r w:rsidR="00415E3D">
        <w:rPr>
          <w:rStyle w:val="Strong"/>
          <w:b w:val="0"/>
          <w:bCs w:val="0"/>
        </w:rPr>
        <w:t xml:space="preserve">) </w:t>
      </w:r>
      <w:r w:rsidR="007B2721">
        <w:rPr>
          <w:rStyle w:val="Strong"/>
          <w:b w:val="0"/>
          <w:bCs w:val="0"/>
        </w:rPr>
        <w:t xml:space="preserve">and (4) </w:t>
      </w:r>
      <w:r w:rsidR="00415E3D">
        <w:rPr>
          <w:rStyle w:val="Strong"/>
          <w:b w:val="0"/>
          <w:bCs w:val="0"/>
        </w:rPr>
        <w:t>in</w:t>
      </w:r>
      <w:r w:rsidR="00415E3D" w:rsidRPr="00CC3998">
        <w:rPr>
          <w:rStyle w:val="Strong"/>
          <w:b w:val="0"/>
          <w:bCs w:val="0"/>
        </w:rPr>
        <w:t xml:space="preserve"> NSR </w:t>
      </w:r>
      <w:r w:rsidR="00415E3D">
        <w:rPr>
          <w:rStyle w:val="Strong"/>
          <w:b w:val="0"/>
          <w:bCs w:val="0"/>
        </w:rPr>
        <w:t xml:space="preserve">permit </w:t>
      </w:r>
      <w:r w:rsidR="00415E3D" w:rsidRPr="00CC3998">
        <w:rPr>
          <w:rStyle w:val="Strong"/>
          <w:b w:val="0"/>
          <w:bCs w:val="0"/>
        </w:rPr>
        <w:t>95754 (Project 345739)</w:t>
      </w:r>
      <w:r w:rsidR="00415E3D">
        <w:rPr>
          <w:rStyle w:val="Strong"/>
          <w:b w:val="0"/>
          <w:bCs w:val="0"/>
        </w:rPr>
        <w:t>, issued June 8, 2023</w:t>
      </w:r>
      <w:r w:rsidR="00415E3D" w:rsidRPr="00CC3998">
        <w:rPr>
          <w:rStyle w:val="Strong"/>
          <w:b w:val="0"/>
          <w:bCs w:val="0"/>
        </w:rPr>
        <w:t>.</w:t>
      </w:r>
    </w:p>
    <w:p w14:paraId="792F1666" w14:textId="77777777" w:rsidR="007B2721" w:rsidRDefault="007B2721" w:rsidP="00DE1E5C">
      <w:pPr>
        <w:rPr>
          <w:rStyle w:val="Strong"/>
          <w:b w:val="0"/>
          <w:bCs w:val="0"/>
        </w:rPr>
      </w:pPr>
    </w:p>
    <w:p w14:paraId="5B54B6E4" w14:textId="13BBAC1B" w:rsidR="001666E4" w:rsidRPr="0025439E" w:rsidRDefault="00B8026B" w:rsidP="00DE1E5C">
      <w:pPr>
        <w:rPr>
          <w:rStyle w:val="Strong"/>
          <w:b w:val="0"/>
          <w:bCs w:val="0"/>
        </w:rPr>
      </w:pPr>
      <w:r w:rsidRPr="0025439E">
        <w:rPr>
          <w:rStyle w:val="Strong"/>
          <w:b w:val="0"/>
          <w:bCs w:val="0"/>
        </w:rPr>
        <w:t>The following EPNs are applicable to the emission calculation methodology required in Special Condition No 46.A(3) and 46.A(4)</w:t>
      </w:r>
    </w:p>
    <w:p w14:paraId="68DB11A6" w14:textId="3740F5AE" w:rsidR="00B8026B" w:rsidRPr="0025439E" w:rsidRDefault="00B8026B" w:rsidP="00DE1E5C">
      <w:pPr>
        <w:rPr>
          <w:rStyle w:val="Strong"/>
          <w:b w:val="0"/>
          <w:bCs w:val="0"/>
        </w:rPr>
      </w:pPr>
    </w:p>
    <w:p w14:paraId="0E0C1E3A" w14:textId="0B16B40E" w:rsidR="00B8026B" w:rsidRPr="0025439E" w:rsidRDefault="00B8026B" w:rsidP="00CA3747">
      <w:pPr>
        <w:rPr>
          <w:rStyle w:val="Strong"/>
          <w:b w:val="0"/>
          <w:bCs w:val="0"/>
        </w:rPr>
      </w:pPr>
      <w:r w:rsidRPr="0025439E">
        <w:rPr>
          <w:rStyle w:val="Strong"/>
          <w:b w:val="0"/>
          <w:bCs w:val="0"/>
        </w:rPr>
        <w:t>SC 46.A</w:t>
      </w:r>
      <w:r w:rsidR="001A0EBF" w:rsidRPr="0025439E">
        <w:rPr>
          <w:rStyle w:val="Strong"/>
          <w:b w:val="0"/>
          <w:bCs w:val="0"/>
        </w:rPr>
        <w:t>(</w:t>
      </w:r>
      <w:r w:rsidRPr="0025439E">
        <w:rPr>
          <w:rStyle w:val="Strong"/>
          <w:b w:val="0"/>
          <w:bCs w:val="0"/>
        </w:rPr>
        <w:t>3</w:t>
      </w:r>
      <w:r w:rsidR="001A0EBF" w:rsidRPr="0025439E">
        <w:rPr>
          <w:rStyle w:val="Strong"/>
          <w:b w:val="0"/>
          <w:bCs w:val="0"/>
        </w:rPr>
        <w:t>)</w:t>
      </w:r>
      <w:r w:rsidR="00CA3747" w:rsidRPr="0025439E">
        <w:rPr>
          <w:rStyle w:val="Strong"/>
          <w:b w:val="0"/>
          <w:bCs w:val="0"/>
        </w:rPr>
        <w:t xml:space="preserve">: </w:t>
      </w:r>
      <w:r w:rsidRPr="0025439E">
        <w:rPr>
          <w:rStyle w:val="Strong"/>
          <w:b w:val="0"/>
          <w:bCs w:val="0"/>
        </w:rPr>
        <w:t>EPNs LOADUNC-A, LOADUNC-B, LOADUNC-B</w:t>
      </w:r>
    </w:p>
    <w:p w14:paraId="4F976C58" w14:textId="7F245311" w:rsidR="00B8026B" w:rsidRPr="0025439E" w:rsidRDefault="00B8026B" w:rsidP="00DE1E5C">
      <w:pPr>
        <w:rPr>
          <w:rStyle w:val="Strong"/>
          <w:b w:val="0"/>
          <w:bCs w:val="0"/>
        </w:rPr>
      </w:pPr>
    </w:p>
    <w:p w14:paraId="3B5DE540" w14:textId="27E1CE8A" w:rsidR="00B8026B" w:rsidRPr="0025439E" w:rsidRDefault="00B8026B" w:rsidP="00CA3747">
      <w:pPr>
        <w:rPr>
          <w:rStyle w:val="Strong"/>
          <w:b w:val="0"/>
          <w:bCs w:val="0"/>
        </w:rPr>
      </w:pPr>
      <w:r w:rsidRPr="0025439E">
        <w:rPr>
          <w:rStyle w:val="Strong"/>
          <w:b w:val="0"/>
          <w:bCs w:val="0"/>
        </w:rPr>
        <w:t xml:space="preserve">SC </w:t>
      </w:r>
      <w:r w:rsidR="00CA3747" w:rsidRPr="0025439E">
        <w:rPr>
          <w:rStyle w:val="Strong"/>
          <w:b w:val="0"/>
          <w:bCs w:val="0"/>
        </w:rPr>
        <w:t>46</w:t>
      </w:r>
      <w:r w:rsidRPr="0025439E">
        <w:rPr>
          <w:rStyle w:val="Strong"/>
          <w:b w:val="0"/>
          <w:bCs w:val="0"/>
        </w:rPr>
        <w:t>.A</w:t>
      </w:r>
      <w:r w:rsidR="001A0EBF" w:rsidRPr="0025439E">
        <w:rPr>
          <w:rStyle w:val="Strong"/>
          <w:b w:val="0"/>
          <w:bCs w:val="0"/>
        </w:rPr>
        <w:t>(</w:t>
      </w:r>
      <w:r w:rsidRPr="0025439E">
        <w:rPr>
          <w:rStyle w:val="Strong"/>
          <w:b w:val="0"/>
          <w:bCs w:val="0"/>
        </w:rPr>
        <w:t>4</w:t>
      </w:r>
      <w:r w:rsidR="001A0EBF" w:rsidRPr="0025439E">
        <w:rPr>
          <w:rStyle w:val="Strong"/>
          <w:b w:val="0"/>
          <w:bCs w:val="0"/>
        </w:rPr>
        <w:t>)</w:t>
      </w:r>
      <w:r w:rsidR="00CA3747" w:rsidRPr="0025439E">
        <w:rPr>
          <w:rStyle w:val="Strong"/>
          <w:b w:val="0"/>
          <w:bCs w:val="0"/>
        </w:rPr>
        <w:t xml:space="preserve">: </w:t>
      </w:r>
      <w:r w:rsidR="00D94081" w:rsidRPr="0025439E">
        <w:rPr>
          <w:rStyle w:val="Strong"/>
          <w:b w:val="0"/>
          <w:bCs w:val="0"/>
        </w:rPr>
        <w:t>EPNs VC-001, VC-002, VC-003, FL-001, LOAD-CONT-C</w:t>
      </w:r>
      <w:r w:rsidR="0070468D">
        <w:rPr>
          <w:rStyle w:val="Strong"/>
          <w:b w:val="0"/>
          <w:bCs w:val="0"/>
        </w:rPr>
        <w:t>.</w:t>
      </w:r>
    </w:p>
    <w:p w14:paraId="03090139" w14:textId="77777777" w:rsidR="00D94081" w:rsidRPr="00392E57" w:rsidRDefault="00D94081" w:rsidP="00392E57">
      <w:pPr>
        <w:rPr>
          <w:rStyle w:val="Strong"/>
          <w:rFonts w:cs="Arial"/>
          <w:color w:val="4F81BD" w:themeColor="accent1"/>
          <w:szCs w:val="20"/>
        </w:rPr>
      </w:pPr>
    </w:p>
    <w:p w14:paraId="5B448EE3" w14:textId="77777777" w:rsidR="002C46C0" w:rsidRDefault="002C46C0" w:rsidP="00DE1E5C">
      <w:pPr>
        <w:rPr>
          <w:b/>
          <w:bCs/>
        </w:rPr>
      </w:pPr>
    </w:p>
    <w:p w14:paraId="301D4FDB" w14:textId="2DF677E7" w:rsidR="00574BEE" w:rsidRDefault="001C28AB" w:rsidP="00574BEE">
      <w:pPr>
        <w:rPr>
          <w:rStyle w:val="Strong"/>
          <w:b w:val="0"/>
          <w:bCs w:val="0"/>
        </w:rPr>
      </w:pPr>
      <w:r w:rsidRPr="00725612">
        <w:rPr>
          <w:rStyle w:val="Strong"/>
        </w:rPr>
        <w:t>TCEQ R</w:t>
      </w:r>
      <w:r>
        <w:rPr>
          <w:rStyle w:val="Strong"/>
        </w:rPr>
        <w:t xml:space="preserve">esponse to EPA Objection 1j: </w:t>
      </w:r>
      <w:r w:rsidRPr="00713630">
        <w:rPr>
          <w:rStyle w:val="Strong"/>
          <w:b w:val="0"/>
          <w:bCs w:val="0"/>
        </w:rPr>
        <w:t>In regard</w:t>
      </w:r>
      <w:r>
        <w:rPr>
          <w:rStyle w:val="Strong"/>
          <w:b w:val="0"/>
          <w:bCs w:val="0"/>
        </w:rPr>
        <w:t xml:space="preserve"> to</w:t>
      </w:r>
      <w:r w:rsidRPr="00A14F1D">
        <w:rPr>
          <w:rStyle w:val="Strong"/>
          <w:b w:val="0"/>
          <w:bCs w:val="0"/>
        </w:rPr>
        <w:t xml:space="preserve"> </w:t>
      </w:r>
      <w:r>
        <w:rPr>
          <w:rStyle w:val="Strong"/>
          <w:b w:val="0"/>
          <w:bCs w:val="0"/>
        </w:rPr>
        <w:t xml:space="preserve">NSR Permit </w:t>
      </w:r>
      <w:r w:rsidRPr="00DE1E5C">
        <w:rPr>
          <w:rStyle w:val="Strong"/>
          <w:b w:val="0"/>
          <w:bCs w:val="0"/>
        </w:rPr>
        <w:t>95754</w:t>
      </w:r>
      <w:r>
        <w:rPr>
          <w:rStyle w:val="Strong"/>
          <w:b w:val="0"/>
          <w:bCs w:val="0"/>
        </w:rPr>
        <w:t xml:space="preserve">, </w:t>
      </w:r>
      <w:r w:rsidRPr="00A14F1D">
        <w:rPr>
          <w:rStyle w:val="Strong"/>
          <w:b w:val="0"/>
          <w:bCs w:val="0"/>
        </w:rPr>
        <w:t xml:space="preserve">SC </w:t>
      </w:r>
      <w:r>
        <w:rPr>
          <w:rStyle w:val="Strong"/>
          <w:b w:val="0"/>
          <w:bCs w:val="0"/>
        </w:rPr>
        <w:t xml:space="preserve">46.E related </w:t>
      </w:r>
      <w:r w:rsidR="00B60B83">
        <w:rPr>
          <w:rStyle w:val="Strong"/>
          <w:b w:val="0"/>
          <w:bCs w:val="0"/>
        </w:rPr>
        <w:t xml:space="preserve">to </w:t>
      </w:r>
      <w:r w:rsidR="00D42EB8">
        <w:rPr>
          <w:rStyle w:val="Strong"/>
          <w:b w:val="0"/>
          <w:bCs w:val="0"/>
        </w:rPr>
        <w:t xml:space="preserve">an </w:t>
      </w:r>
      <w:r w:rsidR="00B60B83">
        <w:rPr>
          <w:rStyle w:val="Strong"/>
          <w:b w:val="0"/>
          <w:bCs w:val="0"/>
        </w:rPr>
        <w:t xml:space="preserve">apparent combination of </w:t>
      </w:r>
      <w:r w:rsidRPr="001C28AB">
        <w:rPr>
          <w:rStyle w:val="Strong"/>
          <w:b w:val="0"/>
          <w:bCs w:val="0"/>
        </w:rPr>
        <w:t>two unrelated permit conditions</w:t>
      </w:r>
      <w:r w:rsidR="00B60B83">
        <w:rPr>
          <w:rStyle w:val="Strong"/>
          <w:b w:val="0"/>
          <w:bCs w:val="0"/>
        </w:rPr>
        <w:t xml:space="preserve">, the ED </w:t>
      </w:r>
      <w:r w:rsidR="00944059">
        <w:rPr>
          <w:rStyle w:val="Strong"/>
          <w:b w:val="0"/>
          <w:bCs w:val="0"/>
        </w:rPr>
        <w:t>agrees that the</w:t>
      </w:r>
      <w:r w:rsidR="00B60B83">
        <w:rPr>
          <w:rStyle w:val="Strong"/>
          <w:b w:val="0"/>
          <w:bCs w:val="0"/>
        </w:rPr>
        <w:t xml:space="preserve"> </w:t>
      </w:r>
      <w:r w:rsidR="00574BEE" w:rsidRPr="00574BEE">
        <w:rPr>
          <w:rStyle w:val="Strong"/>
          <w:b w:val="0"/>
          <w:bCs w:val="0"/>
        </w:rPr>
        <w:t xml:space="preserve">noted text </w:t>
      </w:r>
      <w:r w:rsidR="00944059">
        <w:rPr>
          <w:rStyle w:val="Strong"/>
          <w:b w:val="0"/>
          <w:bCs w:val="0"/>
        </w:rPr>
        <w:t xml:space="preserve">in SC 46.E </w:t>
      </w:r>
      <w:r w:rsidR="00574BEE" w:rsidRPr="00574BEE">
        <w:rPr>
          <w:rStyle w:val="Strong"/>
          <w:b w:val="0"/>
          <w:bCs w:val="0"/>
        </w:rPr>
        <w:t>reflects a formatting error which requires updating</w:t>
      </w:r>
      <w:r w:rsidR="00944059">
        <w:rPr>
          <w:rStyle w:val="Strong"/>
          <w:b w:val="0"/>
          <w:bCs w:val="0"/>
        </w:rPr>
        <w:t xml:space="preserve"> the special condition</w:t>
      </w:r>
      <w:r w:rsidR="00574BEE" w:rsidRPr="00574BEE">
        <w:rPr>
          <w:rStyle w:val="Strong"/>
          <w:b w:val="0"/>
          <w:bCs w:val="0"/>
        </w:rPr>
        <w:t xml:space="preserve"> to reflect a new SC with current SC 46.F – H being applicable requirements associated with the VCUs and flare.</w:t>
      </w:r>
      <w:r w:rsidR="009A30DF">
        <w:rPr>
          <w:rStyle w:val="Strong"/>
          <w:b w:val="0"/>
          <w:bCs w:val="0"/>
        </w:rPr>
        <w:t xml:space="preserve"> </w:t>
      </w:r>
      <w:r w:rsidR="009A30DF" w:rsidRPr="00064655">
        <w:rPr>
          <w:rStyle w:val="Strong"/>
          <w:b w:val="0"/>
          <w:bCs w:val="0"/>
        </w:rPr>
        <w:t xml:space="preserve">The revised SC 46.F-H has been included in </w:t>
      </w:r>
      <w:r w:rsidR="00064655">
        <w:rPr>
          <w:rStyle w:val="Strong"/>
          <w:b w:val="0"/>
          <w:bCs w:val="0"/>
        </w:rPr>
        <w:t xml:space="preserve">pending </w:t>
      </w:r>
      <w:r w:rsidR="00064655" w:rsidRPr="00CC3998">
        <w:rPr>
          <w:rStyle w:val="Strong"/>
          <w:b w:val="0"/>
          <w:bCs w:val="0"/>
        </w:rPr>
        <w:t xml:space="preserve">Amendment/Renewal for NSR </w:t>
      </w:r>
      <w:r w:rsidR="00064655">
        <w:rPr>
          <w:rStyle w:val="Strong"/>
          <w:b w:val="0"/>
          <w:bCs w:val="0"/>
        </w:rPr>
        <w:t xml:space="preserve">permit </w:t>
      </w:r>
      <w:r w:rsidR="00064655" w:rsidRPr="00CC3998">
        <w:rPr>
          <w:rStyle w:val="Strong"/>
          <w:b w:val="0"/>
          <w:bCs w:val="0"/>
        </w:rPr>
        <w:t xml:space="preserve">95754 (Project 345739) and </w:t>
      </w:r>
      <w:r w:rsidR="00064655">
        <w:rPr>
          <w:rStyle w:val="Strong"/>
          <w:b w:val="0"/>
          <w:bCs w:val="0"/>
        </w:rPr>
        <w:t xml:space="preserve">upon issuance applicant intends to submit a Title V revision project </w:t>
      </w:r>
      <w:r w:rsidR="00064655" w:rsidRPr="00CC3998">
        <w:rPr>
          <w:rStyle w:val="Strong"/>
          <w:b w:val="0"/>
          <w:bCs w:val="0"/>
        </w:rPr>
        <w:t xml:space="preserve">to incorporate by reference </w:t>
      </w:r>
      <w:r w:rsidR="00064655">
        <w:rPr>
          <w:rStyle w:val="Strong"/>
          <w:b w:val="0"/>
          <w:bCs w:val="0"/>
        </w:rPr>
        <w:t xml:space="preserve">the revised </w:t>
      </w:r>
      <w:r w:rsidR="00064655" w:rsidRPr="00CC3998">
        <w:rPr>
          <w:rStyle w:val="Strong"/>
          <w:b w:val="0"/>
          <w:bCs w:val="0"/>
        </w:rPr>
        <w:t>NSR Permit 95754</w:t>
      </w:r>
      <w:r w:rsidR="00064655">
        <w:rPr>
          <w:rStyle w:val="Strong"/>
          <w:b w:val="0"/>
          <w:bCs w:val="0"/>
        </w:rPr>
        <w:t xml:space="preserve"> </w:t>
      </w:r>
      <w:r w:rsidR="00064655" w:rsidRPr="00CC3998">
        <w:rPr>
          <w:rStyle w:val="Strong"/>
          <w:b w:val="0"/>
          <w:bCs w:val="0"/>
        </w:rPr>
        <w:t xml:space="preserve">(Project 345739) </w:t>
      </w:r>
      <w:r w:rsidR="00064655">
        <w:rPr>
          <w:rStyle w:val="Strong"/>
          <w:b w:val="0"/>
          <w:bCs w:val="0"/>
        </w:rPr>
        <w:t>into FOP O3785</w:t>
      </w:r>
      <w:r w:rsidR="00064655" w:rsidRPr="00CC3998">
        <w:rPr>
          <w:rStyle w:val="Strong"/>
          <w:b w:val="0"/>
          <w:bCs w:val="0"/>
        </w:rPr>
        <w:t>.</w:t>
      </w:r>
    </w:p>
    <w:p w14:paraId="7FA0CAC6" w14:textId="77777777" w:rsidR="00064655" w:rsidRPr="00574BEE" w:rsidRDefault="00064655" w:rsidP="00574BEE">
      <w:pPr>
        <w:rPr>
          <w:rStyle w:val="Strong"/>
          <w:b w:val="0"/>
          <w:bCs w:val="0"/>
        </w:rPr>
      </w:pPr>
    </w:p>
    <w:p w14:paraId="2000FF7D" w14:textId="6DCD9270" w:rsidR="001C28AB" w:rsidRDefault="00944059" w:rsidP="00574BEE">
      <w:pPr>
        <w:rPr>
          <w:rStyle w:val="Strong"/>
          <w:b w:val="0"/>
          <w:bCs w:val="0"/>
        </w:rPr>
      </w:pPr>
      <w:r>
        <w:rPr>
          <w:rStyle w:val="Strong"/>
          <w:b w:val="0"/>
          <w:bCs w:val="0"/>
        </w:rPr>
        <w:t>SC</w:t>
      </w:r>
      <w:r w:rsidR="00574BEE" w:rsidRPr="00574BEE">
        <w:rPr>
          <w:rStyle w:val="Strong"/>
          <w:b w:val="0"/>
          <w:bCs w:val="0"/>
        </w:rPr>
        <w:t xml:space="preserve"> 46 establishes the emission calculation methodologies upon which </w:t>
      </w:r>
      <w:r>
        <w:rPr>
          <w:rStyle w:val="Strong"/>
          <w:b w:val="0"/>
          <w:bCs w:val="0"/>
        </w:rPr>
        <w:t xml:space="preserve">the permit holder </w:t>
      </w:r>
      <w:r w:rsidR="00574BEE" w:rsidRPr="00574BEE">
        <w:rPr>
          <w:rStyle w:val="Strong"/>
          <w:b w:val="0"/>
          <w:bCs w:val="0"/>
        </w:rPr>
        <w:t>is required to demonstrate compliance with the Maximum Allowable Emission Rate Table (MAERT). The phrase “potential to emit” is not intended to refer to anything other than the MAERT</w:t>
      </w:r>
      <w:r>
        <w:rPr>
          <w:rStyle w:val="Strong"/>
          <w:b w:val="0"/>
          <w:bCs w:val="0"/>
        </w:rPr>
        <w:t xml:space="preserve">, which is </w:t>
      </w:r>
      <w:r w:rsidR="00574BEE" w:rsidRPr="00574BEE">
        <w:rPr>
          <w:rStyle w:val="Strong"/>
          <w:b w:val="0"/>
          <w:bCs w:val="0"/>
        </w:rPr>
        <w:t>defined in accordance with Title 30 Texas Administrative Code Chapter 122.10(20).</w:t>
      </w:r>
    </w:p>
    <w:p w14:paraId="22A941A2" w14:textId="5247A02B" w:rsidR="00574BEE" w:rsidRDefault="00574BEE" w:rsidP="00DE1E5C">
      <w:pPr>
        <w:rPr>
          <w:rStyle w:val="Strong"/>
          <w:b w:val="0"/>
          <w:bCs w:val="0"/>
        </w:rPr>
      </w:pPr>
    </w:p>
    <w:p w14:paraId="20D873EE" w14:textId="3023546B" w:rsidR="00574BEE" w:rsidRDefault="002B037C" w:rsidP="00DE1E5C">
      <w:pPr>
        <w:rPr>
          <w:rStyle w:val="Strong"/>
          <w:b w:val="0"/>
          <w:bCs w:val="0"/>
        </w:rPr>
      </w:pPr>
      <w:r w:rsidRPr="00725612">
        <w:rPr>
          <w:rStyle w:val="Strong"/>
        </w:rPr>
        <w:t>TCEQ R</w:t>
      </w:r>
      <w:r>
        <w:rPr>
          <w:rStyle w:val="Strong"/>
        </w:rPr>
        <w:t xml:space="preserve">esponse to EPA Objection 1k: </w:t>
      </w:r>
      <w:r w:rsidRPr="00713630">
        <w:rPr>
          <w:rStyle w:val="Strong"/>
          <w:b w:val="0"/>
          <w:bCs w:val="0"/>
        </w:rPr>
        <w:t>In regard</w:t>
      </w:r>
      <w:r>
        <w:rPr>
          <w:rStyle w:val="Strong"/>
          <w:b w:val="0"/>
          <w:bCs w:val="0"/>
        </w:rPr>
        <w:t xml:space="preserve"> to</w:t>
      </w:r>
      <w:r w:rsidRPr="00A14F1D">
        <w:rPr>
          <w:rStyle w:val="Strong"/>
          <w:b w:val="0"/>
          <w:bCs w:val="0"/>
        </w:rPr>
        <w:t xml:space="preserve"> </w:t>
      </w:r>
      <w:r>
        <w:rPr>
          <w:rStyle w:val="Strong"/>
          <w:b w:val="0"/>
          <w:bCs w:val="0"/>
        </w:rPr>
        <w:t xml:space="preserve">NSR Permit </w:t>
      </w:r>
      <w:r w:rsidRPr="00DE1E5C">
        <w:rPr>
          <w:rStyle w:val="Strong"/>
          <w:b w:val="0"/>
          <w:bCs w:val="0"/>
        </w:rPr>
        <w:t>95754</w:t>
      </w:r>
      <w:r>
        <w:rPr>
          <w:rStyle w:val="Strong"/>
          <w:b w:val="0"/>
          <w:bCs w:val="0"/>
        </w:rPr>
        <w:t xml:space="preserve">, </w:t>
      </w:r>
      <w:r w:rsidRPr="00A14F1D">
        <w:rPr>
          <w:rStyle w:val="Strong"/>
          <w:b w:val="0"/>
          <w:bCs w:val="0"/>
        </w:rPr>
        <w:t xml:space="preserve">SC </w:t>
      </w:r>
      <w:r>
        <w:rPr>
          <w:rStyle w:val="Strong"/>
          <w:b w:val="0"/>
          <w:bCs w:val="0"/>
        </w:rPr>
        <w:t xml:space="preserve">46.G related to flare emissions, the ED </w:t>
      </w:r>
      <w:r w:rsidR="00F86F8F">
        <w:rPr>
          <w:rStyle w:val="Strong"/>
          <w:b w:val="0"/>
          <w:bCs w:val="0"/>
        </w:rPr>
        <w:t xml:space="preserve">notes that </w:t>
      </w:r>
      <w:r w:rsidRPr="002B037C">
        <w:rPr>
          <w:rStyle w:val="Strong"/>
          <w:b w:val="0"/>
          <w:bCs w:val="0"/>
        </w:rPr>
        <w:t>SC 31.D</w:t>
      </w:r>
      <w:r w:rsidR="00F86F8F">
        <w:rPr>
          <w:rStyle w:val="Strong"/>
          <w:b w:val="0"/>
          <w:bCs w:val="0"/>
        </w:rPr>
        <w:t xml:space="preserve"> requires</w:t>
      </w:r>
      <w:r w:rsidRPr="002B037C">
        <w:rPr>
          <w:rStyle w:val="Strong"/>
          <w:b w:val="0"/>
          <w:bCs w:val="0"/>
        </w:rPr>
        <w:t xml:space="preserve"> the </w:t>
      </w:r>
      <w:r w:rsidR="00F86F8F">
        <w:rPr>
          <w:rStyle w:val="Strong"/>
          <w:b w:val="0"/>
          <w:bCs w:val="0"/>
        </w:rPr>
        <w:t xml:space="preserve">permit holder </w:t>
      </w:r>
      <w:r w:rsidRPr="002B037C">
        <w:rPr>
          <w:rStyle w:val="Strong"/>
          <w:b w:val="0"/>
          <w:bCs w:val="0"/>
        </w:rPr>
        <w:t>to install continuous flow monitors</w:t>
      </w:r>
      <w:r w:rsidR="00F86F8F">
        <w:rPr>
          <w:rStyle w:val="Strong"/>
          <w:b w:val="0"/>
          <w:bCs w:val="0"/>
        </w:rPr>
        <w:t xml:space="preserve"> on</w:t>
      </w:r>
      <w:r w:rsidRPr="002B037C">
        <w:rPr>
          <w:rStyle w:val="Strong"/>
          <w:b w:val="0"/>
          <w:bCs w:val="0"/>
        </w:rPr>
        <w:t xml:space="preserve"> </w:t>
      </w:r>
      <w:r w:rsidR="00F86F8F" w:rsidRPr="002B037C">
        <w:rPr>
          <w:rStyle w:val="Strong"/>
          <w:b w:val="0"/>
          <w:bCs w:val="0"/>
        </w:rPr>
        <w:t xml:space="preserve">flares </w:t>
      </w:r>
      <w:r w:rsidRPr="002B037C">
        <w:rPr>
          <w:rStyle w:val="Strong"/>
          <w:b w:val="0"/>
          <w:bCs w:val="0"/>
        </w:rPr>
        <w:t>that provide a record of vent stream flow to the flare. SC</w:t>
      </w:r>
      <w:r w:rsidR="00F86F8F">
        <w:rPr>
          <w:rStyle w:val="Strong"/>
          <w:b w:val="0"/>
          <w:bCs w:val="0"/>
        </w:rPr>
        <w:t xml:space="preserve"> </w:t>
      </w:r>
      <w:r w:rsidRPr="002B037C">
        <w:rPr>
          <w:rStyle w:val="Strong"/>
          <w:b w:val="0"/>
          <w:bCs w:val="0"/>
        </w:rPr>
        <w:t>46.G specifies how to</w:t>
      </w:r>
      <w:r w:rsidR="00F86F8F">
        <w:rPr>
          <w:rStyle w:val="Strong"/>
          <w:b w:val="0"/>
          <w:bCs w:val="0"/>
        </w:rPr>
        <w:t xml:space="preserve"> </w:t>
      </w:r>
      <w:r w:rsidR="00F86F8F" w:rsidRPr="00F86F8F">
        <w:rPr>
          <w:rStyle w:val="Strong"/>
          <w:b w:val="0"/>
          <w:bCs w:val="0"/>
        </w:rPr>
        <w:t xml:space="preserve">calculate the emissions. </w:t>
      </w:r>
      <w:r w:rsidR="00A47C2F">
        <w:rPr>
          <w:rStyle w:val="Strong"/>
          <w:b w:val="0"/>
          <w:bCs w:val="0"/>
        </w:rPr>
        <w:t xml:space="preserve">Please refer to </w:t>
      </w:r>
      <w:r w:rsidR="00A47C2F" w:rsidRPr="00A47C2F">
        <w:rPr>
          <w:rStyle w:val="Strong"/>
          <w:b w:val="0"/>
          <w:bCs w:val="0"/>
        </w:rPr>
        <w:t>TCEQ Response to EPA Objection 1a</w:t>
      </w:r>
      <w:r w:rsidR="00A47C2F">
        <w:rPr>
          <w:rStyle w:val="Strong"/>
          <w:b w:val="0"/>
          <w:bCs w:val="0"/>
        </w:rPr>
        <w:t xml:space="preserve"> for additional information.</w:t>
      </w:r>
    </w:p>
    <w:p w14:paraId="566A6283" w14:textId="4A522D08" w:rsidR="006972ED" w:rsidRDefault="006972ED" w:rsidP="00DE1E5C">
      <w:pPr>
        <w:rPr>
          <w:rStyle w:val="Strong"/>
          <w:b w:val="0"/>
          <w:bCs w:val="0"/>
        </w:rPr>
      </w:pPr>
    </w:p>
    <w:p w14:paraId="0A6496A5" w14:textId="5991D11F" w:rsidR="00826C31" w:rsidRDefault="00E05F3E" w:rsidP="00DE1E5C">
      <w:pPr>
        <w:rPr>
          <w:rStyle w:val="Strong"/>
          <w:b w:val="0"/>
          <w:bCs w:val="0"/>
        </w:rPr>
      </w:pPr>
      <w:r w:rsidRPr="0025439E">
        <w:rPr>
          <w:rStyle w:val="Strong"/>
          <w:b w:val="0"/>
          <w:bCs w:val="0"/>
        </w:rPr>
        <w:t>As part of Special Condition 31, the</w:t>
      </w:r>
      <w:r w:rsidR="006B21C3" w:rsidRPr="0025439E">
        <w:rPr>
          <w:rStyle w:val="Strong"/>
          <w:b w:val="0"/>
          <w:bCs w:val="0"/>
        </w:rPr>
        <w:t xml:space="preserve"> Backup Flare </w:t>
      </w:r>
      <w:r w:rsidRPr="0025439E">
        <w:rPr>
          <w:rStyle w:val="Strong"/>
          <w:b w:val="0"/>
          <w:bCs w:val="0"/>
        </w:rPr>
        <w:t>(</w:t>
      </w:r>
      <w:r w:rsidR="006F623D" w:rsidRPr="0025439E">
        <w:rPr>
          <w:rStyle w:val="Strong"/>
          <w:b w:val="0"/>
          <w:bCs w:val="0"/>
        </w:rPr>
        <w:t xml:space="preserve">EPN </w:t>
      </w:r>
      <w:r w:rsidRPr="0025439E">
        <w:rPr>
          <w:rStyle w:val="Strong"/>
          <w:b w:val="0"/>
          <w:bCs w:val="0"/>
        </w:rPr>
        <w:t xml:space="preserve">FL-001) is required to meet the requirements listed in 40 CFR </w:t>
      </w:r>
      <w:r w:rsidR="00500EB1" w:rsidRPr="0025439E">
        <w:rPr>
          <w:rStyle w:val="Strong"/>
          <w:b w:val="0"/>
          <w:bCs w:val="0"/>
        </w:rPr>
        <w:t>§</w:t>
      </w:r>
      <w:r w:rsidRPr="0025439E">
        <w:rPr>
          <w:rStyle w:val="Strong"/>
          <w:b w:val="0"/>
          <w:bCs w:val="0"/>
        </w:rPr>
        <w:t>60.18</w:t>
      </w:r>
      <w:r w:rsidR="0011324F" w:rsidRPr="0025439E">
        <w:rPr>
          <w:rStyle w:val="Strong"/>
          <w:b w:val="0"/>
          <w:bCs w:val="0"/>
        </w:rPr>
        <w:t xml:space="preserve">, including requirements for the minimum heating value (using calculations found in 60.18 (f)(3)) and maximum tip velocity (60.18 (f)(6)). </w:t>
      </w:r>
      <w:r w:rsidR="00386783" w:rsidRPr="0025439E">
        <w:rPr>
          <w:rStyle w:val="Strong"/>
          <w:b w:val="0"/>
          <w:bCs w:val="0"/>
        </w:rPr>
        <w:t>The waste gas constituents and contribution from the stream is determined using oxygen analyzers (</w:t>
      </w:r>
      <w:r w:rsidR="001A0EBF" w:rsidRPr="0025439E">
        <w:rPr>
          <w:rStyle w:val="Strong"/>
          <w:b w:val="0"/>
          <w:bCs w:val="0"/>
        </w:rPr>
        <w:t xml:space="preserve">TCEQ NSR </w:t>
      </w:r>
      <w:r w:rsidR="00386783" w:rsidRPr="0025439E">
        <w:rPr>
          <w:rStyle w:val="Strong"/>
          <w:b w:val="0"/>
          <w:bCs w:val="0"/>
        </w:rPr>
        <w:t>Project 219916) to assure that the heat content of the vapors is above the minimum heating value. This ensures that the flare is properly combusting and meeting the required destruction efficiency as part of Special Condition 46</w:t>
      </w:r>
      <w:r w:rsidR="001A0EBF" w:rsidRPr="0025439E">
        <w:rPr>
          <w:rStyle w:val="Strong"/>
          <w:b w:val="0"/>
          <w:bCs w:val="0"/>
        </w:rPr>
        <w:t>.A(</w:t>
      </w:r>
      <w:r w:rsidR="00386783" w:rsidRPr="0025439E">
        <w:rPr>
          <w:rStyle w:val="Strong"/>
          <w:b w:val="0"/>
          <w:bCs w:val="0"/>
        </w:rPr>
        <w:t>5</w:t>
      </w:r>
      <w:r w:rsidR="001A0EBF" w:rsidRPr="0025439E">
        <w:rPr>
          <w:rStyle w:val="Strong"/>
          <w:b w:val="0"/>
          <w:bCs w:val="0"/>
        </w:rPr>
        <w:t>)</w:t>
      </w:r>
      <w:r w:rsidR="00386783" w:rsidRPr="0025439E">
        <w:rPr>
          <w:rStyle w:val="Strong"/>
          <w:b w:val="0"/>
          <w:bCs w:val="0"/>
        </w:rPr>
        <w:t xml:space="preserve"> and considered best available control</w:t>
      </w:r>
      <w:r w:rsidR="00D2106A" w:rsidRPr="0025439E">
        <w:rPr>
          <w:rStyle w:val="Strong"/>
          <w:b w:val="0"/>
          <w:bCs w:val="0"/>
        </w:rPr>
        <w:t xml:space="preserve"> during the permit review.</w:t>
      </w:r>
    </w:p>
    <w:p w14:paraId="4A10843B" w14:textId="77777777" w:rsidR="00C83481" w:rsidRPr="0025439E" w:rsidRDefault="00C83481" w:rsidP="00DE1E5C">
      <w:pPr>
        <w:rPr>
          <w:rStyle w:val="Strong"/>
          <w:b w:val="0"/>
          <w:bCs w:val="0"/>
        </w:rPr>
      </w:pPr>
    </w:p>
    <w:p w14:paraId="76AE2416" w14:textId="7C0D1132" w:rsidR="00995154" w:rsidRPr="009E36BC" w:rsidRDefault="00F22147" w:rsidP="00C83481">
      <w:pPr>
        <w:rPr>
          <w:rStyle w:val="Strong"/>
          <w:b w:val="0"/>
          <w:bCs w:val="0"/>
        </w:rPr>
      </w:pPr>
      <w:r w:rsidRPr="009E36BC">
        <w:rPr>
          <w:rStyle w:val="Strong"/>
          <w:b w:val="0"/>
          <w:bCs w:val="0"/>
        </w:rPr>
        <w:t xml:space="preserve">In regard to calculation of flare emissions, </w:t>
      </w:r>
      <w:r w:rsidR="00FE1E45" w:rsidRPr="009E36BC">
        <w:rPr>
          <w:rStyle w:val="Strong"/>
          <w:b w:val="0"/>
          <w:bCs w:val="0"/>
        </w:rPr>
        <w:t xml:space="preserve">flare is equipped with a waste gas flow meter to demonstrate compliance with the specifications of 40 CFR §60.18 as part of Special Condition No. 31. ITC utilizes oxygen analyzers to determine hydrocarbon concentrations. This information is used to calculate the flare emissions with the provided control efficiency as Part of Special Condition No. 46. Per </w:t>
      </w:r>
      <w:r w:rsidRPr="009E36BC">
        <w:rPr>
          <w:rStyle w:val="Strong"/>
          <w:b w:val="0"/>
          <w:bCs w:val="0"/>
        </w:rPr>
        <w:t>SC 46.G, the</w:t>
      </w:r>
      <w:r w:rsidR="00CA4BD0" w:rsidRPr="009E36BC">
        <w:rPr>
          <w:rStyle w:val="Strong"/>
          <w:b w:val="0"/>
          <w:bCs w:val="0"/>
        </w:rPr>
        <w:t xml:space="preserve"> emissions</w:t>
      </w:r>
      <w:r w:rsidRPr="009E36BC">
        <w:rPr>
          <w:rStyle w:val="Strong"/>
          <w:b w:val="0"/>
          <w:bCs w:val="0"/>
        </w:rPr>
        <w:t xml:space="preserve"> will first be determined by calculating the waste gas component contribution using the highest heat content of the waste gas constituent(s). Then the natural gas component will be calculated based on the feed rate required by Special Condition No. 31.D. Total flare emissions will be calculated by summing the waste gas component and the natural gas component for each flare firing period</w:t>
      </w:r>
      <w:r w:rsidR="00FE1E45" w:rsidRPr="009E36BC">
        <w:rPr>
          <w:rStyle w:val="Strong"/>
          <w:b w:val="0"/>
          <w:bCs w:val="0"/>
        </w:rPr>
        <w:t xml:space="preserve">. </w:t>
      </w:r>
    </w:p>
    <w:p w14:paraId="71726AF2" w14:textId="77777777" w:rsidR="0091289C" w:rsidRPr="009E36BC" w:rsidRDefault="0091289C" w:rsidP="00DE1E5C">
      <w:pPr>
        <w:rPr>
          <w:b/>
          <w:bCs/>
        </w:rPr>
      </w:pPr>
    </w:p>
    <w:p w14:paraId="4212B874" w14:textId="77777777" w:rsidR="006907BD" w:rsidRPr="006907BD" w:rsidRDefault="00052257" w:rsidP="006907BD">
      <w:pPr>
        <w:rPr>
          <w:rFonts w:cs="Arial"/>
          <w:szCs w:val="20"/>
        </w:rPr>
      </w:pPr>
      <w:r>
        <w:rPr>
          <w:rStyle w:val="Strong"/>
        </w:rPr>
        <w:t>EPA Objection 2</w:t>
      </w:r>
      <w:r w:rsidRPr="00725612">
        <w:rPr>
          <w:rStyle w:val="Strong"/>
        </w:rPr>
        <w:t>:</w:t>
      </w:r>
      <w:r w:rsidRPr="00725612">
        <w:t xml:space="preserve"> </w:t>
      </w:r>
      <w:r w:rsidR="006907BD" w:rsidRPr="006907BD">
        <w:rPr>
          <w:rFonts w:cs="Arial"/>
          <w:szCs w:val="20"/>
        </w:rPr>
        <w:t>Lack of Assurance to Comply with Emission Limits and Operating</w:t>
      </w:r>
    </w:p>
    <w:p w14:paraId="55623DF9" w14:textId="517FED94" w:rsidR="00052257" w:rsidRDefault="006907BD" w:rsidP="006907BD">
      <w:pPr>
        <w:rPr>
          <w:rFonts w:cs="Arial"/>
          <w:szCs w:val="20"/>
        </w:rPr>
      </w:pPr>
      <w:r w:rsidRPr="006907BD">
        <w:rPr>
          <w:rFonts w:cs="Arial"/>
          <w:szCs w:val="20"/>
        </w:rPr>
        <w:t>Requirements.</w:t>
      </w:r>
    </w:p>
    <w:p w14:paraId="33CA1751" w14:textId="77777777" w:rsidR="007C04D3" w:rsidRPr="006907BD" w:rsidRDefault="007C04D3" w:rsidP="006907BD">
      <w:pPr>
        <w:rPr>
          <w:rFonts w:cs="Arial"/>
          <w:szCs w:val="20"/>
        </w:rPr>
      </w:pPr>
    </w:p>
    <w:p w14:paraId="46C4BD36" w14:textId="77777777" w:rsidR="00FE3D8E" w:rsidRPr="00FE3D8E" w:rsidRDefault="00FE3D8E" w:rsidP="00FE3D8E">
      <w:pPr>
        <w:rPr>
          <w:rFonts w:cs="Arial"/>
          <w:color w:val="000000"/>
          <w:szCs w:val="20"/>
        </w:rPr>
      </w:pPr>
      <w:r w:rsidRPr="00FE3D8E">
        <w:rPr>
          <w:rFonts w:cs="Arial"/>
          <w:color w:val="000000"/>
          <w:szCs w:val="20"/>
        </w:rPr>
        <w:t xml:space="preserve">Commenters identified several areas of concern regarding the monitoring requirements in NSR permit 95754 which is incorporated by reference into the title V permit. In responding to comments, TCEQ explained that Texas has a two-permit system and only NSR permits authorize air emissions under 30 TAC Chapter 116 and/or under 30 TAC Chapter 106 for PBRs. RTC Response 5, 6, 9, 10, and 11. TCEQ stated in their response to some of the public comments, “This is a Title V permitting action and therefore challenges related to emission limits or changes in emission limits in NSR permits are beyond the scope of this Title V review”. Many of these comments were related to how emissions are calculated, the monitoring established by the NSR permit, or how compliance with emission limits is determined. TCEQ </w:t>
      </w:r>
      <w:r w:rsidRPr="00FE3D8E">
        <w:rPr>
          <w:rFonts w:cs="Arial"/>
          <w:color w:val="000000"/>
          <w:szCs w:val="20"/>
        </w:rPr>
        <w:lastRenderedPageBreak/>
        <w:t xml:space="preserve">does note in response to these comments that similar comments were made during the public comment period for the NSR permit and provides the content ID to obtain the more detailed response that was provided in that response to comments. TCEQ should consider reevaluating comments as they are received on title V permits even if similar comments were addressed under review of the underlying NSR permit. The EPA does view monitoring, recordkeeping, and reporting adequacy to be part of the title V permitting process and will therefore continue to review whether a title V permit contains adequate monitoring, recordkeeping, and reporting provisions sufficient to assure compliance with the terms and conditions established in the preconstruction permit. EPA has identified conditions in the NSR permit in the comment above where we question if the permit does contain adequate monitoring requirements. The statutory obligations to ensure that each title V permit contains “enforceable emission limitations and standards” supported by “monitoring . . . requirements to assure compliance with the permit terms and conditions,” 42 U.S.C. § 7661c(a), (c), apply independently from and in addition to the underlying regulations and permit actions that give rise to the emission limits and standards that are included in a title V permit.” See South Louisiana Methanol Order at 10; </w:t>
      </w:r>
      <w:proofErr w:type="spellStart"/>
      <w:r w:rsidRPr="00FE3D8E">
        <w:rPr>
          <w:rFonts w:cs="Arial"/>
          <w:color w:val="000000"/>
          <w:szCs w:val="20"/>
        </w:rPr>
        <w:t>Yuhuang</w:t>
      </w:r>
      <w:proofErr w:type="spellEnd"/>
      <w:r w:rsidRPr="00FE3D8E">
        <w:rPr>
          <w:rFonts w:cs="Arial"/>
          <w:color w:val="000000"/>
          <w:szCs w:val="20"/>
        </w:rPr>
        <w:t xml:space="preserve"> II Order at 7-8; PacifiCorp-Hunter Order at 16, 17, 18, 18 n.33, 19; Big River Steel Order at 17, 17 n.30, 19 n.32, 20. Therefore, regardless of the monitoring, recordkeeping, and reporting initially associated with a minor NSR permit or PBR, TCEQ has a statutory obligation independent of the process of issuing those permits to evaluate monitoring, recordkeeping, and reporting in the title V permitting process to ensure that these terms are sufficient to assure compliance with all applicable requirements and title V permit terms. Sierra Club v. EPA, 536 F.3d 673 (D.C. Cir. 2008); see Motiva Order at 25-26.</w:t>
      </w:r>
    </w:p>
    <w:p w14:paraId="049BA64D" w14:textId="77777777" w:rsidR="00FE3D8E" w:rsidRPr="00FE3D8E" w:rsidRDefault="00FE3D8E" w:rsidP="00FE3D8E">
      <w:pPr>
        <w:rPr>
          <w:rFonts w:cs="Arial"/>
          <w:color w:val="000000"/>
          <w:szCs w:val="20"/>
        </w:rPr>
      </w:pPr>
    </w:p>
    <w:p w14:paraId="228833E6" w14:textId="04E6CDB5" w:rsidR="006907BD" w:rsidRPr="00C46A60" w:rsidRDefault="00FE3D8E" w:rsidP="00FE3D8E">
      <w:pPr>
        <w:rPr>
          <w:rFonts w:cs="Arial"/>
          <w:szCs w:val="20"/>
        </w:rPr>
      </w:pPr>
      <w:r w:rsidRPr="00FE3D8E">
        <w:rPr>
          <w:rFonts w:cs="Arial"/>
          <w:color w:val="000000"/>
          <w:szCs w:val="20"/>
        </w:rPr>
        <w:t>In responding to this objection, TCEQ should amend the permit and permit record as necessary to specify monitoring, recordkeeping, and reporting requirements that assure compliance with the emission limits and operational requirements in NSR permit 95754. If the title V permit, the underlying NSR permit, or the enforceable representations in the application already contain adequate terms to assure compliance with the NSR permit, then TCEQ should amend the permit and/or permit record to identify such terms and explain how these requirements assure compliance with these emission limits and operational requirements for an individual emission unit, process area, or site-wide where such permit applies site-wide</w:t>
      </w:r>
      <w:r w:rsidR="006907BD" w:rsidRPr="00C46A60">
        <w:rPr>
          <w:rFonts w:cs="Arial"/>
          <w:color w:val="191919"/>
          <w:szCs w:val="20"/>
        </w:rPr>
        <w:t>.</w:t>
      </w:r>
    </w:p>
    <w:p w14:paraId="45F7B36A" w14:textId="77777777" w:rsidR="006907BD" w:rsidRPr="00725612" w:rsidRDefault="006907BD" w:rsidP="004535E5"/>
    <w:p w14:paraId="10FCE55E" w14:textId="771698C7" w:rsidR="00786048" w:rsidRDefault="006907BD" w:rsidP="006907BD">
      <w:r w:rsidRPr="00725612">
        <w:rPr>
          <w:rStyle w:val="Strong"/>
        </w:rPr>
        <w:t>TCEQ R</w:t>
      </w:r>
      <w:r>
        <w:rPr>
          <w:rStyle w:val="Strong"/>
        </w:rPr>
        <w:t>esponse to EPA Objection 2</w:t>
      </w:r>
      <w:r w:rsidRPr="00725612">
        <w:rPr>
          <w:rStyle w:val="Strong"/>
        </w:rPr>
        <w:t>:</w:t>
      </w:r>
      <w:r w:rsidRPr="00725612">
        <w:t xml:space="preserve"> </w:t>
      </w:r>
      <w:r w:rsidR="006D5017">
        <w:t>Proposed</w:t>
      </w:r>
      <w:r w:rsidR="006D5017" w:rsidRPr="006D5017">
        <w:t xml:space="preserve"> permit </w:t>
      </w:r>
      <w:r w:rsidR="00A10CED">
        <w:t xml:space="preserve">O3785 </w:t>
      </w:r>
      <w:r w:rsidR="006D5017">
        <w:t xml:space="preserve">does </w:t>
      </w:r>
      <w:r w:rsidR="006D5017" w:rsidRPr="006D5017">
        <w:t xml:space="preserve">contain adequate monitoring, recordkeeping, and reporting provisions sufficient to assure compliance with the terms and conditions established in the </w:t>
      </w:r>
      <w:r w:rsidR="006D5017">
        <w:t xml:space="preserve">NSR </w:t>
      </w:r>
      <w:r w:rsidR="006D5017" w:rsidRPr="006D5017">
        <w:t>permit</w:t>
      </w:r>
      <w:r w:rsidR="006D5017">
        <w:t xml:space="preserve"> </w:t>
      </w:r>
      <w:r w:rsidR="003F336E">
        <w:t xml:space="preserve">95754. </w:t>
      </w:r>
      <w:r w:rsidR="00A10CED">
        <w:t xml:space="preserve">Please refer to pages 118 through 129 of the proposed </w:t>
      </w:r>
      <w:proofErr w:type="gramStart"/>
      <w:r w:rsidR="00A10CED">
        <w:t>permit</w:t>
      </w:r>
      <w:proofErr w:type="gramEnd"/>
      <w:r w:rsidR="00A10CED">
        <w:t xml:space="preserve"> to </w:t>
      </w:r>
      <w:r w:rsidR="00AC57BB">
        <w:t xml:space="preserve">review the unit specific periodic monitoring </w:t>
      </w:r>
      <w:r w:rsidR="003B02FD">
        <w:t xml:space="preserve">(PM) </w:t>
      </w:r>
      <w:r w:rsidR="00AC57BB">
        <w:t xml:space="preserve">and </w:t>
      </w:r>
      <w:r w:rsidR="00AC57BB" w:rsidRPr="00A34507">
        <w:t>compliance assurance monitoring</w:t>
      </w:r>
      <w:r w:rsidR="003B02FD">
        <w:t xml:space="preserve"> (CAM)</w:t>
      </w:r>
      <w:r w:rsidR="00AC57BB" w:rsidRPr="00A34507">
        <w:t xml:space="preserve"> required under Title V and 30 TAC Chapter 122</w:t>
      </w:r>
      <w:r w:rsidR="00AC57BB">
        <w:t>.</w:t>
      </w:r>
      <w:r w:rsidR="003B02FD">
        <w:t xml:space="preserve"> </w:t>
      </w:r>
    </w:p>
    <w:p w14:paraId="7A651E7B" w14:textId="77777777" w:rsidR="00031035" w:rsidRDefault="00031035" w:rsidP="006907BD"/>
    <w:p w14:paraId="44BC600D" w14:textId="6B175D59" w:rsidR="006E5E60" w:rsidRDefault="00AC57BB" w:rsidP="006907BD">
      <w:r>
        <w:t>In addition, p</w:t>
      </w:r>
      <w:r w:rsidR="00A34507">
        <w:t xml:space="preserve">lease refer to </w:t>
      </w:r>
      <w:r w:rsidR="00A34507" w:rsidRPr="00A34507">
        <w:t xml:space="preserve">TCEQ’s Source Analysis &amp; Technical Review </w:t>
      </w:r>
      <w:r w:rsidR="005F2426">
        <w:rPr>
          <w:rStyle w:val="Strong"/>
          <w:b w:val="0"/>
          <w:bCs w:val="0"/>
        </w:rPr>
        <w:t xml:space="preserve">(e.g., </w:t>
      </w:r>
      <w:r w:rsidR="005F2426" w:rsidRPr="00B16C9F">
        <w:rPr>
          <w:rStyle w:val="Strong"/>
          <w:b w:val="0"/>
          <w:bCs w:val="0"/>
        </w:rPr>
        <w:t>WCC content ID 5596193</w:t>
      </w:r>
      <w:r w:rsidR="005F2426">
        <w:rPr>
          <w:rStyle w:val="Strong"/>
          <w:b w:val="0"/>
          <w:bCs w:val="0"/>
        </w:rPr>
        <w:t xml:space="preserve">) </w:t>
      </w:r>
      <w:r w:rsidR="00786048">
        <w:rPr>
          <w:rStyle w:val="Strong"/>
          <w:b w:val="0"/>
          <w:bCs w:val="0"/>
        </w:rPr>
        <w:t xml:space="preserve">document page 7 </w:t>
      </w:r>
      <w:r w:rsidR="00A34507" w:rsidRPr="00A34507">
        <w:t>for periodic monitoring and compliance assurance monitoring required under Title V and 30 TAC Chapter 122</w:t>
      </w:r>
      <w:r w:rsidR="00786048">
        <w:t xml:space="preserve"> </w:t>
      </w:r>
      <w:r>
        <w:t xml:space="preserve">that cross references special conditions in NSR Permit </w:t>
      </w:r>
      <w:r w:rsidR="00430A98">
        <w:t>95754.</w:t>
      </w:r>
    </w:p>
    <w:p w14:paraId="49DD2127" w14:textId="77777777" w:rsidR="006E5E60" w:rsidRDefault="006E5E60" w:rsidP="006907BD"/>
    <w:p w14:paraId="64111185" w14:textId="01636EB9" w:rsidR="006907BD" w:rsidRDefault="008F1551" w:rsidP="006907BD">
      <w:r>
        <w:t>In regard to m</w:t>
      </w:r>
      <w:r w:rsidR="00D7347A">
        <w:t xml:space="preserve">onitoring </w:t>
      </w:r>
      <w:r w:rsidR="00D7347A" w:rsidRPr="006D5017">
        <w:t xml:space="preserve">recordkeeping, and reporting </w:t>
      </w:r>
      <w:r>
        <w:t>requirements</w:t>
      </w:r>
      <w:r w:rsidR="00D7347A">
        <w:t xml:space="preserve"> under</w:t>
      </w:r>
      <w:r w:rsidR="00786048">
        <w:t xml:space="preserve"> NSR Permit 95754</w:t>
      </w:r>
      <w:r>
        <w:t xml:space="preserve"> </w:t>
      </w:r>
      <w:r w:rsidR="00FF4C18">
        <w:t xml:space="preserve">and demonstration of compliance with applicable emission limits, </w:t>
      </w:r>
      <w:r>
        <w:t xml:space="preserve">please refer </w:t>
      </w:r>
      <w:r w:rsidR="00633EAC">
        <w:t xml:space="preserve">to </w:t>
      </w:r>
      <w:r w:rsidRPr="008F1551">
        <w:t>TCEQ</w:t>
      </w:r>
      <w:r w:rsidR="00633EAC">
        <w:t>’s</w:t>
      </w:r>
      <w:r w:rsidRPr="008F1551">
        <w:t xml:space="preserve"> Response to EPA Objections 1a, 1b, 1c, 1d, 1e, 1f, 1g, 1h, 1i, 1j and 1k</w:t>
      </w:r>
      <w:r w:rsidR="00363B8D">
        <w:t xml:space="preserve"> for additional details</w:t>
      </w:r>
      <w:r w:rsidR="00C87777">
        <w:t>.</w:t>
      </w:r>
      <w:r w:rsidR="00363B8D" w:rsidRPr="00363B8D">
        <w:t xml:space="preserve"> </w:t>
      </w:r>
      <w:r w:rsidR="00363B8D">
        <w:t>E</w:t>
      </w:r>
      <w:r w:rsidR="00363B8D" w:rsidRPr="00363B8D">
        <w:t xml:space="preserve">nforceable representations in the applicant’s permit applications </w:t>
      </w:r>
      <w:r w:rsidR="00377B31">
        <w:t>regarding emission calculation</w:t>
      </w:r>
      <w:r w:rsidR="008F626A">
        <w:t xml:space="preserve">s, emission limits, etc. may be found in </w:t>
      </w:r>
      <w:r w:rsidR="00363B8D" w:rsidRPr="00363B8D">
        <w:t>WCC content ID 5665298</w:t>
      </w:r>
      <w:r w:rsidR="008F626A">
        <w:t xml:space="preserve"> document.</w:t>
      </w:r>
    </w:p>
    <w:p w14:paraId="5E9B5FD5" w14:textId="09B86A2A" w:rsidR="00CB3D14" w:rsidRDefault="00CB3D14" w:rsidP="006907BD"/>
    <w:p w14:paraId="21CB40B8" w14:textId="77777777" w:rsidR="008C0288" w:rsidRDefault="008C0288" w:rsidP="004535E5"/>
    <w:p w14:paraId="3C59C845" w14:textId="77777777" w:rsidR="0027655C" w:rsidRPr="00BC07B6" w:rsidRDefault="006907BD" w:rsidP="0027655C">
      <w:pPr>
        <w:rPr>
          <w:rFonts w:cs="Arial"/>
          <w:color w:val="191919"/>
          <w:szCs w:val="20"/>
        </w:rPr>
      </w:pPr>
      <w:r>
        <w:rPr>
          <w:rStyle w:val="Strong"/>
        </w:rPr>
        <w:t>EPA Objection 3</w:t>
      </w:r>
      <w:r w:rsidRPr="00725612">
        <w:rPr>
          <w:rStyle w:val="Strong"/>
        </w:rPr>
        <w:t>:</w:t>
      </w:r>
      <w:r w:rsidRPr="00725612">
        <w:t xml:space="preserve"> </w:t>
      </w:r>
      <w:r w:rsidR="0027655C" w:rsidRPr="00BC07B6">
        <w:rPr>
          <w:rFonts w:cs="Arial"/>
          <w:color w:val="191919"/>
          <w:szCs w:val="20"/>
        </w:rPr>
        <w:t>Failure to Include Specific Enforceable Terms and Conditions for Applicable</w:t>
      </w:r>
    </w:p>
    <w:p w14:paraId="5B64C56C" w14:textId="77777777" w:rsidR="0027655C" w:rsidRPr="00BC07B6" w:rsidRDefault="0027655C" w:rsidP="0027655C">
      <w:pPr>
        <w:rPr>
          <w:rFonts w:cs="Arial"/>
          <w:szCs w:val="20"/>
        </w:rPr>
      </w:pPr>
      <w:r w:rsidRPr="00BC07B6">
        <w:rPr>
          <w:rFonts w:cs="Arial"/>
          <w:color w:val="191919"/>
          <w:szCs w:val="20"/>
        </w:rPr>
        <w:t>NESHAP Requirements.</w:t>
      </w:r>
    </w:p>
    <w:p w14:paraId="317E386A" w14:textId="43F6AF94" w:rsidR="006907BD" w:rsidRPr="00725612" w:rsidRDefault="006907BD" w:rsidP="006907BD"/>
    <w:p w14:paraId="61FD94DB" w14:textId="4F5F3301" w:rsidR="00FE3D8E" w:rsidRPr="00FE3D8E" w:rsidRDefault="00FE3D8E" w:rsidP="00FE3D8E">
      <w:pPr>
        <w:rPr>
          <w:rFonts w:cs="Arial"/>
          <w:color w:val="191919"/>
          <w:szCs w:val="20"/>
        </w:rPr>
      </w:pPr>
      <w:r w:rsidRPr="00FE3D8E">
        <w:rPr>
          <w:rFonts w:cs="Arial"/>
          <w:color w:val="191919"/>
          <w:szCs w:val="20"/>
        </w:rPr>
        <w:t xml:space="preserve">Under title V of the CAA, the EPA’s part 70 regulations, and TCEQ’s EPA-approved title V program rules, every title V permit must include all applicable requirements that apply to a source, as well as any permit </w:t>
      </w:r>
      <w:r w:rsidRPr="00FE3D8E">
        <w:rPr>
          <w:rFonts w:cs="Arial"/>
          <w:color w:val="191919"/>
          <w:szCs w:val="20"/>
        </w:rPr>
        <w:lastRenderedPageBreak/>
        <w:t>terms necessary to assure compliance with these</w:t>
      </w:r>
      <w:r>
        <w:rPr>
          <w:rFonts w:cs="Arial"/>
          <w:color w:val="191919"/>
          <w:szCs w:val="20"/>
        </w:rPr>
        <w:t xml:space="preserve"> </w:t>
      </w:r>
      <w:r w:rsidRPr="00FE3D8E">
        <w:rPr>
          <w:rFonts w:cs="Arial"/>
          <w:color w:val="191919"/>
          <w:szCs w:val="20"/>
        </w:rPr>
        <w:t>requirements. E.g., 42 U.S.C. § 7661c(a). The CAA requirement to include all applicable requirements (including NESHAP regulations) in a title V permit can be satisfied using IBR in certain circumstances. The CAA§ 504 requirement</w:t>
      </w:r>
      <w:r w:rsidR="009A10A3">
        <w:rPr>
          <w:rFonts w:cs="Arial"/>
          <w:color w:val="191919"/>
          <w:szCs w:val="20"/>
        </w:rPr>
        <w:t xml:space="preserve"> </w:t>
      </w:r>
      <w:r w:rsidRPr="00FE3D8E">
        <w:rPr>
          <w:rFonts w:cs="Arial"/>
          <w:color w:val="191919"/>
          <w:szCs w:val="20"/>
        </w:rPr>
        <w:t>to include all applicable requirements in a title V permit can be satisfied using IBR in certain circumstances. See, e.g., White Paper 2 at 40 (explaining how IBR can satisfy the requirements of CAA § 504). In all cases where IBR is employed, the title V permit must contain references that are "detailed enough that the manner in which the referenced material applies to the facility is clear and is not reasonably subject to misinterpretation." White Paper 2 at 37. Moreover, "Where only a portion of the referenced document applies, . .. permits must specify the relevant section of the document." Id.</w:t>
      </w:r>
    </w:p>
    <w:p w14:paraId="5844892C" w14:textId="77777777" w:rsidR="00FE3D8E" w:rsidRPr="00FE3D8E" w:rsidRDefault="00FE3D8E" w:rsidP="00FE3D8E">
      <w:pPr>
        <w:rPr>
          <w:rFonts w:cs="Arial"/>
          <w:color w:val="191919"/>
          <w:szCs w:val="20"/>
        </w:rPr>
      </w:pPr>
    </w:p>
    <w:p w14:paraId="584F413D" w14:textId="77777777" w:rsidR="00FE3D8E" w:rsidRPr="00FE3D8E" w:rsidRDefault="00FE3D8E" w:rsidP="00FE3D8E">
      <w:pPr>
        <w:rPr>
          <w:rFonts w:cs="Arial"/>
          <w:color w:val="191919"/>
          <w:szCs w:val="20"/>
        </w:rPr>
      </w:pPr>
      <w:r w:rsidRPr="00FE3D8E">
        <w:rPr>
          <w:rFonts w:cs="Arial"/>
          <w:color w:val="191919"/>
          <w:szCs w:val="20"/>
        </w:rPr>
        <w:t>Requirements of a NESHAP that apply to emission units at a facility are "applicable requirements." 40 C.F.R. § 70.2; 30 TAC§ 122.10(2)(I)(ii). The EPA has previously addressed the manner by which NESHAP (or NSPS) requirements may be incorporated by reference into title V permits. In 1999, the EPA rejected suggestions that states have the discretion to include high-level citations to an entire NESHAP subpart, stating: "The permit needs to cite to whatever level is necessary to identify the applicable requirements that apply to each emissions unit or group of emission units (if generic grouping is used), and to identify how those units will comply with the requirements. " The EPA has also objected to title V permits that have attempted to IBR NESHAP (or NSPS) requirements without providing sufficient detail to determine the specific requirements that apply to emission units at the source. Specifically, in the Tesoro Order, the EPA found that references to sections of a NESHAP that were not associated with specific emission units created ambiguity and applicability questions that "render[ ed] the Permit unenforceable as a practical matter and incapable of meeting the Part 70 standard that it assure compliance with all applicable requirements." In the Matter of Tesoro Refining, Order on Petition No. IX-2004-06 at 8 (March 15, 2005). Additionally, in the ETC Waha Order, the EPA found that high-level references to an entire NSPS subpart, which did not identify the specific requirements within the subpart that applied to each emissions unit, similarly failed to comply with the CAA. In the Matter of ETC Texas Pipeline, Ltd. Waha Gas Plant, Order on Petition No. VI-2020-3 at 17-19 (January 28, 2022)</w:t>
      </w:r>
    </w:p>
    <w:p w14:paraId="73869C58" w14:textId="77777777" w:rsidR="00FE3D8E" w:rsidRPr="00FE3D8E" w:rsidRDefault="00FE3D8E" w:rsidP="00FE3D8E">
      <w:pPr>
        <w:rPr>
          <w:rFonts w:cs="Arial"/>
          <w:color w:val="191919"/>
          <w:szCs w:val="20"/>
        </w:rPr>
      </w:pPr>
    </w:p>
    <w:p w14:paraId="0E28DE59" w14:textId="77777777" w:rsidR="00FE3D8E" w:rsidRPr="00FE3D8E" w:rsidRDefault="00FE3D8E" w:rsidP="00FE3D8E">
      <w:pPr>
        <w:rPr>
          <w:rFonts w:cs="Arial"/>
          <w:color w:val="191919"/>
          <w:szCs w:val="20"/>
        </w:rPr>
      </w:pPr>
      <w:r w:rsidRPr="00FE3D8E">
        <w:rPr>
          <w:rFonts w:cs="Arial"/>
          <w:color w:val="191919"/>
          <w:szCs w:val="20"/>
        </w:rPr>
        <w:t>Text from TCEQ’s EPA-approved title V regulations is arguably more specific than language found in 40 CFR 70.6(a)(1); however, the underlying principle is the same and explicitly requires citation to the appropriate applicable requirements. 30 Tex. Admin. Code § 122.142(b)(2)(B), requires Title V permits to include “the specific regulatory citations in each applicable requirement … identifying the emission limitations and standards; and … the monitoring, recordkeeping, reporting, and testing requirements associated with the emission limitations and standards … sufficient to ensure compliance with the permit.”</w:t>
      </w:r>
    </w:p>
    <w:p w14:paraId="50E6B1E8" w14:textId="77777777" w:rsidR="00FE3D8E" w:rsidRPr="00FE3D8E" w:rsidRDefault="00FE3D8E" w:rsidP="00FE3D8E">
      <w:pPr>
        <w:rPr>
          <w:rFonts w:cs="Arial"/>
          <w:color w:val="191919"/>
          <w:szCs w:val="20"/>
        </w:rPr>
      </w:pPr>
    </w:p>
    <w:p w14:paraId="1BFE2853" w14:textId="0033BDF8" w:rsidR="00FE3D8E" w:rsidRPr="00FE3D8E" w:rsidRDefault="00FE3D8E" w:rsidP="00FE3D8E">
      <w:pPr>
        <w:rPr>
          <w:rFonts w:cs="Arial"/>
          <w:color w:val="191919"/>
          <w:szCs w:val="20"/>
        </w:rPr>
      </w:pPr>
      <w:r w:rsidRPr="00FE3D8E">
        <w:rPr>
          <w:rFonts w:cs="Arial"/>
          <w:color w:val="191919"/>
          <w:szCs w:val="20"/>
        </w:rPr>
        <w:t>The permits Applicable Requirements Summary Table cites to 40 C.F.R. §§ 63.11089, 63.11088(a), or 63.11087(a) under the “Emission Limitation, Standard or Equipment Specification Citation” column and indicates: “The permit holder shall comply with the applicable limitation, standard, and/or equipment specification requirements of 40 CFR Part 63, Subpart BBBBBB” (or a similar variation of this text with respect to testing, monitoring, recordkeeping, or reporting requirements). The requirements under the citations provided might be the only applicable part of the NESHAP that is applicable, but that is not clear from the permit. The entirety of 40 C.F.R. § 63.11089 is indicated as applicable to some sources by the [G] indicated next to the citation. Looking at this entire citation, it appears to contain monthly monitoring (leak inspection under §§ 63.111000 is cited),</w:t>
      </w:r>
      <w:r w:rsidR="009A10A3">
        <w:rPr>
          <w:rFonts w:cs="Arial"/>
          <w:color w:val="191919"/>
          <w:szCs w:val="20"/>
        </w:rPr>
        <w:t xml:space="preserve"> </w:t>
      </w:r>
      <w:r w:rsidRPr="00FE3D8E">
        <w:rPr>
          <w:rFonts w:cs="Arial"/>
          <w:color w:val="191919"/>
          <w:szCs w:val="20"/>
        </w:rPr>
        <w:t xml:space="preserve">recordkeeping (maintaining a </w:t>
      </w:r>
      <w:r w:rsidR="009A10A3" w:rsidRPr="00FE3D8E">
        <w:rPr>
          <w:rFonts w:cs="Arial"/>
          <w:color w:val="191919"/>
          <w:szCs w:val="20"/>
        </w:rPr>
        <w:t>logbook</w:t>
      </w:r>
      <w:r w:rsidRPr="00FE3D8E">
        <w:rPr>
          <w:rFonts w:cs="Arial"/>
          <w:color w:val="191919"/>
          <w:szCs w:val="20"/>
        </w:rPr>
        <w:t xml:space="preserve"> under §63.11089(b), (c), and (d) which also refers to §§ 63.11094 and 63.11095. It also specified reporting under § 63.11089(f) which refers to § 63.11093 and §63.11089(g) which is also for recordkeeping. The title V permit Special Terms and Conditions 14 and 15 identify a list of the citations in 40 CFR Part 63 Subpart BBBBBB that the permit holder must comply with, but this list doesn’t inform what emission units are subject to these requirements.</w:t>
      </w:r>
    </w:p>
    <w:p w14:paraId="005DAE08" w14:textId="77777777" w:rsidR="00FE3D8E" w:rsidRPr="00FE3D8E" w:rsidRDefault="00FE3D8E" w:rsidP="00FE3D8E">
      <w:pPr>
        <w:rPr>
          <w:rFonts w:cs="Arial"/>
          <w:color w:val="191919"/>
          <w:szCs w:val="20"/>
        </w:rPr>
      </w:pPr>
    </w:p>
    <w:p w14:paraId="18A2454E" w14:textId="3B49B14D" w:rsidR="00E604C8" w:rsidRPr="00015E2C" w:rsidRDefault="00FE3D8E" w:rsidP="00FE3D8E">
      <w:pPr>
        <w:rPr>
          <w:rFonts w:cs="Arial"/>
          <w:szCs w:val="20"/>
        </w:rPr>
      </w:pPr>
      <w:r w:rsidRPr="00FE3D8E">
        <w:rPr>
          <w:rFonts w:cs="Arial"/>
          <w:color w:val="191919"/>
          <w:szCs w:val="20"/>
        </w:rPr>
        <w:t xml:space="preserve">TCEQ must revise the Permit to ensure that it is unambiguous as to which requirements of NESHAP subpart BBBBBB are applicable to emission units at ITC. Specifically, TCEQ must revise the ITC Title V </w:t>
      </w:r>
      <w:r w:rsidRPr="00FE3D8E">
        <w:rPr>
          <w:rFonts w:cs="Arial"/>
          <w:color w:val="191919"/>
          <w:szCs w:val="20"/>
        </w:rPr>
        <w:lastRenderedPageBreak/>
        <w:t>permit to include the specific emission limitations and standards applicable to each emission unit subject to 40 CFR Part 63 Subpart BBBBBB, as well as the specific monitoring and testing, recordkeeping, and reporting requirements applicable to each emission unit subject to 40 CFR Part 63 Subpart BBBBBB.</w:t>
      </w:r>
    </w:p>
    <w:p w14:paraId="09BC84D7" w14:textId="77777777" w:rsidR="006907BD" w:rsidRPr="00725612" w:rsidRDefault="006907BD" w:rsidP="006907BD"/>
    <w:p w14:paraId="750F54F4" w14:textId="76E90F7D" w:rsidR="00CD0604" w:rsidRPr="002E3F4A" w:rsidRDefault="006907BD" w:rsidP="00CD0604">
      <w:pPr>
        <w:rPr>
          <w:rFonts w:cs="Arial"/>
          <w:color w:val="000000" w:themeColor="text1"/>
          <w:szCs w:val="20"/>
        </w:rPr>
      </w:pPr>
      <w:r w:rsidRPr="00725612">
        <w:rPr>
          <w:rStyle w:val="Strong"/>
        </w:rPr>
        <w:t>TCEQ R</w:t>
      </w:r>
      <w:r>
        <w:rPr>
          <w:rStyle w:val="Strong"/>
        </w:rPr>
        <w:t>esponse to EPA Objection 3</w:t>
      </w:r>
      <w:r w:rsidRPr="00725612">
        <w:rPr>
          <w:rStyle w:val="Strong"/>
        </w:rPr>
        <w:t>:</w:t>
      </w:r>
      <w:r w:rsidRPr="00725612">
        <w:t xml:space="preserve"> </w:t>
      </w:r>
      <w:r w:rsidR="00BA59B2">
        <w:t xml:space="preserve">TCEQ notes that </w:t>
      </w:r>
      <w:r w:rsidR="00103A68">
        <w:t>the p</w:t>
      </w:r>
      <w:r w:rsidR="00BA59B2">
        <w:rPr>
          <w:rFonts w:cs="Arial"/>
          <w:color w:val="000000" w:themeColor="text1"/>
          <w:szCs w:val="20"/>
        </w:rPr>
        <w:t>ermit holder has</w:t>
      </w:r>
      <w:r w:rsidR="00837464">
        <w:rPr>
          <w:rFonts w:cs="Arial"/>
          <w:color w:val="000000" w:themeColor="text1"/>
          <w:szCs w:val="20"/>
        </w:rPr>
        <w:t xml:space="preserve"> submitted an OP-REQ3 form identifying sources </w:t>
      </w:r>
      <w:r w:rsidR="00EB6874">
        <w:rPr>
          <w:rFonts w:cs="Arial"/>
          <w:color w:val="000000" w:themeColor="text1"/>
          <w:szCs w:val="20"/>
        </w:rPr>
        <w:t xml:space="preserve">of emissions </w:t>
      </w:r>
      <w:r w:rsidR="00EB6874" w:rsidRPr="00CD0604">
        <w:rPr>
          <w:rFonts w:cs="Arial"/>
          <w:color w:val="000000" w:themeColor="text1"/>
          <w:szCs w:val="20"/>
        </w:rPr>
        <w:t xml:space="preserve">at ITC’s Pasadena site </w:t>
      </w:r>
      <w:r w:rsidR="00837464">
        <w:rPr>
          <w:rFonts w:cs="Arial"/>
          <w:color w:val="000000" w:themeColor="text1"/>
          <w:szCs w:val="20"/>
        </w:rPr>
        <w:t xml:space="preserve">subject to </w:t>
      </w:r>
      <w:r w:rsidR="00CD0604" w:rsidRPr="00CD0604">
        <w:rPr>
          <w:rFonts w:cs="Arial"/>
          <w:color w:val="000000" w:themeColor="text1"/>
          <w:szCs w:val="20"/>
        </w:rPr>
        <w:t xml:space="preserve">40 CFR Part 63, Subpart BBBBBB </w:t>
      </w:r>
      <w:r w:rsidR="00294E9A">
        <w:rPr>
          <w:rFonts w:cs="Arial"/>
          <w:color w:val="000000" w:themeColor="text1"/>
          <w:szCs w:val="20"/>
        </w:rPr>
        <w:t xml:space="preserve">for inclusion </w:t>
      </w:r>
      <w:r w:rsidR="00CD0604" w:rsidRPr="00CD0604">
        <w:rPr>
          <w:rFonts w:cs="Arial"/>
          <w:color w:val="000000" w:themeColor="text1"/>
          <w:szCs w:val="20"/>
        </w:rPr>
        <w:t xml:space="preserve">in the </w:t>
      </w:r>
      <w:r w:rsidR="00BA59B2">
        <w:rPr>
          <w:rFonts w:cs="Arial"/>
          <w:color w:val="000000" w:themeColor="text1"/>
          <w:szCs w:val="20"/>
        </w:rPr>
        <w:t xml:space="preserve">proposed </w:t>
      </w:r>
      <w:r w:rsidR="00CD0604" w:rsidRPr="00CD0604">
        <w:rPr>
          <w:rFonts w:cs="Arial"/>
          <w:color w:val="000000" w:themeColor="text1"/>
          <w:szCs w:val="20"/>
        </w:rPr>
        <w:t xml:space="preserve">Title V permit. </w:t>
      </w:r>
      <w:r w:rsidR="007E7B0F">
        <w:rPr>
          <w:rFonts w:cs="Arial"/>
          <w:color w:val="000000" w:themeColor="text1"/>
          <w:szCs w:val="20"/>
        </w:rPr>
        <w:t xml:space="preserve">The unit-specific </w:t>
      </w:r>
      <w:r w:rsidR="00103A68">
        <w:rPr>
          <w:rFonts w:cs="Arial"/>
          <w:color w:val="000000" w:themeColor="text1"/>
          <w:szCs w:val="20"/>
        </w:rPr>
        <w:t xml:space="preserve">detailed applicable </w:t>
      </w:r>
      <w:r w:rsidR="007E7B0F">
        <w:rPr>
          <w:rFonts w:cs="Arial"/>
          <w:color w:val="000000" w:themeColor="text1"/>
          <w:szCs w:val="20"/>
        </w:rPr>
        <w:t xml:space="preserve">requirements have been included in the Title V permit. </w:t>
      </w:r>
      <w:r w:rsidR="00CD0604" w:rsidRPr="00CD0604">
        <w:rPr>
          <w:rFonts w:cs="Arial"/>
          <w:color w:val="000000" w:themeColor="text1"/>
          <w:szCs w:val="20"/>
        </w:rPr>
        <w:t>Since the flare</w:t>
      </w:r>
      <w:r w:rsidR="00EB6874">
        <w:rPr>
          <w:rFonts w:cs="Arial"/>
          <w:color w:val="000000" w:themeColor="text1"/>
          <w:szCs w:val="20"/>
        </w:rPr>
        <w:t>,</w:t>
      </w:r>
      <w:r w:rsidR="00CD0604" w:rsidRPr="00CD0604">
        <w:rPr>
          <w:rFonts w:cs="Arial"/>
          <w:color w:val="000000" w:themeColor="text1"/>
          <w:szCs w:val="20"/>
        </w:rPr>
        <w:t xml:space="preserve"> </w:t>
      </w:r>
      <w:r w:rsidR="00EB6874">
        <w:rPr>
          <w:rFonts w:cs="Arial"/>
          <w:color w:val="000000" w:themeColor="text1"/>
          <w:szCs w:val="20"/>
        </w:rPr>
        <w:t xml:space="preserve">identified by Unit ID </w:t>
      </w:r>
      <w:r w:rsidR="00CD0604" w:rsidRPr="00CD0604">
        <w:rPr>
          <w:rFonts w:cs="Arial"/>
          <w:color w:val="000000" w:themeColor="text1"/>
          <w:szCs w:val="20"/>
        </w:rPr>
        <w:t>FL-001</w:t>
      </w:r>
      <w:r w:rsidR="00EB6874">
        <w:rPr>
          <w:rFonts w:cs="Arial"/>
          <w:color w:val="000000" w:themeColor="text1"/>
          <w:szCs w:val="20"/>
        </w:rPr>
        <w:t>,</w:t>
      </w:r>
      <w:r w:rsidR="00CD0604" w:rsidRPr="00CD0604">
        <w:rPr>
          <w:rFonts w:cs="Arial"/>
          <w:color w:val="000000" w:themeColor="text1"/>
          <w:szCs w:val="20"/>
        </w:rPr>
        <w:t xml:space="preserve"> is being used as a control device to comply with this subpart, the flare requirements in </w:t>
      </w:r>
      <w:r w:rsidR="00294E9A" w:rsidRPr="00643421">
        <w:rPr>
          <w:rFonts w:cs="Arial"/>
          <w:szCs w:val="20"/>
        </w:rPr>
        <w:t xml:space="preserve">§ </w:t>
      </w:r>
      <w:r w:rsidR="00CD0604" w:rsidRPr="00CD0604">
        <w:rPr>
          <w:rFonts w:cs="Arial"/>
          <w:color w:val="000000" w:themeColor="text1"/>
          <w:szCs w:val="20"/>
        </w:rPr>
        <w:t xml:space="preserve">63.11 </w:t>
      </w:r>
      <w:r w:rsidR="00294E9A">
        <w:rPr>
          <w:rFonts w:cs="Arial"/>
          <w:color w:val="000000" w:themeColor="text1"/>
          <w:szCs w:val="20"/>
        </w:rPr>
        <w:t xml:space="preserve">have </w:t>
      </w:r>
      <w:r w:rsidR="00CD0604" w:rsidRPr="00CD0604">
        <w:rPr>
          <w:rFonts w:cs="Arial"/>
          <w:color w:val="000000" w:themeColor="text1"/>
          <w:szCs w:val="20"/>
        </w:rPr>
        <w:t>also b</w:t>
      </w:r>
      <w:r w:rsidR="00294E9A">
        <w:rPr>
          <w:rFonts w:cs="Arial"/>
          <w:color w:val="000000" w:themeColor="text1"/>
          <w:szCs w:val="20"/>
        </w:rPr>
        <w:t>e</w:t>
      </w:r>
      <w:r w:rsidR="00CD0604" w:rsidRPr="00CD0604">
        <w:rPr>
          <w:rFonts w:cs="Arial"/>
          <w:color w:val="000000" w:themeColor="text1"/>
          <w:szCs w:val="20"/>
        </w:rPr>
        <w:t>e</w:t>
      </w:r>
      <w:r w:rsidR="00294E9A">
        <w:rPr>
          <w:rFonts w:cs="Arial"/>
          <w:color w:val="000000" w:themeColor="text1"/>
          <w:szCs w:val="20"/>
        </w:rPr>
        <w:t>n</w:t>
      </w:r>
      <w:r w:rsidR="00CD0604" w:rsidRPr="00CD0604">
        <w:rPr>
          <w:rFonts w:cs="Arial"/>
          <w:color w:val="000000" w:themeColor="text1"/>
          <w:szCs w:val="20"/>
        </w:rPr>
        <w:t xml:space="preserve"> added to the </w:t>
      </w:r>
      <w:r w:rsidR="00294E9A">
        <w:rPr>
          <w:rFonts w:cs="Arial"/>
          <w:color w:val="000000" w:themeColor="text1"/>
          <w:szCs w:val="20"/>
        </w:rPr>
        <w:t xml:space="preserve">Title V </w:t>
      </w:r>
      <w:r w:rsidR="00CD0604" w:rsidRPr="00CD0604">
        <w:rPr>
          <w:rFonts w:cs="Arial"/>
          <w:color w:val="000000" w:themeColor="text1"/>
          <w:szCs w:val="20"/>
        </w:rPr>
        <w:t xml:space="preserve">permit. </w:t>
      </w:r>
      <w:r w:rsidR="00BA59B2">
        <w:rPr>
          <w:rFonts w:cs="Arial"/>
          <w:color w:val="000000" w:themeColor="text1"/>
          <w:szCs w:val="20"/>
        </w:rPr>
        <w:t>The permit holder has also</w:t>
      </w:r>
      <w:r w:rsidR="00CD0604" w:rsidRPr="00CD0604">
        <w:rPr>
          <w:rFonts w:cs="Arial"/>
          <w:color w:val="000000" w:themeColor="text1"/>
          <w:szCs w:val="20"/>
        </w:rPr>
        <w:t xml:space="preserve"> provided a completed </w:t>
      </w:r>
      <w:r w:rsidR="00294E9A">
        <w:rPr>
          <w:rFonts w:cs="Arial"/>
          <w:color w:val="000000" w:themeColor="text1"/>
          <w:szCs w:val="20"/>
        </w:rPr>
        <w:t xml:space="preserve">Form </w:t>
      </w:r>
      <w:r w:rsidR="00CD0604" w:rsidRPr="00CD0604">
        <w:rPr>
          <w:rFonts w:cs="Arial"/>
          <w:color w:val="000000" w:themeColor="text1"/>
          <w:szCs w:val="20"/>
        </w:rPr>
        <w:t xml:space="preserve">OP-UA7 </w:t>
      </w:r>
      <w:r w:rsidR="00294E9A">
        <w:rPr>
          <w:rFonts w:cs="Arial"/>
          <w:color w:val="000000" w:themeColor="text1"/>
          <w:szCs w:val="20"/>
        </w:rPr>
        <w:t>identifying the attributes of the flare under 40 CFR Part 63, Subpart A for applicability determinations</w:t>
      </w:r>
      <w:r w:rsidR="007E7B0F">
        <w:rPr>
          <w:rFonts w:cs="Arial"/>
          <w:color w:val="000000" w:themeColor="text1"/>
          <w:szCs w:val="20"/>
        </w:rPr>
        <w:t>.</w:t>
      </w:r>
      <w:r w:rsidR="00294E9A">
        <w:rPr>
          <w:rFonts w:cs="Arial"/>
          <w:color w:val="000000" w:themeColor="text1"/>
          <w:szCs w:val="20"/>
        </w:rPr>
        <w:t xml:space="preserve"> </w:t>
      </w:r>
      <w:r w:rsidR="007E7B0F">
        <w:rPr>
          <w:rFonts w:cs="Arial"/>
          <w:color w:val="000000" w:themeColor="text1"/>
          <w:szCs w:val="20"/>
        </w:rPr>
        <w:t xml:space="preserve">The unit-specific </w:t>
      </w:r>
      <w:r w:rsidR="00294E9A">
        <w:rPr>
          <w:rFonts w:cs="Arial"/>
          <w:color w:val="000000" w:themeColor="text1"/>
          <w:szCs w:val="20"/>
        </w:rPr>
        <w:t xml:space="preserve">applicable </w:t>
      </w:r>
      <w:r w:rsidR="00CD0604" w:rsidRPr="00CD0604">
        <w:rPr>
          <w:rFonts w:cs="Arial"/>
          <w:color w:val="000000" w:themeColor="text1"/>
          <w:szCs w:val="20"/>
        </w:rPr>
        <w:t xml:space="preserve">requirements </w:t>
      </w:r>
      <w:r w:rsidR="007E7B0F">
        <w:rPr>
          <w:rFonts w:cs="Arial"/>
          <w:color w:val="000000" w:themeColor="text1"/>
          <w:szCs w:val="20"/>
        </w:rPr>
        <w:t xml:space="preserve">have been </w:t>
      </w:r>
      <w:r w:rsidR="00294E9A">
        <w:rPr>
          <w:rFonts w:cs="Arial"/>
          <w:color w:val="000000" w:themeColor="text1"/>
          <w:szCs w:val="20"/>
        </w:rPr>
        <w:t xml:space="preserve">identified </w:t>
      </w:r>
      <w:r w:rsidR="007E7B0F">
        <w:rPr>
          <w:rFonts w:cs="Arial"/>
          <w:color w:val="000000" w:themeColor="text1"/>
          <w:szCs w:val="20"/>
        </w:rPr>
        <w:t xml:space="preserve">and included </w:t>
      </w:r>
      <w:r w:rsidR="00CD0604" w:rsidRPr="00CD0604">
        <w:rPr>
          <w:rFonts w:cs="Arial"/>
          <w:color w:val="000000" w:themeColor="text1"/>
          <w:szCs w:val="20"/>
        </w:rPr>
        <w:t xml:space="preserve">in the </w:t>
      </w:r>
      <w:r w:rsidR="00BA59B2">
        <w:rPr>
          <w:rFonts w:cs="Arial"/>
          <w:color w:val="000000" w:themeColor="text1"/>
          <w:szCs w:val="20"/>
        </w:rPr>
        <w:t xml:space="preserve">proposed </w:t>
      </w:r>
      <w:r w:rsidR="00294E9A">
        <w:rPr>
          <w:rFonts w:cs="Arial"/>
          <w:color w:val="000000" w:themeColor="text1"/>
          <w:szCs w:val="20"/>
        </w:rPr>
        <w:t xml:space="preserve">Title V permit. </w:t>
      </w:r>
    </w:p>
    <w:p w14:paraId="30777770" w14:textId="722DD55B" w:rsidR="006907BD" w:rsidRDefault="006907BD" w:rsidP="006907BD"/>
    <w:p w14:paraId="3B11D750" w14:textId="77777777" w:rsidR="00E604C8" w:rsidRPr="00015E2C" w:rsidRDefault="006907BD" w:rsidP="00E604C8">
      <w:pPr>
        <w:rPr>
          <w:rFonts w:cs="Arial"/>
          <w:szCs w:val="20"/>
        </w:rPr>
      </w:pPr>
      <w:r>
        <w:rPr>
          <w:rStyle w:val="Strong"/>
        </w:rPr>
        <w:t>EPA Objection 4</w:t>
      </w:r>
      <w:r w:rsidRPr="00725612">
        <w:rPr>
          <w:rStyle w:val="Strong"/>
        </w:rPr>
        <w:t>:</w:t>
      </w:r>
      <w:r w:rsidRPr="00725612">
        <w:t xml:space="preserve"> </w:t>
      </w:r>
      <w:r w:rsidR="00E604C8" w:rsidRPr="00015E2C">
        <w:rPr>
          <w:rFonts w:cs="Arial"/>
          <w:szCs w:val="20"/>
        </w:rPr>
        <w:t>Failure to Include all Applicable Requirements.</w:t>
      </w:r>
    </w:p>
    <w:p w14:paraId="4F2210DD" w14:textId="367DFC2B" w:rsidR="006907BD" w:rsidRPr="00725612" w:rsidRDefault="006907BD" w:rsidP="006907BD"/>
    <w:p w14:paraId="4DB62EE4" w14:textId="099F318D" w:rsidR="00CE3BE3" w:rsidRPr="00643421" w:rsidRDefault="009A10A3" w:rsidP="00CE3BE3">
      <w:pPr>
        <w:rPr>
          <w:rFonts w:cs="Arial"/>
          <w:szCs w:val="20"/>
        </w:rPr>
      </w:pPr>
      <w:r w:rsidRPr="009A10A3">
        <w:rPr>
          <w:rFonts w:cs="Arial"/>
          <w:szCs w:val="20"/>
        </w:rPr>
        <w:t>The proposed title V permit fails to meet the requirements of CAA § 504(a) for “(e)ach permit issued under this subchapter shall include enforceable emission limitations and standards, . . . and such other conditions as are necessary to assure compliance with applicable requirements of this chapter, including the requirements of the applicable implementation plan.” TCEQ’s definition of “applicable requirement” (found at 30 TAC § 122.10(2)) includes an extensive list of federal and state provisions. Minor NSR permits and Permits by Rule (PBRs) are included in TCEQ’s definition of applicable requirement and are applicable requirements as defined under 40 CFR § 70.2. The application for the title V permit includes the May 2020 version of the PBR Supplemental Tables and on Table B and D, the applicant shows that EGEN-4, EGEN-5, EGEN-6, and EGEN-10 are authorized by PBR 106.511. However, the title V permit does not include this PBR on the New Source Review Authorization References Table on page 134 nor on the following pages on the New Source Review Authorization References by Emissions Unit table. TCEQ should verify if the PBR needs to be added to the title V permit or if the PBR has been consolidated by incorporation into the NSR permit and update the title V permit as necessary</w:t>
      </w:r>
      <w:r w:rsidR="00CE3BE3" w:rsidRPr="00643421">
        <w:rPr>
          <w:rFonts w:cs="Arial"/>
          <w:szCs w:val="20"/>
        </w:rPr>
        <w:t>.</w:t>
      </w:r>
    </w:p>
    <w:p w14:paraId="04123196" w14:textId="77777777" w:rsidR="006907BD" w:rsidRPr="00725612" w:rsidRDefault="006907BD" w:rsidP="006907BD"/>
    <w:p w14:paraId="635F03CF" w14:textId="4739F52F" w:rsidR="006907BD" w:rsidRDefault="006907BD" w:rsidP="006907BD">
      <w:pPr>
        <w:rPr>
          <w:rFonts w:cs="Arial"/>
          <w:szCs w:val="20"/>
        </w:rPr>
      </w:pPr>
      <w:r w:rsidRPr="00725612">
        <w:rPr>
          <w:rStyle w:val="Strong"/>
        </w:rPr>
        <w:t>TCEQ R</w:t>
      </w:r>
      <w:r>
        <w:rPr>
          <w:rStyle w:val="Strong"/>
        </w:rPr>
        <w:t>esponse to EPA Objection 4</w:t>
      </w:r>
      <w:r w:rsidRPr="00725612">
        <w:rPr>
          <w:rStyle w:val="Strong"/>
        </w:rPr>
        <w:t>:</w:t>
      </w:r>
      <w:r w:rsidRPr="00725612">
        <w:t xml:space="preserve"> </w:t>
      </w:r>
      <w:bookmarkStart w:id="6" w:name="_Hlk110508076"/>
      <w:r w:rsidR="00475174">
        <w:t>NSR Permit 95754 was amended on April 16, 2021</w:t>
      </w:r>
      <w:r w:rsidR="00DB06C7">
        <w:t>,</w:t>
      </w:r>
      <w:r w:rsidR="00475174">
        <w:t xml:space="preserve"> to authorize </w:t>
      </w:r>
      <w:r w:rsidR="00475174" w:rsidRPr="00643421">
        <w:rPr>
          <w:rFonts w:cs="Arial"/>
          <w:szCs w:val="20"/>
        </w:rPr>
        <w:t>EGEN-4, EGEN-5, EGEN-6, and EGEN-10</w:t>
      </w:r>
      <w:r w:rsidR="00475174">
        <w:t xml:space="preserve">. </w:t>
      </w:r>
      <w:r w:rsidR="006A2A1D">
        <w:t xml:space="preserve">As a result of the amendments, the applicant submitted </w:t>
      </w:r>
      <w:r w:rsidR="00DB06C7">
        <w:t xml:space="preserve">an updated OP-PBRSUP form dated June 17, 2022, to remove PBR 106.511 because </w:t>
      </w:r>
      <w:r w:rsidR="0067662C">
        <w:t xml:space="preserve">the amendments to NSR Permit 95754 incorporates </w:t>
      </w:r>
      <w:r w:rsidR="00DB06C7">
        <w:t>permit by rule (PBR)</w:t>
      </w:r>
      <w:r w:rsidR="00EB6874">
        <w:t xml:space="preserve"> 106.511</w:t>
      </w:r>
      <w:r w:rsidR="00DB06C7">
        <w:t xml:space="preserve">. Therefore, EGEN-4, EGEN-5, EGEN-6, and EGEN-10 are now authorized by NSR 95754 instead of PBR 106.511. The Title V permit document correctly lists that these engines are authorized by NSR Permit 95754 and no changes are needed to the New Source Review Authorization References by Emission Unit table in the permit. </w:t>
      </w:r>
      <w:bookmarkEnd w:id="6"/>
      <w:r w:rsidR="00DB06C7">
        <w:t>The Special Terms and Conditions</w:t>
      </w:r>
      <w:r w:rsidR="0067662C">
        <w:t xml:space="preserve"> (ST &amp; C)</w:t>
      </w:r>
      <w:r w:rsidR="00DB06C7">
        <w:t xml:space="preserve"> of the Title V permit have been updated to include this change (ST &amp; C 19) for clarity.</w:t>
      </w:r>
    </w:p>
    <w:p w14:paraId="4907CC62" w14:textId="4B38B57A" w:rsidR="00637672" w:rsidRDefault="00637672" w:rsidP="006907BD">
      <w:pPr>
        <w:rPr>
          <w:rFonts w:cs="Arial"/>
          <w:szCs w:val="20"/>
        </w:rPr>
      </w:pPr>
    </w:p>
    <w:sectPr w:rsidR="00637672" w:rsidSect="00917B86">
      <w:headerReference w:type="default" r:id="rId18"/>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6CD8CC" w14:textId="77777777" w:rsidR="00BB5BE9" w:rsidRDefault="00BB5BE9">
      <w:r>
        <w:separator/>
      </w:r>
    </w:p>
  </w:endnote>
  <w:endnote w:type="continuationSeparator" w:id="0">
    <w:p w14:paraId="5CACD41D" w14:textId="77777777" w:rsidR="00BB5BE9" w:rsidRDefault="00BB5B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094D2F" w14:textId="77777777" w:rsidR="00D42A8F" w:rsidRPr="00095CE7" w:rsidRDefault="00D42A8F" w:rsidP="00095CE7">
    <w:pPr>
      <w:pStyle w:val="AgencyFooter"/>
    </w:pPr>
    <w:r w:rsidRPr="00095CE7">
      <w:t>P.O. Box 13087   •   Austin, Texas 78711-3087   •   512-239-1000   •   tceq.texas.gov</w:t>
    </w:r>
  </w:p>
  <w:p w14:paraId="4AE2D8AB" w14:textId="77777777" w:rsidR="00D42A8F" w:rsidRPr="00095CE7" w:rsidRDefault="00D42A8F" w:rsidP="00095CE7">
    <w:pPr>
      <w:pStyle w:val="AgencyFooter2"/>
    </w:pPr>
    <w:r w:rsidRPr="00095CE7">
      <w:t>How is our customer service?     tceq.texas.gov/</w:t>
    </w:r>
    <w:proofErr w:type="spellStart"/>
    <w:r w:rsidRPr="00095CE7">
      <w:t>customersurvey</w:t>
    </w:r>
    <w:proofErr w:type="spellEnd"/>
  </w:p>
  <w:p w14:paraId="7B9EF4BB" w14:textId="77777777" w:rsidR="00D42A8F" w:rsidRPr="00095CE7" w:rsidRDefault="00D42A8F" w:rsidP="00095CE7">
    <w:pPr>
      <w:pStyle w:val="AgencyFooter3"/>
    </w:pPr>
    <w:r w:rsidRPr="00095CE7">
      <w:t>printed on recycled paper</w:t>
    </w:r>
  </w:p>
  <w:p w14:paraId="1C1F9742" w14:textId="77777777" w:rsidR="00725612" w:rsidRPr="00F668F4" w:rsidRDefault="00725612" w:rsidP="00F668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A7E97B" w14:textId="77777777" w:rsidR="00D42A8F" w:rsidRPr="00095CE7" w:rsidRDefault="00D42A8F" w:rsidP="00095CE7">
    <w:pPr>
      <w:pStyle w:val="AgencyFooter"/>
    </w:pPr>
    <w:r>
      <w:fldChar w:fldCharType="begin"/>
    </w:r>
    <w:r>
      <w:instrText xml:space="preserve"> INCLUDETEXT X:\\Macros\\Misc\\LetterHeadFooter.doc  \* MERGEFORMAT </w:instrText>
    </w:r>
    <w:r>
      <w:fldChar w:fldCharType="separate"/>
    </w:r>
    <w:r w:rsidRPr="00095CE7">
      <w:t xml:space="preserve">P.O. Box 13087   •   Austin, Texas 78711-3087   •   512-239-1000   •   </w:t>
    </w:r>
    <w:hyperlink r:id="rId1" w:history="1">
      <w:r w:rsidRPr="00095CE7">
        <w:t>tceq.texas.gov</w:t>
      </w:r>
    </w:hyperlink>
  </w:p>
  <w:p w14:paraId="05B4DD0B" w14:textId="77777777" w:rsidR="00D42A8F" w:rsidRPr="00095CE7" w:rsidRDefault="00D42A8F" w:rsidP="00095CE7">
    <w:pPr>
      <w:pStyle w:val="AgencyFooter2"/>
    </w:pPr>
    <w:r w:rsidRPr="00095CE7">
      <w:t>How is our customer service?     tceq.texas.gov/</w:t>
    </w:r>
    <w:proofErr w:type="spellStart"/>
    <w:r w:rsidRPr="00095CE7">
      <w:t>customersurvey</w:t>
    </w:r>
    <w:proofErr w:type="spellEnd"/>
  </w:p>
  <w:p w14:paraId="06909BCF" w14:textId="77777777" w:rsidR="00D42A8F" w:rsidRPr="00095CE7" w:rsidRDefault="00D42A8F" w:rsidP="00095CE7">
    <w:pPr>
      <w:pStyle w:val="AgencyFooter3"/>
    </w:pPr>
    <w:r w:rsidRPr="00095CE7">
      <w:t>printed on recycled paper</w:t>
    </w:r>
  </w:p>
  <w:p w14:paraId="74B5F923" w14:textId="77777777" w:rsidR="00725612" w:rsidRDefault="00D42A8F" w:rsidP="00ED2116">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C2684" w14:textId="77777777" w:rsidR="00725612" w:rsidRDefault="00725612">
    <w:pP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42D6CD" w14:textId="77777777" w:rsidR="00725612" w:rsidRPr="00724059" w:rsidRDefault="00725612" w:rsidP="003E5C67">
    <w:pPr>
      <w:jc w:val="cen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2C39ED" w14:textId="77777777" w:rsidR="00BB5BE9" w:rsidRDefault="00BB5BE9">
      <w:r>
        <w:separator/>
      </w:r>
    </w:p>
  </w:footnote>
  <w:footnote w:type="continuationSeparator" w:id="0">
    <w:p w14:paraId="6C643E1C" w14:textId="77777777" w:rsidR="00BB5BE9" w:rsidRDefault="00BB5B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8383A0" w14:textId="77777777" w:rsidR="00D42A8F" w:rsidRPr="00A85FC2" w:rsidRDefault="001B54B2" w:rsidP="00DF682A">
    <w:pPr>
      <w:pStyle w:val="LetterheadNames"/>
    </w:pPr>
    <w:r>
      <w:pict w14:anchorId="4D379F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5" type="#_x0000_t75" alt="TX-SEAL" style="position:absolute;left:0;text-align:left;margin-left:199.85pt;margin-top:-11.6pt;width:67.7pt;height:69.2pt;z-index:251844608;visibility:visible;mso-position-horizontal-relative:text;mso-position-vertical-relative:text">
          <v:imagedata r:id="rId1" o:title="TX-SEAL"/>
        </v:shape>
      </w:pict>
    </w:r>
    <w:r w:rsidR="00D42A8F" w:rsidRPr="00B7611F">
      <w:t xml:space="preserve">Jon </w:t>
    </w:r>
    <w:proofErr w:type="spellStart"/>
    <w:r w:rsidR="00D42A8F" w:rsidRPr="00B7611F">
      <w:t>Niermann</w:t>
    </w:r>
    <w:proofErr w:type="spellEnd"/>
    <w:r w:rsidR="00D42A8F" w:rsidRPr="00A85FC2">
      <w:t xml:space="preserve">, </w:t>
    </w:r>
    <w:r w:rsidR="00D42A8F" w:rsidRPr="009A3E9D">
      <w:rPr>
        <w:rStyle w:val="LetterheadNameTitleChar"/>
      </w:rPr>
      <w:t>Chairman</w:t>
    </w:r>
  </w:p>
  <w:p w14:paraId="5E5D7D8B"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43A63754" w14:textId="77777777" w:rsidR="00D42A8F" w:rsidRPr="00A85FC2" w:rsidRDefault="00D42A8F" w:rsidP="00DF682A">
    <w:pPr>
      <w:pStyle w:val="LetterheadNames"/>
    </w:pPr>
    <w:r w:rsidRPr="002F0C19">
      <w:t xml:space="preserve">Bobby Janecka, </w:t>
    </w:r>
    <w:r w:rsidRPr="00DC1939">
      <w:rPr>
        <w:i/>
      </w:rPr>
      <w:t>Commissioner</w:t>
    </w:r>
  </w:p>
  <w:p w14:paraId="5AA578B1" w14:textId="019CE25D" w:rsidR="00D42A8F" w:rsidRPr="00A85FC2" w:rsidRDefault="00FA4038" w:rsidP="00DF682A">
    <w:pPr>
      <w:pStyle w:val="LetterheadNames"/>
    </w:pPr>
    <w:r>
      <w:t>Kelly Keel</w:t>
    </w:r>
    <w:r w:rsidR="0025439E" w:rsidRPr="00A85FC2">
      <w:t xml:space="preserve">, </w:t>
    </w:r>
    <w:r w:rsidR="0025439E" w:rsidRPr="004840BF">
      <w:rPr>
        <w:rStyle w:val="LetterheadNameTitleChar"/>
      </w:rPr>
      <w:t>Interim Executive Director</w:t>
    </w:r>
  </w:p>
  <w:p w14:paraId="1913FCB7" w14:textId="77777777" w:rsidR="00D42A8F" w:rsidRPr="003079D9" w:rsidRDefault="00D42A8F" w:rsidP="00DF682A">
    <w:pPr>
      <w:pStyle w:val="LetterHeadTitle"/>
    </w:pPr>
    <w:r w:rsidRPr="003079D9">
      <w:t>Texas Commission on Environmental Quality</w:t>
    </w:r>
  </w:p>
  <w:p w14:paraId="2ED2A6DD" w14:textId="77777777" w:rsidR="00D42A8F" w:rsidRDefault="00D42A8F" w:rsidP="00DF682A">
    <w:pPr>
      <w:pStyle w:val="LetterheadSubheading"/>
    </w:pPr>
    <w:r w:rsidRPr="00E73ABD">
      <w:t xml:space="preserve">Protecting Texas by Reducing and Preventing </w:t>
    </w:r>
    <w:r w:rsidRPr="00B242EB">
      <w:t>Pollution</w:t>
    </w:r>
  </w:p>
  <w:p w14:paraId="62583078" w14:textId="77777777" w:rsidR="00725612" w:rsidRPr="00F668F4" w:rsidRDefault="00725612" w:rsidP="00F668F4">
    <w:pPr>
      <w:rPr>
        <w:szCs w:val="2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C9CC7" w14:textId="77777777" w:rsidR="00D42A8F" w:rsidRPr="00A85FC2" w:rsidRDefault="00D42A8F" w:rsidP="00DF682A">
    <w:pPr>
      <w:pStyle w:val="LetterheadNames"/>
    </w:pPr>
    <w:r>
      <w:fldChar w:fldCharType="begin"/>
    </w:r>
    <w:r>
      <w:instrText xml:space="preserve"> INCLUDETEXT X:\\Macros\\Misc\\LetterHeadHeader.doc  </w:instrText>
    </w:r>
    <w:r>
      <w:fldChar w:fldCharType="separate"/>
    </w:r>
    <w:r w:rsidR="001B54B2">
      <w:pict w14:anchorId="69FB2C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alt="TX-SEAL" style="position:absolute;left:0;text-align:left;margin-left:199.85pt;margin-top:-11.6pt;width:67.7pt;height:69.2pt;z-index:251865088;visibility:visible;mso-position-horizontal-relative:text;mso-position-vertical-relative:text">
          <v:imagedata r:id="rId1" o:title="TX-SEAL"/>
        </v:shape>
      </w:pict>
    </w:r>
    <w:r w:rsidRPr="00B7611F">
      <w:t xml:space="preserve">Jon </w:t>
    </w:r>
    <w:proofErr w:type="spellStart"/>
    <w:r w:rsidRPr="00B7611F">
      <w:t>Niermann</w:t>
    </w:r>
    <w:proofErr w:type="spellEnd"/>
    <w:r w:rsidRPr="00A85FC2">
      <w:t xml:space="preserve">, </w:t>
    </w:r>
    <w:r w:rsidRPr="009A3E9D">
      <w:rPr>
        <w:rStyle w:val="LetterheadNameTitleChar"/>
      </w:rPr>
      <w:t>Chairman</w:t>
    </w:r>
  </w:p>
  <w:p w14:paraId="2DB75D15"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6E7AB07D" w14:textId="77777777" w:rsidR="00D42A8F" w:rsidRPr="00A85FC2" w:rsidRDefault="00D42A8F" w:rsidP="00DF682A">
    <w:pPr>
      <w:pStyle w:val="LetterheadNames"/>
    </w:pPr>
    <w:r w:rsidRPr="002F0C19">
      <w:t xml:space="preserve">Bobby </w:t>
    </w:r>
    <w:proofErr w:type="spellStart"/>
    <w:r w:rsidRPr="002F0C19">
      <w:t>Janecka</w:t>
    </w:r>
    <w:proofErr w:type="spellEnd"/>
    <w:r w:rsidRPr="002F0C19">
      <w:t xml:space="preserve">, </w:t>
    </w:r>
    <w:r w:rsidRPr="00DC1939">
      <w:rPr>
        <w:i/>
      </w:rPr>
      <w:t>Commissioner</w:t>
    </w:r>
  </w:p>
  <w:p w14:paraId="73D19EA6" w14:textId="77777777" w:rsidR="00D42A8F" w:rsidRPr="00A85FC2" w:rsidRDefault="00D42A8F" w:rsidP="00DF682A">
    <w:pPr>
      <w:pStyle w:val="LetterheadNames"/>
    </w:pPr>
    <w:r w:rsidRPr="00B7611F">
      <w:t>Toby Baker</w:t>
    </w:r>
    <w:r w:rsidRPr="00A85FC2">
      <w:t xml:space="preserve">, </w:t>
    </w:r>
    <w:r w:rsidRPr="00B7611F">
      <w:rPr>
        <w:rStyle w:val="LetterheadNameTitleChar"/>
      </w:rPr>
      <w:t>Executive Director</w:t>
    </w:r>
  </w:p>
  <w:p w14:paraId="4BC02E3B" w14:textId="77777777" w:rsidR="00D42A8F" w:rsidRPr="003079D9" w:rsidRDefault="00D42A8F" w:rsidP="00DF682A">
    <w:pPr>
      <w:pStyle w:val="LetterHeadTitle"/>
    </w:pPr>
    <w:r w:rsidRPr="003079D9">
      <w:t>Texas Commission on Environmental Quality</w:t>
    </w:r>
  </w:p>
  <w:p w14:paraId="26BA64E0" w14:textId="77777777" w:rsidR="00D42A8F" w:rsidRDefault="00D42A8F" w:rsidP="00DF682A">
    <w:pPr>
      <w:pStyle w:val="LetterheadSubheading"/>
    </w:pPr>
    <w:r w:rsidRPr="00E73ABD">
      <w:t xml:space="preserve">Protecting Texas by Reducing and Preventing </w:t>
    </w:r>
    <w:r w:rsidRPr="00B242EB">
      <w:t>Pollution</w:t>
    </w:r>
  </w:p>
  <w:p w14:paraId="57BCBE3D" w14:textId="77777777" w:rsidR="00725612" w:rsidRPr="00ED2116" w:rsidRDefault="00D42A8F">
    <w:pPr>
      <w:rPr>
        <w:szCs w:val="20"/>
      </w:rPr>
    </w:pP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20DEA" w14:textId="77777777" w:rsidR="00725612" w:rsidRDefault="00286734">
    <w:r w:rsidRPr="00286734">
      <w:rPr>
        <w:color w:val="000000"/>
      </w:rPr>
      <w:t>Mr. Jeffrey Robinson</w:t>
    </w:r>
  </w:p>
  <w:p w14:paraId="437CC2A4" w14:textId="77777777" w:rsidR="00725612" w:rsidRDefault="00725612">
    <w:pP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EF0A63">
      <w:rPr>
        <w:rStyle w:val="PageNumber"/>
        <w:noProof/>
      </w:rPr>
      <w:t>2</w:t>
    </w:r>
    <w:r>
      <w:rPr>
        <w:rStyle w:val="PageNumber"/>
      </w:rPr>
      <w:fldChar w:fldCharType="end"/>
    </w:r>
  </w:p>
  <w:p w14:paraId="2443F85A" w14:textId="052F163B" w:rsidR="00725612" w:rsidRDefault="00234DA7">
    <w:r>
      <w:t>July 14</w:t>
    </w:r>
    <w:r w:rsidR="00951F7A">
      <w:t>, 2023</w:t>
    </w:r>
  </w:p>
  <w:p w14:paraId="5E9B6850" w14:textId="77777777" w:rsidR="00725612" w:rsidRDefault="0072561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CD7EC" w14:textId="77777777" w:rsidR="00725612" w:rsidRDefault="007256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915F5E" w14:textId="77777777" w:rsidR="00725612" w:rsidRDefault="00725612">
    <w:pPr>
      <w:rPr>
        <w:bCs/>
      </w:rPr>
    </w:pPr>
    <w:r w:rsidRPr="002C7CC9">
      <w:rPr>
        <w:bCs/>
      </w:rPr>
      <w:t>EXECUTIVE DIRECTOR’S RESPONSE TO EPA OBJECTION</w:t>
    </w:r>
  </w:p>
  <w:p w14:paraId="31045A1D" w14:textId="77777777" w:rsidR="00725612" w:rsidRDefault="00725612">
    <w:pPr>
      <w:rPr>
        <w:bCs/>
      </w:rPr>
    </w:pPr>
    <w:r>
      <w:rPr>
        <w:bCs/>
      </w:rPr>
      <w:t xml:space="preserve">Permit Number </w:t>
    </w:r>
    <w:r w:rsidR="00565291">
      <w:rPr>
        <w:bCs/>
      </w:rPr>
      <w:t>O3785</w:t>
    </w:r>
  </w:p>
  <w:p w14:paraId="0F01D086"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53A94AD1" w14:textId="77777777" w:rsidR="00725612" w:rsidRDefault="00725612"/>
  <w:p w14:paraId="20A81F3A" w14:textId="77777777" w:rsidR="00725612" w:rsidRPr="002C7CC9" w:rsidRDefault="00725612"/>
  <w:p w14:paraId="5C4F3D8E" w14:textId="77777777" w:rsidR="00C71D26" w:rsidRDefault="00C71D2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1"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2"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3"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4" w15:restartNumberingAfterBreak="0">
    <w:nsid w:val="35386C34"/>
    <w:multiLevelType w:val="hybridMultilevel"/>
    <w:tmpl w:val="BB125B28"/>
    <w:lvl w:ilvl="0" w:tplc="6D9C60BE">
      <w:start w:val="10"/>
      <w:numFmt w:val="lowerLetter"/>
      <w:lvlText w:val="%1."/>
      <w:lvlJc w:val="left"/>
      <w:pPr>
        <w:ind w:left="360" w:hanging="360"/>
      </w:pPr>
      <w:rPr>
        <w:rFonts w:ascii="Arial" w:eastAsia="Times New Roman" w:hAnsi="Arial" w:cs="Arial" w:hint="default"/>
        <w:b w:val="0"/>
        <w:bCs w:val="0"/>
        <w:i w:val="0"/>
        <w:iCs w:val="0"/>
        <w:w w:val="100"/>
        <w:sz w:val="20"/>
        <w:szCs w:val="20"/>
        <w:lang w:val="en-US" w:eastAsia="en-US" w:bidi="ar-SA"/>
      </w:rPr>
    </w:lvl>
    <w:lvl w:ilvl="1" w:tplc="E3EC71D0">
      <w:start w:val="1"/>
      <w:numFmt w:val="lowerLetter"/>
      <w:lvlText w:val="%2."/>
      <w:lvlJc w:val="left"/>
      <w:pPr>
        <w:ind w:left="1580" w:hanging="360"/>
      </w:pPr>
      <w:rPr>
        <w:rFonts w:ascii="Arial" w:eastAsia="Times New Roman" w:hAnsi="Arial" w:cs="Arial" w:hint="default"/>
        <w:b w:val="0"/>
        <w:bCs w:val="0"/>
        <w:i w:val="0"/>
        <w:iCs w:val="0"/>
        <w:w w:val="100"/>
        <w:sz w:val="20"/>
        <w:szCs w:val="20"/>
        <w:lang w:val="en-US" w:eastAsia="en-US" w:bidi="ar-SA"/>
      </w:rPr>
    </w:lvl>
    <w:lvl w:ilvl="2" w:tplc="EB1A0C7A">
      <w:numFmt w:val="bullet"/>
      <w:lvlText w:val="•"/>
      <w:lvlJc w:val="left"/>
      <w:pPr>
        <w:ind w:left="2551" w:hanging="360"/>
      </w:pPr>
      <w:rPr>
        <w:rFonts w:hint="default"/>
        <w:lang w:val="en-US" w:eastAsia="en-US" w:bidi="ar-SA"/>
      </w:rPr>
    </w:lvl>
    <w:lvl w:ilvl="3" w:tplc="DFBA9C60">
      <w:numFmt w:val="bullet"/>
      <w:lvlText w:val="•"/>
      <w:lvlJc w:val="left"/>
      <w:pPr>
        <w:ind w:left="3522" w:hanging="360"/>
      </w:pPr>
      <w:rPr>
        <w:rFonts w:hint="default"/>
        <w:lang w:val="en-US" w:eastAsia="en-US" w:bidi="ar-SA"/>
      </w:rPr>
    </w:lvl>
    <w:lvl w:ilvl="4" w:tplc="8DCC4F82">
      <w:numFmt w:val="bullet"/>
      <w:lvlText w:val="•"/>
      <w:lvlJc w:val="left"/>
      <w:pPr>
        <w:ind w:left="4493" w:hanging="360"/>
      </w:pPr>
      <w:rPr>
        <w:rFonts w:hint="default"/>
        <w:lang w:val="en-US" w:eastAsia="en-US" w:bidi="ar-SA"/>
      </w:rPr>
    </w:lvl>
    <w:lvl w:ilvl="5" w:tplc="A57863B4">
      <w:numFmt w:val="bullet"/>
      <w:lvlText w:val="•"/>
      <w:lvlJc w:val="left"/>
      <w:pPr>
        <w:ind w:left="5464" w:hanging="360"/>
      </w:pPr>
      <w:rPr>
        <w:rFonts w:hint="default"/>
        <w:lang w:val="en-US" w:eastAsia="en-US" w:bidi="ar-SA"/>
      </w:rPr>
    </w:lvl>
    <w:lvl w:ilvl="6" w:tplc="50CC2728">
      <w:numFmt w:val="bullet"/>
      <w:lvlText w:val="•"/>
      <w:lvlJc w:val="left"/>
      <w:pPr>
        <w:ind w:left="6435" w:hanging="360"/>
      </w:pPr>
      <w:rPr>
        <w:rFonts w:hint="default"/>
        <w:lang w:val="en-US" w:eastAsia="en-US" w:bidi="ar-SA"/>
      </w:rPr>
    </w:lvl>
    <w:lvl w:ilvl="7" w:tplc="B1E4E3FC">
      <w:numFmt w:val="bullet"/>
      <w:lvlText w:val="•"/>
      <w:lvlJc w:val="left"/>
      <w:pPr>
        <w:ind w:left="7406" w:hanging="360"/>
      </w:pPr>
      <w:rPr>
        <w:rFonts w:hint="default"/>
        <w:lang w:val="en-US" w:eastAsia="en-US" w:bidi="ar-SA"/>
      </w:rPr>
    </w:lvl>
    <w:lvl w:ilvl="8" w:tplc="EE9ECBFE">
      <w:numFmt w:val="bullet"/>
      <w:lvlText w:val="•"/>
      <w:lvlJc w:val="left"/>
      <w:pPr>
        <w:ind w:left="8377" w:hanging="360"/>
      </w:pPr>
      <w:rPr>
        <w:rFonts w:hint="default"/>
        <w:lang w:val="en-US" w:eastAsia="en-US" w:bidi="ar-SA"/>
      </w:rPr>
    </w:lvl>
  </w:abstractNum>
  <w:abstractNum w:abstractNumId="15"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6" w15:restartNumberingAfterBreak="0">
    <w:nsid w:val="51585637"/>
    <w:multiLevelType w:val="hybridMultilevel"/>
    <w:tmpl w:val="B512F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num w:numId="1" w16cid:durableId="1645700076">
    <w:abstractNumId w:val="10"/>
  </w:num>
  <w:num w:numId="2" w16cid:durableId="1069770477">
    <w:abstractNumId w:val="12"/>
  </w:num>
  <w:num w:numId="3" w16cid:durableId="649555122">
    <w:abstractNumId w:val="11"/>
  </w:num>
  <w:num w:numId="4" w16cid:durableId="1080441437">
    <w:abstractNumId w:val="15"/>
  </w:num>
  <w:num w:numId="5" w16cid:durableId="2134515662">
    <w:abstractNumId w:val="17"/>
  </w:num>
  <w:num w:numId="6" w16cid:durableId="711345003">
    <w:abstractNumId w:val="13"/>
  </w:num>
  <w:num w:numId="7" w16cid:durableId="2064714912">
    <w:abstractNumId w:val="9"/>
  </w:num>
  <w:num w:numId="8" w16cid:durableId="1692954762">
    <w:abstractNumId w:val="7"/>
  </w:num>
  <w:num w:numId="9" w16cid:durableId="919488223">
    <w:abstractNumId w:val="6"/>
  </w:num>
  <w:num w:numId="10" w16cid:durableId="829295850">
    <w:abstractNumId w:val="5"/>
  </w:num>
  <w:num w:numId="11" w16cid:durableId="2009206830">
    <w:abstractNumId w:val="4"/>
  </w:num>
  <w:num w:numId="12" w16cid:durableId="491482999">
    <w:abstractNumId w:val="8"/>
  </w:num>
  <w:num w:numId="13" w16cid:durableId="1075517865">
    <w:abstractNumId w:val="3"/>
  </w:num>
  <w:num w:numId="14" w16cid:durableId="1110006043">
    <w:abstractNumId w:val="2"/>
  </w:num>
  <w:num w:numId="15" w16cid:durableId="838347582">
    <w:abstractNumId w:val="1"/>
  </w:num>
  <w:num w:numId="16" w16cid:durableId="149448721">
    <w:abstractNumId w:val="0"/>
  </w:num>
  <w:num w:numId="17" w16cid:durableId="1995529282">
    <w:abstractNumId w:val="14"/>
  </w:num>
  <w:num w:numId="18" w16cid:durableId="6658536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291"/>
    <w:rsid w:val="00001360"/>
    <w:rsid w:val="0000201B"/>
    <w:rsid w:val="000030C0"/>
    <w:rsid w:val="000037EF"/>
    <w:rsid w:val="00004BC2"/>
    <w:rsid w:val="00005845"/>
    <w:rsid w:val="00006829"/>
    <w:rsid w:val="00006A7B"/>
    <w:rsid w:val="00007D4E"/>
    <w:rsid w:val="00010F20"/>
    <w:rsid w:val="000164A9"/>
    <w:rsid w:val="00016871"/>
    <w:rsid w:val="00020EAA"/>
    <w:rsid w:val="000266E0"/>
    <w:rsid w:val="00026818"/>
    <w:rsid w:val="0002759B"/>
    <w:rsid w:val="000303A6"/>
    <w:rsid w:val="000305C2"/>
    <w:rsid w:val="000307AE"/>
    <w:rsid w:val="00031035"/>
    <w:rsid w:val="00031708"/>
    <w:rsid w:val="0003335F"/>
    <w:rsid w:val="00037C5C"/>
    <w:rsid w:val="00040138"/>
    <w:rsid w:val="00043A9C"/>
    <w:rsid w:val="00043F07"/>
    <w:rsid w:val="0004485A"/>
    <w:rsid w:val="00052257"/>
    <w:rsid w:val="00052CC6"/>
    <w:rsid w:val="00055DF1"/>
    <w:rsid w:val="00056D1D"/>
    <w:rsid w:val="000603BE"/>
    <w:rsid w:val="00064655"/>
    <w:rsid w:val="0006529B"/>
    <w:rsid w:val="00071065"/>
    <w:rsid w:val="00072817"/>
    <w:rsid w:val="0007348A"/>
    <w:rsid w:val="00074DB6"/>
    <w:rsid w:val="0008015C"/>
    <w:rsid w:val="00091318"/>
    <w:rsid w:val="00094A5D"/>
    <w:rsid w:val="00094F7E"/>
    <w:rsid w:val="00097BAC"/>
    <w:rsid w:val="00097D16"/>
    <w:rsid w:val="000A04CB"/>
    <w:rsid w:val="000A3D0D"/>
    <w:rsid w:val="000A4DA5"/>
    <w:rsid w:val="000A7048"/>
    <w:rsid w:val="000B0B8A"/>
    <w:rsid w:val="000C00DF"/>
    <w:rsid w:val="000D073C"/>
    <w:rsid w:val="000D0956"/>
    <w:rsid w:val="000D543B"/>
    <w:rsid w:val="000F2F6B"/>
    <w:rsid w:val="000F4FF6"/>
    <w:rsid w:val="0010000F"/>
    <w:rsid w:val="00103A68"/>
    <w:rsid w:val="0011324F"/>
    <w:rsid w:val="00113C48"/>
    <w:rsid w:val="0011410A"/>
    <w:rsid w:val="001207D8"/>
    <w:rsid w:val="00120988"/>
    <w:rsid w:val="00121AE9"/>
    <w:rsid w:val="00122659"/>
    <w:rsid w:val="00122ADD"/>
    <w:rsid w:val="0012541A"/>
    <w:rsid w:val="001301E8"/>
    <w:rsid w:val="0013073E"/>
    <w:rsid w:val="00131C0C"/>
    <w:rsid w:val="00136B69"/>
    <w:rsid w:val="00144203"/>
    <w:rsid w:val="001445F2"/>
    <w:rsid w:val="0014747F"/>
    <w:rsid w:val="00151BD5"/>
    <w:rsid w:val="001535B7"/>
    <w:rsid w:val="001569E6"/>
    <w:rsid w:val="001627C2"/>
    <w:rsid w:val="0016507E"/>
    <w:rsid w:val="001666E4"/>
    <w:rsid w:val="00166D19"/>
    <w:rsid w:val="0017048F"/>
    <w:rsid w:val="001848E5"/>
    <w:rsid w:val="00192543"/>
    <w:rsid w:val="0019444E"/>
    <w:rsid w:val="001970AA"/>
    <w:rsid w:val="001A0EBF"/>
    <w:rsid w:val="001A136B"/>
    <w:rsid w:val="001A27E0"/>
    <w:rsid w:val="001A2EC9"/>
    <w:rsid w:val="001A36F1"/>
    <w:rsid w:val="001B1E9E"/>
    <w:rsid w:val="001B2155"/>
    <w:rsid w:val="001B54B2"/>
    <w:rsid w:val="001B693E"/>
    <w:rsid w:val="001B69CA"/>
    <w:rsid w:val="001B7B61"/>
    <w:rsid w:val="001C1776"/>
    <w:rsid w:val="001C28AB"/>
    <w:rsid w:val="001C34CD"/>
    <w:rsid w:val="001C3884"/>
    <w:rsid w:val="001C3978"/>
    <w:rsid w:val="001D0A4F"/>
    <w:rsid w:val="001D6308"/>
    <w:rsid w:val="001E2CE5"/>
    <w:rsid w:val="001E52B1"/>
    <w:rsid w:val="001F020D"/>
    <w:rsid w:val="001F1EF4"/>
    <w:rsid w:val="001F59B8"/>
    <w:rsid w:val="001F78E0"/>
    <w:rsid w:val="002043BC"/>
    <w:rsid w:val="0021057B"/>
    <w:rsid w:val="002164CE"/>
    <w:rsid w:val="002174A5"/>
    <w:rsid w:val="0022087E"/>
    <w:rsid w:val="00220DC2"/>
    <w:rsid w:val="00231796"/>
    <w:rsid w:val="00234DA7"/>
    <w:rsid w:val="00235B59"/>
    <w:rsid w:val="00237EA3"/>
    <w:rsid w:val="0024486E"/>
    <w:rsid w:val="00244C20"/>
    <w:rsid w:val="002527A6"/>
    <w:rsid w:val="0025439E"/>
    <w:rsid w:val="00254FA9"/>
    <w:rsid w:val="002714D7"/>
    <w:rsid w:val="0027655C"/>
    <w:rsid w:val="0028041B"/>
    <w:rsid w:val="00284A27"/>
    <w:rsid w:val="0028672F"/>
    <w:rsid w:val="00286734"/>
    <w:rsid w:val="00292982"/>
    <w:rsid w:val="0029305F"/>
    <w:rsid w:val="00294E9A"/>
    <w:rsid w:val="00295012"/>
    <w:rsid w:val="0029718B"/>
    <w:rsid w:val="00297443"/>
    <w:rsid w:val="002A03C6"/>
    <w:rsid w:val="002A09E3"/>
    <w:rsid w:val="002A2A77"/>
    <w:rsid w:val="002A602F"/>
    <w:rsid w:val="002A6CF8"/>
    <w:rsid w:val="002A6F7E"/>
    <w:rsid w:val="002B037C"/>
    <w:rsid w:val="002B2441"/>
    <w:rsid w:val="002B2996"/>
    <w:rsid w:val="002B4AEE"/>
    <w:rsid w:val="002C1E6A"/>
    <w:rsid w:val="002C271F"/>
    <w:rsid w:val="002C46C0"/>
    <w:rsid w:val="002C7BAB"/>
    <w:rsid w:val="002C7CC9"/>
    <w:rsid w:val="002D34B7"/>
    <w:rsid w:val="002E0FEB"/>
    <w:rsid w:val="002E3EBB"/>
    <w:rsid w:val="002E4A5F"/>
    <w:rsid w:val="002E54F4"/>
    <w:rsid w:val="002F38EB"/>
    <w:rsid w:val="0030403D"/>
    <w:rsid w:val="003063CD"/>
    <w:rsid w:val="00307909"/>
    <w:rsid w:val="00307FF9"/>
    <w:rsid w:val="00313682"/>
    <w:rsid w:val="00322915"/>
    <w:rsid w:val="00324345"/>
    <w:rsid w:val="0032662C"/>
    <w:rsid w:val="00342CFB"/>
    <w:rsid w:val="00343734"/>
    <w:rsid w:val="00346BE6"/>
    <w:rsid w:val="00356B34"/>
    <w:rsid w:val="00363B8D"/>
    <w:rsid w:val="00365BEC"/>
    <w:rsid w:val="00366088"/>
    <w:rsid w:val="003663C5"/>
    <w:rsid w:val="00370488"/>
    <w:rsid w:val="00371E1C"/>
    <w:rsid w:val="00372DE1"/>
    <w:rsid w:val="00373788"/>
    <w:rsid w:val="00374655"/>
    <w:rsid w:val="00374EC5"/>
    <w:rsid w:val="00377B31"/>
    <w:rsid w:val="00377EE4"/>
    <w:rsid w:val="003816B0"/>
    <w:rsid w:val="00383EE1"/>
    <w:rsid w:val="00386783"/>
    <w:rsid w:val="0039122E"/>
    <w:rsid w:val="0039132E"/>
    <w:rsid w:val="00391448"/>
    <w:rsid w:val="00392E57"/>
    <w:rsid w:val="003935D7"/>
    <w:rsid w:val="003945C3"/>
    <w:rsid w:val="00395D5A"/>
    <w:rsid w:val="003A6A8C"/>
    <w:rsid w:val="003B0176"/>
    <w:rsid w:val="003B023F"/>
    <w:rsid w:val="003B02FD"/>
    <w:rsid w:val="003B042B"/>
    <w:rsid w:val="003B1415"/>
    <w:rsid w:val="003B3C14"/>
    <w:rsid w:val="003B432A"/>
    <w:rsid w:val="003D3FB5"/>
    <w:rsid w:val="003E2511"/>
    <w:rsid w:val="003E2F29"/>
    <w:rsid w:val="003E5C67"/>
    <w:rsid w:val="003F336E"/>
    <w:rsid w:val="003F540F"/>
    <w:rsid w:val="003F591E"/>
    <w:rsid w:val="00400D50"/>
    <w:rsid w:val="00414F82"/>
    <w:rsid w:val="00415E3D"/>
    <w:rsid w:val="00422165"/>
    <w:rsid w:val="004274AD"/>
    <w:rsid w:val="00430A98"/>
    <w:rsid w:val="00430FC5"/>
    <w:rsid w:val="004363F4"/>
    <w:rsid w:val="00440D78"/>
    <w:rsid w:val="00441847"/>
    <w:rsid w:val="00443CC0"/>
    <w:rsid w:val="004445BE"/>
    <w:rsid w:val="0044637B"/>
    <w:rsid w:val="00447066"/>
    <w:rsid w:val="00451BF1"/>
    <w:rsid w:val="004522A1"/>
    <w:rsid w:val="004535E5"/>
    <w:rsid w:val="00456EDA"/>
    <w:rsid w:val="00457F2D"/>
    <w:rsid w:val="004641F1"/>
    <w:rsid w:val="0046642A"/>
    <w:rsid w:val="00467238"/>
    <w:rsid w:val="00472C1C"/>
    <w:rsid w:val="0047414E"/>
    <w:rsid w:val="00475174"/>
    <w:rsid w:val="00476AD9"/>
    <w:rsid w:val="00480163"/>
    <w:rsid w:val="00485DDD"/>
    <w:rsid w:val="00486E73"/>
    <w:rsid w:val="00487D7B"/>
    <w:rsid w:val="0049517B"/>
    <w:rsid w:val="00495BF6"/>
    <w:rsid w:val="00497C1C"/>
    <w:rsid w:val="004A33E2"/>
    <w:rsid w:val="004A5CAC"/>
    <w:rsid w:val="004A6903"/>
    <w:rsid w:val="004A73FB"/>
    <w:rsid w:val="004B1792"/>
    <w:rsid w:val="004B1E28"/>
    <w:rsid w:val="004C79B1"/>
    <w:rsid w:val="004C7D7C"/>
    <w:rsid w:val="004D09DA"/>
    <w:rsid w:val="004D7AA4"/>
    <w:rsid w:val="004D7E20"/>
    <w:rsid w:val="004E4BD7"/>
    <w:rsid w:val="004E6A7D"/>
    <w:rsid w:val="004F3640"/>
    <w:rsid w:val="004F4F76"/>
    <w:rsid w:val="004F55E0"/>
    <w:rsid w:val="004F57C8"/>
    <w:rsid w:val="004F5DC6"/>
    <w:rsid w:val="004F73B8"/>
    <w:rsid w:val="0050063A"/>
    <w:rsid w:val="00500EB1"/>
    <w:rsid w:val="00501640"/>
    <w:rsid w:val="00505576"/>
    <w:rsid w:val="00505B63"/>
    <w:rsid w:val="005071BF"/>
    <w:rsid w:val="00515277"/>
    <w:rsid w:val="005153BB"/>
    <w:rsid w:val="005157B4"/>
    <w:rsid w:val="00521E39"/>
    <w:rsid w:val="00527028"/>
    <w:rsid w:val="00527797"/>
    <w:rsid w:val="0053074E"/>
    <w:rsid w:val="00532ECC"/>
    <w:rsid w:val="00555259"/>
    <w:rsid w:val="00560966"/>
    <w:rsid w:val="005610B3"/>
    <w:rsid w:val="0056195D"/>
    <w:rsid w:val="00565291"/>
    <w:rsid w:val="00565712"/>
    <w:rsid w:val="00572EEF"/>
    <w:rsid w:val="00574BEE"/>
    <w:rsid w:val="00586DB4"/>
    <w:rsid w:val="0058728B"/>
    <w:rsid w:val="0059613A"/>
    <w:rsid w:val="0059704F"/>
    <w:rsid w:val="005B00BF"/>
    <w:rsid w:val="005B5105"/>
    <w:rsid w:val="005B6DD7"/>
    <w:rsid w:val="005B74C4"/>
    <w:rsid w:val="005B750C"/>
    <w:rsid w:val="005C495D"/>
    <w:rsid w:val="005C7AB8"/>
    <w:rsid w:val="005D1239"/>
    <w:rsid w:val="005D3132"/>
    <w:rsid w:val="005D3AE5"/>
    <w:rsid w:val="005D7725"/>
    <w:rsid w:val="005D7754"/>
    <w:rsid w:val="005D7AD3"/>
    <w:rsid w:val="005E0AB3"/>
    <w:rsid w:val="005E1530"/>
    <w:rsid w:val="005E171F"/>
    <w:rsid w:val="005E2990"/>
    <w:rsid w:val="005E31F8"/>
    <w:rsid w:val="005F2426"/>
    <w:rsid w:val="00600A22"/>
    <w:rsid w:val="006041F7"/>
    <w:rsid w:val="00604CFD"/>
    <w:rsid w:val="00611D2E"/>
    <w:rsid w:val="0061318A"/>
    <w:rsid w:val="00620BE4"/>
    <w:rsid w:val="00622262"/>
    <w:rsid w:val="00626220"/>
    <w:rsid w:val="0063197D"/>
    <w:rsid w:val="00633EAC"/>
    <w:rsid w:val="006353A7"/>
    <w:rsid w:val="00636A52"/>
    <w:rsid w:val="00637672"/>
    <w:rsid w:val="00640FB9"/>
    <w:rsid w:val="00643290"/>
    <w:rsid w:val="00643DBF"/>
    <w:rsid w:val="00656AED"/>
    <w:rsid w:val="0065730C"/>
    <w:rsid w:val="00657CD8"/>
    <w:rsid w:val="006665AA"/>
    <w:rsid w:val="00670B0B"/>
    <w:rsid w:val="00672B10"/>
    <w:rsid w:val="0067662C"/>
    <w:rsid w:val="00680BBF"/>
    <w:rsid w:val="006821E5"/>
    <w:rsid w:val="00687335"/>
    <w:rsid w:val="006907BD"/>
    <w:rsid w:val="0069173E"/>
    <w:rsid w:val="00692798"/>
    <w:rsid w:val="00693046"/>
    <w:rsid w:val="006930B6"/>
    <w:rsid w:val="00694087"/>
    <w:rsid w:val="006972ED"/>
    <w:rsid w:val="006A2A1D"/>
    <w:rsid w:val="006B21C3"/>
    <w:rsid w:val="006B4181"/>
    <w:rsid w:val="006B588D"/>
    <w:rsid w:val="006C0243"/>
    <w:rsid w:val="006C3CD5"/>
    <w:rsid w:val="006D5017"/>
    <w:rsid w:val="006D7C70"/>
    <w:rsid w:val="006E5E60"/>
    <w:rsid w:val="006E77BF"/>
    <w:rsid w:val="006F623D"/>
    <w:rsid w:val="006F716D"/>
    <w:rsid w:val="00700C8D"/>
    <w:rsid w:val="0070160E"/>
    <w:rsid w:val="0070468D"/>
    <w:rsid w:val="00704CA5"/>
    <w:rsid w:val="00707021"/>
    <w:rsid w:val="00707DB9"/>
    <w:rsid w:val="00711683"/>
    <w:rsid w:val="00713630"/>
    <w:rsid w:val="00713ACC"/>
    <w:rsid w:val="00713E90"/>
    <w:rsid w:val="00714126"/>
    <w:rsid w:val="00714B35"/>
    <w:rsid w:val="00722D15"/>
    <w:rsid w:val="00724059"/>
    <w:rsid w:val="00725138"/>
    <w:rsid w:val="00725612"/>
    <w:rsid w:val="00726BA2"/>
    <w:rsid w:val="00727BCB"/>
    <w:rsid w:val="007301FA"/>
    <w:rsid w:val="00735393"/>
    <w:rsid w:val="00735862"/>
    <w:rsid w:val="00735EBA"/>
    <w:rsid w:val="00742207"/>
    <w:rsid w:val="00750BAE"/>
    <w:rsid w:val="0075227E"/>
    <w:rsid w:val="007558B9"/>
    <w:rsid w:val="00762145"/>
    <w:rsid w:val="00771094"/>
    <w:rsid w:val="007809B9"/>
    <w:rsid w:val="00781240"/>
    <w:rsid w:val="007816E8"/>
    <w:rsid w:val="0078493E"/>
    <w:rsid w:val="00785C7E"/>
    <w:rsid w:val="00786048"/>
    <w:rsid w:val="00790412"/>
    <w:rsid w:val="00791E10"/>
    <w:rsid w:val="0079223C"/>
    <w:rsid w:val="007925FA"/>
    <w:rsid w:val="0079387D"/>
    <w:rsid w:val="0079550B"/>
    <w:rsid w:val="00796F14"/>
    <w:rsid w:val="007A274B"/>
    <w:rsid w:val="007A29D2"/>
    <w:rsid w:val="007A313C"/>
    <w:rsid w:val="007A7829"/>
    <w:rsid w:val="007B22C3"/>
    <w:rsid w:val="007B2721"/>
    <w:rsid w:val="007B699B"/>
    <w:rsid w:val="007C04D3"/>
    <w:rsid w:val="007C290A"/>
    <w:rsid w:val="007D4986"/>
    <w:rsid w:val="007D4D5C"/>
    <w:rsid w:val="007D611D"/>
    <w:rsid w:val="007E22B2"/>
    <w:rsid w:val="007E7B0F"/>
    <w:rsid w:val="007E7B3C"/>
    <w:rsid w:val="007E7D5B"/>
    <w:rsid w:val="007F05E0"/>
    <w:rsid w:val="007F0660"/>
    <w:rsid w:val="007F344C"/>
    <w:rsid w:val="007F538B"/>
    <w:rsid w:val="007F65B7"/>
    <w:rsid w:val="008025DA"/>
    <w:rsid w:val="0080647D"/>
    <w:rsid w:val="008100B7"/>
    <w:rsid w:val="00812E13"/>
    <w:rsid w:val="00813C0A"/>
    <w:rsid w:val="00817FE6"/>
    <w:rsid w:val="008217B5"/>
    <w:rsid w:val="00824453"/>
    <w:rsid w:val="00826C31"/>
    <w:rsid w:val="00827C2F"/>
    <w:rsid w:val="00831240"/>
    <w:rsid w:val="00832A9C"/>
    <w:rsid w:val="008330ED"/>
    <w:rsid w:val="00836359"/>
    <w:rsid w:val="008370B2"/>
    <w:rsid w:val="00837464"/>
    <w:rsid w:val="008403ED"/>
    <w:rsid w:val="00840A20"/>
    <w:rsid w:val="00841B88"/>
    <w:rsid w:val="0084399C"/>
    <w:rsid w:val="00851F49"/>
    <w:rsid w:val="008523E2"/>
    <w:rsid w:val="00855845"/>
    <w:rsid w:val="00855BB2"/>
    <w:rsid w:val="0085740B"/>
    <w:rsid w:val="008619ED"/>
    <w:rsid w:val="00863C52"/>
    <w:rsid w:val="00864539"/>
    <w:rsid w:val="008726E5"/>
    <w:rsid w:val="00875C42"/>
    <w:rsid w:val="00885087"/>
    <w:rsid w:val="008918C9"/>
    <w:rsid w:val="008927FA"/>
    <w:rsid w:val="0089546D"/>
    <w:rsid w:val="008A1E79"/>
    <w:rsid w:val="008A2873"/>
    <w:rsid w:val="008A35DA"/>
    <w:rsid w:val="008A3AFA"/>
    <w:rsid w:val="008A3E70"/>
    <w:rsid w:val="008A4F9E"/>
    <w:rsid w:val="008A52F4"/>
    <w:rsid w:val="008A58D1"/>
    <w:rsid w:val="008A6A11"/>
    <w:rsid w:val="008B5FCC"/>
    <w:rsid w:val="008C0288"/>
    <w:rsid w:val="008C2D92"/>
    <w:rsid w:val="008D1DDF"/>
    <w:rsid w:val="008E0732"/>
    <w:rsid w:val="008E2C95"/>
    <w:rsid w:val="008E4217"/>
    <w:rsid w:val="008E4A69"/>
    <w:rsid w:val="008E6534"/>
    <w:rsid w:val="008E711B"/>
    <w:rsid w:val="008F1551"/>
    <w:rsid w:val="008F1956"/>
    <w:rsid w:val="008F3FAB"/>
    <w:rsid w:val="008F4EAC"/>
    <w:rsid w:val="008F626A"/>
    <w:rsid w:val="00902089"/>
    <w:rsid w:val="0090780B"/>
    <w:rsid w:val="0091289C"/>
    <w:rsid w:val="009158E0"/>
    <w:rsid w:val="00916409"/>
    <w:rsid w:val="00917B86"/>
    <w:rsid w:val="00922CE2"/>
    <w:rsid w:val="00923142"/>
    <w:rsid w:val="00931153"/>
    <w:rsid w:val="0093309C"/>
    <w:rsid w:val="009330A2"/>
    <w:rsid w:val="00933317"/>
    <w:rsid w:val="00937E9E"/>
    <w:rsid w:val="00940B10"/>
    <w:rsid w:val="00944059"/>
    <w:rsid w:val="009458A8"/>
    <w:rsid w:val="00951375"/>
    <w:rsid w:val="00951F7A"/>
    <w:rsid w:val="0095643D"/>
    <w:rsid w:val="00974EF0"/>
    <w:rsid w:val="0098060C"/>
    <w:rsid w:val="0098201D"/>
    <w:rsid w:val="00982253"/>
    <w:rsid w:val="00982C62"/>
    <w:rsid w:val="00983E83"/>
    <w:rsid w:val="00984F02"/>
    <w:rsid w:val="00987DD3"/>
    <w:rsid w:val="00992DAA"/>
    <w:rsid w:val="00995154"/>
    <w:rsid w:val="009A10A3"/>
    <w:rsid w:val="009A255D"/>
    <w:rsid w:val="009A30DF"/>
    <w:rsid w:val="009A327B"/>
    <w:rsid w:val="009A4314"/>
    <w:rsid w:val="009A4E5D"/>
    <w:rsid w:val="009A56BB"/>
    <w:rsid w:val="009A5847"/>
    <w:rsid w:val="009A619F"/>
    <w:rsid w:val="009B2563"/>
    <w:rsid w:val="009B6055"/>
    <w:rsid w:val="009C01D9"/>
    <w:rsid w:val="009C12E9"/>
    <w:rsid w:val="009C2C50"/>
    <w:rsid w:val="009C65A4"/>
    <w:rsid w:val="009D49F0"/>
    <w:rsid w:val="009E235D"/>
    <w:rsid w:val="009E34BB"/>
    <w:rsid w:val="009E36BC"/>
    <w:rsid w:val="009E58E2"/>
    <w:rsid w:val="009E681C"/>
    <w:rsid w:val="009E7F76"/>
    <w:rsid w:val="009F077D"/>
    <w:rsid w:val="009F4248"/>
    <w:rsid w:val="009F5379"/>
    <w:rsid w:val="00A007B1"/>
    <w:rsid w:val="00A01245"/>
    <w:rsid w:val="00A023D2"/>
    <w:rsid w:val="00A1009D"/>
    <w:rsid w:val="00A10CED"/>
    <w:rsid w:val="00A10D30"/>
    <w:rsid w:val="00A1268D"/>
    <w:rsid w:val="00A14443"/>
    <w:rsid w:val="00A14F1D"/>
    <w:rsid w:val="00A15F29"/>
    <w:rsid w:val="00A16C13"/>
    <w:rsid w:val="00A17842"/>
    <w:rsid w:val="00A20C27"/>
    <w:rsid w:val="00A24F35"/>
    <w:rsid w:val="00A256A1"/>
    <w:rsid w:val="00A25AAD"/>
    <w:rsid w:val="00A3047A"/>
    <w:rsid w:val="00A318B8"/>
    <w:rsid w:val="00A34507"/>
    <w:rsid w:val="00A36D27"/>
    <w:rsid w:val="00A41561"/>
    <w:rsid w:val="00A47C2F"/>
    <w:rsid w:val="00A516E5"/>
    <w:rsid w:val="00A536BE"/>
    <w:rsid w:val="00A65594"/>
    <w:rsid w:val="00A76226"/>
    <w:rsid w:val="00A80294"/>
    <w:rsid w:val="00A90FE1"/>
    <w:rsid w:val="00A9169B"/>
    <w:rsid w:val="00A95C9A"/>
    <w:rsid w:val="00AB22E8"/>
    <w:rsid w:val="00AB2A16"/>
    <w:rsid w:val="00AB4D35"/>
    <w:rsid w:val="00AC02DF"/>
    <w:rsid w:val="00AC57BB"/>
    <w:rsid w:val="00AD1CA2"/>
    <w:rsid w:val="00AD1CDB"/>
    <w:rsid w:val="00AE0188"/>
    <w:rsid w:val="00AE318B"/>
    <w:rsid w:val="00AE4720"/>
    <w:rsid w:val="00AE4911"/>
    <w:rsid w:val="00AE511E"/>
    <w:rsid w:val="00AF2F95"/>
    <w:rsid w:val="00AF4573"/>
    <w:rsid w:val="00AF5033"/>
    <w:rsid w:val="00AF62A5"/>
    <w:rsid w:val="00B01DA0"/>
    <w:rsid w:val="00B044C2"/>
    <w:rsid w:val="00B13DE7"/>
    <w:rsid w:val="00B147E4"/>
    <w:rsid w:val="00B16C9F"/>
    <w:rsid w:val="00B260C4"/>
    <w:rsid w:val="00B26D25"/>
    <w:rsid w:val="00B32864"/>
    <w:rsid w:val="00B333D0"/>
    <w:rsid w:val="00B3508A"/>
    <w:rsid w:val="00B43997"/>
    <w:rsid w:val="00B47C25"/>
    <w:rsid w:val="00B52020"/>
    <w:rsid w:val="00B53884"/>
    <w:rsid w:val="00B5487D"/>
    <w:rsid w:val="00B60B83"/>
    <w:rsid w:val="00B60C19"/>
    <w:rsid w:val="00B67DB0"/>
    <w:rsid w:val="00B71E9D"/>
    <w:rsid w:val="00B7451E"/>
    <w:rsid w:val="00B8026B"/>
    <w:rsid w:val="00B812F1"/>
    <w:rsid w:val="00B81F0F"/>
    <w:rsid w:val="00B82213"/>
    <w:rsid w:val="00B82781"/>
    <w:rsid w:val="00B8447A"/>
    <w:rsid w:val="00B84C8F"/>
    <w:rsid w:val="00B866C7"/>
    <w:rsid w:val="00B91654"/>
    <w:rsid w:val="00B924FC"/>
    <w:rsid w:val="00B96A90"/>
    <w:rsid w:val="00B97AEA"/>
    <w:rsid w:val="00BA59B2"/>
    <w:rsid w:val="00BB0491"/>
    <w:rsid w:val="00BB2677"/>
    <w:rsid w:val="00BB3D56"/>
    <w:rsid w:val="00BB4187"/>
    <w:rsid w:val="00BB5BE9"/>
    <w:rsid w:val="00BB61A5"/>
    <w:rsid w:val="00BB74F1"/>
    <w:rsid w:val="00BC0B64"/>
    <w:rsid w:val="00BC137E"/>
    <w:rsid w:val="00BC1F1E"/>
    <w:rsid w:val="00BD1E3B"/>
    <w:rsid w:val="00BD3616"/>
    <w:rsid w:val="00BD7424"/>
    <w:rsid w:val="00BE0D9A"/>
    <w:rsid w:val="00BE2C7A"/>
    <w:rsid w:val="00BF0C59"/>
    <w:rsid w:val="00BF25C6"/>
    <w:rsid w:val="00BF3A0E"/>
    <w:rsid w:val="00BF65A0"/>
    <w:rsid w:val="00C03A90"/>
    <w:rsid w:val="00C0453D"/>
    <w:rsid w:val="00C04EA2"/>
    <w:rsid w:val="00C07B6D"/>
    <w:rsid w:val="00C111EB"/>
    <w:rsid w:val="00C11B26"/>
    <w:rsid w:val="00C12FC2"/>
    <w:rsid w:val="00C16AA8"/>
    <w:rsid w:val="00C3122D"/>
    <w:rsid w:val="00C31467"/>
    <w:rsid w:val="00C373FC"/>
    <w:rsid w:val="00C45D0D"/>
    <w:rsid w:val="00C4738D"/>
    <w:rsid w:val="00C4740A"/>
    <w:rsid w:val="00C50190"/>
    <w:rsid w:val="00C51607"/>
    <w:rsid w:val="00C53AF2"/>
    <w:rsid w:val="00C55326"/>
    <w:rsid w:val="00C6567D"/>
    <w:rsid w:val="00C65695"/>
    <w:rsid w:val="00C71D26"/>
    <w:rsid w:val="00C76D42"/>
    <w:rsid w:val="00C7775F"/>
    <w:rsid w:val="00C83481"/>
    <w:rsid w:val="00C87777"/>
    <w:rsid w:val="00C90321"/>
    <w:rsid w:val="00C95418"/>
    <w:rsid w:val="00C96974"/>
    <w:rsid w:val="00C9744B"/>
    <w:rsid w:val="00CA2C14"/>
    <w:rsid w:val="00CA36CD"/>
    <w:rsid w:val="00CA3747"/>
    <w:rsid w:val="00CA4BD0"/>
    <w:rsid w:val="00CB3D14"/>
    <w:rsid w:val="00CB3F33"/>
    <w:rsid w:val="00CC27C3"/>
    <w:rsid w:val="00CC3998"/>
    <w:rsid w:val="00CC73E1"/>
    <w:rsid w:val="00CD0604"/>
    <w:rsid w:val="00CD132C"/>
    <w:rsid w:val="00CD6DAE"/>
    <w:rsid w:val="00CE3BE3"/>
    <w:rsid w:val="00CE4ABC"/>
    <w:rsid w:val="00CE5189"/>
    <w:rsid w:val="00CF1385"/>
    <w:rsid w:val="00CF20A1"/>
    <w:rsid w:val="00CF2542"/>
    <w:rsid w:val="00CF3DED"/>
    <w:rsid w:val="00CF3FCD"/>
    <w:rsid w:val="00D0059E"/>
    <w:rsid w:val="00D02200"/>
    <w:rsid w:val="00D0502A"/>
    <w:rsid w:val="00D052ED"/>
    <w:rsid w:val="00D05924"/>
    <w:rsid w:val="00D10838"/>
    <w:rsid w:val="00D11D24"/>
    <w:rsid w:val="00D1524F"/>
    <w:rsid w:val="00D15FA4"/>
    <w:rsid w:val="00D209C0"/>
    <w:rsid w:val="00D2106A"/>
    <w:rsid w:val="00D21AE7"/>
    <w:rsid w:val="00D22DC2"/>
    <w:rsid w:val="00D2553E"/>
    <w:rsid w:val="00D31E45"/>
    <w:rsid w:val="00D32597"/>
    <w:rsid w:val="00D33E06"/>
    <w:rsid w:val="00D35365"/>
    <w:rsid w:val="00D35BB8"/>
    <w:rsid w:val="00D42324"/>
    <w:rsid w:val="00D42A8F"/>
    <w:rsid w:val="00D42EB8"/>
    <w:rsid w:val="00D46F84"/>
    <w:rsid w:val="00D503B0"/>
    <w:rsid w:val="00D539C0"/>
    <w:rsid w:val="00D5560A"/>
    <w:rsid w:val="00D57749"/>
    <w:rsid w:val="00D57B60"/>
    <w:rsid w:val="00D6153E"/>
    <w:rsid w:val="00D646BA"/>
    <w:rsid w:val="00D7347A"/>
    <w:rsid w:val="00D77F7F"/>
    <w:rsid w:val="00D8209A"/>
    <w:rsid w:val="00D82874"/>
    <w:rsid w:val="00D84C9B"/>
    <w:rsid w:val="00D86B5E"/>
    <w:rsid w:val="00D86D75"/>
    <w:rsid w:val="00D91F37"/>
    <w:rsid w:val="00D924CF"/>
    <w:rsid w:val="00D93201"/>
    <w:rsid w:val="00D94081"/>
    <w:rsid w:val="00D9621D"/>
    <w:rsid w:val="00DA6209"/>
    <w:rsid w:val="00DA6277"/>
    <w:rsid w:val="00DA76A1"/>
    <w:rsid w:val="00DB052E"/>
    <w:rsid w:val="00DB06C7"/>
    <w:rsid w:val="00DB1367"/>
    <w:rsid w:val="00DB4DC1"/>
    <w:rsid w:val="00DC21C3"/>
    <w:rsid w:val="00DC41BB"/>
    <w:rsid w:val="00DD6792"/>
    <w:rsid w:val="00DE1E5C"/>
    <w:rsid w:val="00DE533D"/>
    <w:rsid w:val="00DE7A12"/>
    <w:rsid w:val="00DF2979"/>
    <w:rsid w:val="00DF34EC"/>
    <w:rsid w:val="00DF4A16"/>
    <w:rsid w:val="00E05F3E"/>
    <w:rsid w:val="00E07D70"/>
    <w:rsid w:val="00E10B11"/>
    <w:rsid w:val="00E11704"/>
    <w:rsid w:val="00E15980"/>
    <w:rsid w:val="00E16ABF"/>
    <w:rsid w:val="00E23946"/>
    <w:rsid w:val="00E26C07"/>
    <w:rsid w:val="00E30ACA"/>
    <w:rsid w:val="00E30C50"/>
    <w:rsid w:val="00E313B5"/>
    <w:rsid w:val="00E34725"/>
    <w:rsid w:val="00E356CF"/>
    <w:rsid w:val="00E4372E"/>
    <w:rsid w:val="00E50621"/>
    <w:rsid w:val="00E51052"/>
    <w:rsid w:val="00E55C0E"/>
    <w:rsid w:val="00E5705E"/>
    <w:rsid w:val="00E5754F"/>
    <w:rsid w:val="00E604C8"/>
    <w:rsid w:val="00E63063"/>
    <w:rsid w:val="00E638CF"/>
    <w:rsid w:val="00E66E2F"/>
    <w:rsid w:val="00E675F3"/>
    <w:rsid w:val="00E71778"/>
    <w:rsid w:val="00E82317"/>
    <w:rsid w:val="00E86085"/>
    <w:rsid w:val="00E86A24"/>
    <w:rsid w:val="00E86A34"/>
    <w:rsid w:val="00E87FDA"/>
    <w:rsid w:val="00E90A8C"/>
    <w:rsid w:val="00E95305"/>
    <w:rsid w:val="00E97313"/>
    <w:rsid w:val="00EB0E1B"/>
    <w:rsid w:val="00EB1789"/>
    <w:rsid w:val="00EB3691"/>
    <w:rsid w:val="00EB40EC"/>
    <w:rsid w:val="00EB6874"/>
    <w:rsid w:val="00EC0FC8"/>
    <w:rsid w:val="00EC1374"/>
    <w:rsid w:val="00EC31DE"/>
    <w:rsid w:val="00EC3950"/>
    <w:rsid w:val="00EC6896"/>
    <w:rsid w:val="00ED2116"/>
    <w:rsid w:val="00ED553E"/>
    <w:rsid w:val="00ED5FE5"/>
    <w:rsid w:val="00EE119E"/>
    <w:rsid w:val="00EE3008"/>
    <w:rsid w:val="00EF0A63"/>
    <w:rsid w:val="00EF4033"/>
    <w:rsid w:val="00EF58B3"/>
    <w:rsid w:val="00F011AB"/>
    <w:rsid w:val="00F0416A"/>
    <w:rsid w:val="00F0608F"/>
    <w:rsid w:val="00F0672E"/>
    <w:rsid w:val="00F06EAC"/>
    <w:rsid w:val="00F20369"/>
    <w:rsid w:val="00F21A29"/>
    <w:rsid w:val="00F22147"/>
    <w:rsid w:val="00F248D0"/>
    <w:rsid w:val="00F263F1"/>
    <w:rsid w:val="00F309E5"/>
    <w:rsid w:val="00F32BD3"/>
    <w:rsid w:val="00F32EF5"/>
    <w:rsid w:val="00F338F5"/>
    <w:rsid w:val="00F4070E"/>
    <w:rsid w:val="00F40DF7"/>
    <w:rsid w:val="00F435F5"/>
    <w:rsid w:val="00F47771"/>
    <w:rsid w:val="00F55101"/>
    <w:rsid w:val="00F629EF"/>
    <w:rsid w:val="00F62FBE"/>
    <w:rsid w:val="00F668F4"/>
    <w:rsid w:val="00F723E0"/>
    <w:rsid w:val="00F7414D"/>
    <w:rsid w:val="00F769B4"/>
    <w:rsid w:val="00F80038"/>
    <w:rsid w:val="00F80DAF"/>
    <w:rsid w:val="00F83226"/>
    <w:rsid w:val="00F86F8F"/>
    <w:rsid w:val="00F93BB9"/>
    <w:rsid w:val="00F95E47"/>
    <w:rsid w:val="00F95F69"/>
    <w:rsid w:val="00F97449"/>
    <w:rsid w:val="00FA4038"/>
    <w:rsid w:val="00FA52E3"/>
    <w:rsid w:val="00FB333F"/>
    <w:rsid w:val="00FC2FA2"/>
    <w:rsid w:val="00FC58F6"/>
    <w:rsid w:val="00FD1F3E"/>
    <w:rsid w:val="00FD67EE"/>
    <w:rsid w:val="00FD6D42"/>
    <w:rsid w:val="00FD7E00"/>
    <w:rsid w:val="00FE1A5A"/>
    <w:rsid w:val="00FE1E45"/>
    <w:rsid w:val="00FE3D8E"/>
    <w:rsid w:val="00FE50A4"/>
    <w:rsid w:val="00FE53FD"/>
    <w:rsid w:val="00FE7509"/>
    <w:rsid w:val="00FF05A4"/>
    <w:rsid w:val="00FF05F6"/>
    <w:rsid w:val="00FF1A98"/>
    <w:rsid w:val="00FF2C3A"/>
    <w:rsid w:val="00FF414B"/>
    <w:rsid w:val="00FF466F"/>
    <w:rsid w:val="00FF48A8"/>
    <w:rsid w:val="00FF4C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E2D9D14"/>
  <w15:docId w15:val="{EEAB8623-C165-447E-BAF8-7AA089A1F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FCC"/>
    <w:pPr>
      <w:autoSpaceDE w:val="0"/>
      <w:autoSpaceDN w:val="0"/>
      <w:adjustRightInd w:val="0"/>
    </w:pPr>
    <w:rPr>
      <w:rFonts w:ascii="Arial" w:hAnsi="Arial"/>
      <w:szCs w:val="24"/>
    </w:rPr>
  </w:style>
  <w:style w:type="paragraph" w:styleId="Heading1">
    <w:name w:val="heading 1"/>
    <w:basedOn w:val="Normal"/>
    <w:next w:val="Normal"/>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nhideWhenUsed/>
    <w:qFormat/>
    <w:rsid w:val="00EC31DE"/>
    <w:pPr>
      <w:numPr>
        <w:ilvl w:val="12"/>
      </w:numPr>
      <w:jc w:val="center"/>
      <w:outlineLvl w:val="2"/>
    </w:pPr>
    <w:rPr>
      <w:b/>
      <w:bCs/>
    </w:rPr>
  </w:style>
  <w:style w:type="paragraph" w:styleId="Heading4">
    <w:name w:val="heading 4"/>
    <w:basedOn w:val="Normal"/>
    <w:next w:val="Normal"/>
    <w:link w:val="Heading4Char"/>
    <w:unhideWhenUsed/>
    <w:qFormat/>
    <w:rsid w:val="00F011AB"/>
    <w:pPr>
      <w:jc w:val="center"/>
      <w:outlineLvl w:val="3"/>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semiHidden/>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rsid w:val="005C495D"/>
    <w:pPr>
      <w:tabs>
        <w:tab w:val="center" w:pos="4680"/>
        <w:tab w:val="right" w:pos="9360"/>
      </w:tabs>
    </w:pPr>
  </w:style>
  <w:style w:type="character" w:customStyle="1" w:styleId="HeaderChar">
    <w:name w:val="Header Char"/>
    <w:basedOn w:val="DefaultParagraphFont"/>
    <w:link w:val="Header"/>
    <w:rsid w:val="005C495D"/>
    <w:rPr>
      <w:rFonts w:ascii="Arial" w:hAnsi="Arial"/>
      <w:szCs w:val="24"/>
    </w:rPr>
  </w:style>
  <w:style w:type="paragraph" w:styleId="Footer">
    <w:name w:val="footer"/>
    <w:basedOn w:val="Normal"/>
    <w:link w:val="FooterChar"/>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 w:type="paragraph" w:styleId="BodyText">
    <w:name w:val="Body Text"/>
    <w:basedOn w:val="Normal"/>
    <w:link w:val="BodyTextChar"/>
    <w:uiPriority w:val="1"/>
    <w:qFormat/>
    <w:rsid w:val="00C373FC"/>
    <w:pPr>
      <w:widowControl w:val="0"/>
      <w:adjustRightInd/>
    </w:pPr>
    <w:rPr>
      <w:rFonts w:ascii="Times New Roman" w:hAnsi="Times New Roman"/>
      <w:sz w:val="24"/>
    </w:rPr>
  </w:style>
  <w:style w:type="character" w:customStyle="1" w:styleId="BodyTextChar">
    <w:name w:val="Body Text Char"/>
    <w:basedOn w:val="DefaultParagraphFont"/>
    <w:link w:val="BodyText"/>
    <w:uiPriority w:val="1"/>
    <w:rsid w:val="00C373FC"/>
    <w:rPr>
      <w:rFonts w:ascii="Times New Roman" w:hAnsi="Times New Roman"/>
      <w:sz w:val="24"/>
      <w:szCs w:val="24"/>
    </w:rPr>
  </w:style>
  <w:style w:type="paragraph" w:styleId="ListParagraph">
    <w:name w:val="List Paragraph"/>
    <w:basedOn w:val="Normal"/>
    <w:uiPriority w:val="1"/>
    <w:qFormat/>
    <w:rsid w:val="00C373FC"/>
    <w:pPr>
      <w:widowControl w:val="0"/>
      <w:adjustRightInd/>
      <w:ind w:left="1579" w:right="113" w:hanging="360"/>
    </w:pPr>
    <w:rPr>
      <w:rFonts w:ascii="Times New Roman" w:hAnsi="Times New Roman"/>
      <w:sz w:val="22"/>
      <w:szCs w:val="22"/>
    </w:rPr>
  </w:style>
  <w:style w:type="character" w:styleId="Hyperlink">
    <w:name w:val="Hyperlink"/>
    <w:basedOn w:val="DefaultParagraphFont"/>
    <w:uiPriority w:val="99"/>
    <w:unhideWhenUsed/>
    <w:rsid w:val="00DB4DC1"/>
    <w:rPr>
      <w:color w:val="0000FF" w:themeColor="hyperlink"/>
      <w:u w:val="single"/>
    </w:rPr>
  </w:style>
  <w:style w:type="character" w:styleId="FollowedHyperlink">
    <w:name w:val="FollowedHyperlink"/>
    <w:basedOn w:val="DefaultParagraphFont"/>
    <w:semiHidden/>
    <w:unhideWhenUsed/>
    <w:rsid w:val="00DB4DC1"/>
    <w:rPr>
      <w:color w:val="800080" w:themeColor="followedHyperlink"/>
      <w:u w:val="single"/>
    </w:rPr>
  </w:style>
  <w:style w:type="paragraph" w:styleId="Revision">
    <w:name w:val="Revision"/>
    <w:hidden/>
    <w:uiPriority w:val="99"/>
    <w:semiHidden/>
    <w:rsid w:val="0004485A"/>
    <w:rPr>
      <w:rFonts w:ascii="Arial" w:hAnsi="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972232">
      <w:bodyDiv w:val="1"/>
      <w:marLeft w:val="0"/>
      <w:marRight w:val="0"/>
      <w:marTop w:val="0"/>
      <w:marBottom w:val="0"/>
      <w:divBdr>
        <w:top w:val="none" w:sz="0" w:space="0" w:color="auto"/>
        <w:left w:val="none" w:sz="0" w:space="0" w:color="auto"/>
        <w:bottom w:val="none" w:sz="0" w:space="0" w:color="auto"/>
        <w:right w:val="none" w:sz="0" w:space="0" w:color="auto"/>
      </w:divBdr>
    </w:div>
    <w:div w:id="220093396">
      <w:bodyDiv w:val="1"/>
      <w:marLeft w:val="0"/>
      <w:marRight w:val="0"/>
      <w:marTop w:val="0"/>
      <w:marBottom w:val="0"/>
      <w:divBdr>
        <w:top w:val="none" w:sz="0" w:space="0" w:color="auto"/>
        <w:left w:val="none" w:sz="0" w:space="0" w:color="auto"/>
        <w:bottom w:val="none" w:sz="0" w:space="0" w:color="auto"/>
        <w:right w:val="none" w:sz="0" w:space="0" w:color="auto"/>
      </w:divBdr>
    </w:div>
    <w:div w:id="92257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header" Target="header1.xml"/><Relationship Id="rId12" Type="http://schemas.openxmlformats.org/officeDocument/2006/relationships/image" Target="file:///X:\graphics\\electSign\Sshort.jpg" TargetMode="External"/><Relationship Id="rId17" Type="http://schemas.openxmlformats.org/officeDocument/2006/relationships/hyperlink" Target="https://www.tceq.texas.gov/assets/public/permitting/air/Guidance/NewSourceReview/marine-load-guide.pdf" TargetMode="Externa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customXml" Target="../customXml/item2.xml"/></Relationships>
</file>

<file path=word/_rels/footer2.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8E803282349408D7BA9D93F5BAE02" ma:contentTypeVersion="6" ma:contentTypeDescription="Create a new document." ma:contentTypeScope="" ma:versionID="2ef599ca346e45b55074aa0d666f7f93">
  <xsd:schema xmlns:xsd="http://www.w3.org/2001/XMLSchema" xmlns:xs="http://www.w3.org/2001/XMLSchema" xmlns:p="http://schemas.microsoft.com/office/2006/metadata/properties" xmlns:ns1="http://schemas.microsoft.com/sharepoint/v3" xmlns:ns2="99f20e8d-72cb-4a6d-a06b-d0a9d9466ea7" targetNamespace="http://schemas.microsoft.com/office/2006/metadata/properties" ma:root="true" ma:fieldsID="65ef2c73f632c152b5b66c481177cd49" ns1:_="" ns2:_="">
    <xsd:import namespace="http://schemas.microsoft.com/sharepoint/v3"/>
    <xsd:import namespace="99f20e8d-72cb-4a6d-a06b-d0a9d9466ea7"/>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f20e8d-72cb-4a6d-a06b-d0a9d9466e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3DEDDB3-1D04-4CD2-A5E9-53A6290BBED7}"/>
</file>

<file path=customXml/itemProps2.xml><?xml version="1.0" encoding="utf-8"?>
<ds:datastoreItem xmlns:ds="http://schemas.openxmlformats.org/officeDocument/2006/customXml" ds:itemID="{BB339C2C-B75F-4D1C-8DE4-D406FD40B560}"/>
</file>

<file path=docProps/app.xml><?xml version="1.0" encoding="utf-8"?>
<Properties xmlns="http://schemas.openxmlformats.org/officeDocument/2006/extended-properties" xmlns:vt="http://schemas.openxmlformats.org/officeDocument/2006/docPropsVTypes">
  <Template>Normal.dotm</Template>
  <TotalTime>0</TotalTime>
  <Pages>12</Pages>
  <Words>6750</Words>
  <Characters>36676</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43340</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lastModifiedBy>Mark Meyer</cp:lastModifiedBy>
  <cp:revision>2</cp:revision>
  <cp:lastPrinted>2022-12-19T14:12:00Z</cp:lastPrinted>
  <dcterms:created xsi:type="dcterms:W3CDTF">2023-07-09T18:27:00Z</dcterms:created>
  <dcterms:modified xsi:type="dcterms:W3CDTF">2023-07-09T18:27:00Z</dcterms:modified>
</cp:coreProperties>
</file>