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D63961" w14:textId="678ECB58" w:rsidR="00ED2116" w:rsidRPr="002B6875" w:rsidRDefault="00D772FD" w:rsidP="0095602A">
      <w:pPr>
        <w:jc w:val="right"/>
        <w:rPr>
          <w:rFonts w:cs="Arial"/>
          <w:szCs w:val="20"/>
          <w:lang w:val="en-CA"/>
        </w:rPr>
      </w:pPr>
      <w:r>
        <w:rPr>
          <w:rFonts w:cs="Arial"/>
          <w:szCs w:val="20"/>
          <w:lang w:val="en-CA"/>
        </w:rPr>
        <w:t>February 23, 2024</w:t>
      </w:r>
    </w:p>
    <w:p w14:paraId="4264390C" w14:textId="77777777" w:rsidR="00286734" w:rsidRPr="002B6875" w:rsidRDefault="00286734" w:rsidP="0095602A">
      <w:pPr>
        <w:rPr>
          <w:rFonts w:cs="Arial"/>
          <w:szCs w:val="20"/>
        </w:rPr>
      </w:pPr>
      <w:r w:rsidRPr="002B6875">
        <w:rPr>
          <w:rFonts w:cs="Arial"/>
          <w:szCs w:val="20"/>
        </w:rPr>
        <w:t>MR JEFFREY ROBINSON</w:t>
      </w:r>
    </w:p>
    <w:p w14:paraId="19ED501D" w14:textId="77777777" w:rsidR="00286734" w:rsidRPr="002B6875" w:rsidRDefault="00286734" w:rsidP="0095602A">
      <w:pPr>
        <w:rPr>
          <w:rFonts w:cs="Arial"/>
          <w:szCs w:val="20"/>
        </w:rPr>
      </w:pPr>
      <w:r w:rsidRPr="002B6875">
        <w:rPr>
          <w:rFonts w:cs="Arial"/>
          <w:szCs w:val="20"/>
        </w:rPr>
        <w:t>BRANCH CHIEF AIR PERMITS AND MONITORING</w:t>
      </w:r>
    </w:p>
    <w:p w14:paraId="40271857" w14:textId="77777777" w:rsidR="00286734" w:rsidRPr="002B6875" w:rsidRDefault="00286734" w:rsidP="0095602A">
      <w:pPr>
        <w:rPr>
          <w:rFonts w:cs="Arial"/>
          <w:szCs w:val="20"/>
        </w:rPr>
      </w:pPr>
      <w:r w:rsidRPr="002B6875">
        <w:rPr>
          <w:rFonts w:cs="Arial"/>
          <w:szCs w:val="20"/>
        </w:rPr>
        <w:t>US ENVIRONMENTAL PROTECTION AGENCY REGION 6</w:t>
      </w:r>
    </w:p>
    <w:p w14:paraId="36DD9719" w14:textId="77777777" w:rsidR="00286734" w:rsidRPr="002B6875" w:rsidRDefault="00286734" w:rsidP="0095602A">
      <w:pPr>
        <w:rPr>
          <w:rFonts w:cs="Arial"/>
          <w:szCs w:val="20"/>
        </w:rPr>
      </w:pPr>
      <w:r w:rsidRPr="002B6875">
        <w:rPr>
          <w:rFonts w:cs="Arial"/>
          <w:szCs w:val="20"/>
        </w:rPr>
        <w:t>1201 ELM ST STE 500</w:t>
      </w:r>
    </w:p>
    <w:p w14:paraId="6DFA7D96" w14:textId="77777777" w:rsidR="002A602F" w:rsidRPr="002B6875" w:rsidRDefault="00286734" w:rsidP="0095602A">
      <w:pPr>
        <w:rPr>
          <w:rFonts w:cs="Arial"/>
          <w:szCs w:val="20"/>
        </w:rPr>
      </w:pPr>
      <w:r w:rsidRPr="002B6875">
        <w:rPr>
          <w:rFonts w:cs="Arial"/>
          <w:szCs w:val="20"/>
        </w:rPr>
        <w:t>DALLAS TX  75270</w:t>
      </w:r>
    </w:p>
    <w:p w14:paraId="3DB0C5B9" w14:textId="77777777" w:rsidR="00286734" w:rsidRPr="002B6875" w:rsidRDefault="00286734" w:rsidP="0095602A">
      <w:pPr>
        <w:rPr>
          <w:rFonts w:cs="Arial"/>
          <w:szCs w:val="20"/>
        </w:rPr>
      </w:pPr>
    </w:p>
    <w:p w14:paraId="419E2924" w14:textId="77777777" w:rsidR="00BD7424" w:rsidRPr="002B6875" w:rsidRDefault="00BD7424" w:rsidP="0095602A">
      <w:pPr>
        <w:rPr>
          <w:rFonts w:cs="Arial"/>
          <w:szCs w:val="20"/>
        </w:rPr>
      </w:pPr>
    </w:p>
    <w:p w14:paraId="6B9D293C" w14:textId="77777777" w:rsidR="00C4738D" w:rsidRPr="002B6875" w:rsidRDefault="00C4738D" w:rsidP="0095602A">
      <w:pPr>
        <w:tabs>
          <w:tab w:val="left" w:pos="446"/>
        </w:tabs>
        <w:outlineLvl w:val="0"/>
        <w:rPr>
          <w:rFonts w:cs="Arial"/>
          <w:szCs w:val="20"/>
        </w:rPr>
      </w:pPr>
      <w:r w:rsidRPr="002B6875">
        <w:rPr>
          <w:rFonts w:cs="Arial"/>
          <w:szCs w:val="20"/>
        </w:rPr>
        <w:t>Re:</w:t>
      </w:r>
      <w:r w:rsidRPr="002B6875">
        <w:rPr>
          <w:rFonts w:cs="Arial"/>
          <w:szCs w:val="20"/>
        </w:rPr>
        <w:tab/>
      </w:r>
      <w:r w:rsidR="00C6567D" w:rsidRPr="002B6875">
        <w:rPr>
          <w:rFonts w:cs="Arial"/>
          <w:szCs w:val="20"/>
        </w:rPr>
        <w:t>Executive Director’s Response to EPA Objection</w:t>
      </w:r>
    </w:p>
    <w:p w14:paraId="0743D6DD" w14:textId="77777777" w:rsidR="00C4738D" w:rsidRPr="002B6875" w:rsidRDefault="004E78D9" w:rsidP="0095602A">
      <w:pPr>
        <w:rPr>
          <w:rFonts w:cs="Arial"/>
          <w:szCs w:val="20"/>
        </w:rPr>
      </w:pPr>
      <w:r w:rsidRPr="002B6875">
        <w:rPr>
          <w:rFonts w:cs="Arial"/>
          <w:szCs w:val="20"/>
        </w:rPr>
        <w:t>Renewal</w:t>
      </w:r>
    </w:p>
    <w:p w14:paraId="50969DB2" w14:textId="77777777" w:rsidR="00C4738D" w:rsidRPr="002B6875" w:rsidRDefault="00D35BB8" w:rsidP="0095602A">
      <w:pPr>
        <w:rPr>
          <w:rFonts w:cs="Arial"/>
          <w:szCs w:val="20"/>
        </w:rPr>
      </w:pPr>
      <w:r w:rsidRPr="002B6875">
        <w:rPr>
          <w:rFonts w:cs="Arial"/>
          <w:szCs w:val="20"/>
        </w:rPr>
        <w:t xml:space="preserve">Permit Number:  </w:t>
      </w:r>
      <w:r w:rsidR="004E78D9" w:rsidRPr="002B6875">
        <w:rPr>
          <w:rFonts w:cs="Arial"/>
          <w:szCs w:val="20"/>
        </w:rPr>
        <w:t>O1668</w:t>
      </w:r>
    </w:p>
    <w:p w14:paraId="3D2CA575" w14:textId="77777777" w:rsidR="00C4738D" w:rsidRPr="002B6875" w:rsidRDefault="004E78D9" w:rsidP="0095602A">
      <w:pPr>
        <w:rPr>
          <w:rFonts w:cs="Arial"/>
          <w:szCs w:val="20"/>
        </w:rPr>
      </w:pPr>
      <w:r w:rsidRPr="002B6875">
        <w:rPr>
          <w:rFonts w:cs="Arial"/>
          <w:szCs w:val="20"/>
        </w:rPr>
        <w:t>Shell Chemical LP</w:t>
      </w:r>
    </w:p>
    <w:p w14:paraId="74D453A4" w14:textId="77777777" w:rsidR="00C4738D" w:rsidRPr="002B6875" w:rsidRDefault="004E78D9" w:rsidP="0095602A">
      <w:pPr>
        <w:rPr>
          <w:rFonts w:cs="Arial"/>
          <w:szCs w:val="20"/>
        </w:rPr>
      </w:pPr>
      <w:r w:rsidRPr="002B6875">
        <w:rPr>
          <w:rFonts w:cs="Arial"/>
          <w:szCs w:val="20"/>
        </w:rPr>
        <w:t>Chemical Plant</w:t>
      </w:r>
    </w:p>
    <w:p w14:paraId="1099A820" w14:textId="77777777" w:rsidR="00C4738D" w:rsidRPr="002B6875" w:rsidRDefault="004E78D9" w:rsidP="0095602A">
      <w:pPr>
        <w:rPr>
          <w:rFonts w:cs="Arial"/>
          <w:szCs w:val="20"/>
        </w:rPr>
      </w:pPr>
      <w:r w:rsidRPr="002B6875">
        <w:rPr>
          <w:rFonts w:cs="Arial"/>
          <w:szCs w:val="20"/>
        </w:rPr>
        <w:t>Deer Park, Harris County</w:t>
      </w:r>
    </w:p>
    <w:p w14:paraId="71D39CAD" w14:textId="77777777" w:rsidR="00C4738D" w:rsidRPr="002B6875" w:rsidRDefault="00C4738D" w:rsidP="0095602A">
      <w:pPr>
        <w:rPr>
          <w:rFonts w:cs="Arial"/>
          <w:szCs w:val="20"/>
        </w:rPr>
      </w:pPr>
      <w:r w:rsidRPr="002B6875">
        <w:rPr>
          <w:rFonts w:cs="Arial"/>
          <w:szCs w:val="20"/>
        </w:rPr>
        <w:t xml:space="preserve">Regulated Entity Number:  </w:t>
      </w:r>
      <w:r w:rsidR="004E78D9" w:rsidRPr="002B6875">
        <w:rPr>
          <w:rFonts w:cs="Arial"/>
          <w:szCs w:val="20"/>
        </w:rPr>
        <w:t>RN100211879</w:t>
      </w:r>
    </w:p>
    <w:p w14:paraId="5E2E9CDF" w14:textId="77777777" w:rsidR="00C4738D" w:rsidRPr="002B6875" w:rsidRDefault="00C4738D" w:rsidP="0095602A">
      <w:pPr>
        <w:rPr>
          <w:rFonts w:cs="Arial"/>
          <w:szCs w:val="20"/>
        </w:rPr>
      </w:pPr>
      <w:r w:rsidRPr="002B6875">
        <w:rPr>
          <w:rFonts w:cs="Arial"/>
          <w:szCs w:val="20"/>
        </w:rPr>
        <w:t xml:space="preserve">Customer Reference Number:  </w:t>
      </w:r>
      <w:r w:rsidR="004E78D9" w:rsidRPr="002B6875">
        <w:rPr>
          <w:rFonts w:cs="Arial"/>
          <w:szCs w:val="20"/>
        </w:rPr>
        <w:t>CN601405145</w:t>
      </w:r>
    </w:p>
    <w:p w14:paraId="3D44F2F3" w14:textId="77777777" w:rsidR="00F263F1" w:rsidRPr="002B6875" w:rsidRDefault="00F263F1" w:rsidP="0095602A">
      <w:pPr>
        <w:rPr>
          <w:rFonts w:cs="Arial"/>
          <w:szCs w:val="20"/>
        </w:rPr>
      </w:pPr>
    </w:p>
    <w:p w14:paraId="19292940" w14:textId="77777777" w:rsidR="00C4738D" w:rsidRPr="002B6875" w:rsidRDefault="00C4738D" w:rsidP="0095602A">
      <w:pPr>
        <w:rPr>
          <w:rFonts w:cs="Arial"/>
          <w:szCs w:val="20"/>
        </w:rPr>
      </w:pPr>
      <w:r w:rsidRPr="002B6875">
        <w:rPr>
          <w:rFonts w:cs="Arial"/>
          <w:szCs w:val="20"/>
        </w:rPr>
        <w:t xml:space="preserve">Dear </w:t>
      </w:r>
      <w:r w:rsidR="00F06EAC" w:rsidRPr="002B6875">
        <w:rPr>
          <w:rFonts w:cs="Arial"/>
          <w:szCs w:val="20"/>
        </w:rPr>
        <w:t xml:space="preserve">Mr. </w:t>
      </w:r>
      <w:r w:rsidR="00286734" w:rsidRPr="002B6875">
        <w:rPr>
          <w:rFonts w:cs="Arial"/>
          <w:szCs w:val="20"/>
        </w:rPr>
        <w:t>Robinson</w:t>
      </w:r>
      <w:r w:rsidRPr="002B6875">
        <w:rPr>
          <w:rFonts w:cs="Arial"/>
          <w:szCs w:val="20"/>
        </w:rPr>
        <w:t>:</w:t>
      </w:r>
    </w:p>
    <w:p w14:paraId="5B202EFA" w14:textId="77777777" w:rsidR="00AE0188" w:rsidRPr="002B6875" w:rsidRDefault="00AE0188" w:rsidP="0095602A">
      <w:pPr>
        <w:rPr>
          <w:rFonts w:cs="Arial"/>
          <w:szCs w:val="20"/>
        </w:rPr>
      </w:pPr>
    </w:p>
    <w:p w14:paraId="7CB70588" w14:textId="77777777" w:rsidR="00AE0188" w:rsidRPr="002B6875" w:rsidRDefault="00AE0188" w:rsidP="0095602A">
      <w:pPr>
        <w:rPr>
          <w:rFonts w:cs="Arial"/>
          <w:szCs w:val="20"/>
        </w:rPr>
        <w:sectPr w:rsidR="00AE0188" w:rsidRPr="002B6875" w:rsidSect="00F668F4">
          <w:headerReference w:type="default" r:id="rId10"/>
          <w:footerReference w:type="default" r:id="rId11"/>
          <w:headerReference w:type="first" r:id="rId12"/>
          <w:footerReference w:type="first" r:id="rId13"/>
          <w:pgSz w:w="12240" w:h="15838" w:code="1"/>
          <w:pgMar w:top="706" w:right="1440" w:bottom="1440" w:left="1440" w:header="720" w:footer="288" w:gutter="0"/>
          <w:cols w:space="720"/>
        </w:sectPr>
      </w:pPr>
    </w:p>
    <w:p w14:paraId="145C3502" w14:textId="77777777" w:rsidR="00EC6896" w:rsidRPr="002B6875" w:rsidRDefault="00EC6896" w:rsidP="0095602A">
      <w:pPr>
        <w:rPr>
          <w:rFonts w:cs="Arial"/>
          <w:szCs w:val="20"/>
        </w:rPr>
      </w:pPr>
      <w:r w:rsidRPr="002B6875">
        <w:rPr>
          <w:rFonts w:cs="Arial"/>
          <w:szCs w:val="20"/>
        </w:rPr>
        <w:t xml:space="preserve">On </w:t>
      </w:r>
      <w:r w:rsidR="004E78D9" w:rsidRPr="002B6875">
        <w:rPr>
          <w:rFonts w:cs="Arial"/>
          <w:szCs w:val="20"/>
        </w:rPr>
        <w:t>November 2, 2022</w:t>
      </w:r>
      <w:r w:rsidR="00984F02" w:rsidRPr="002B6875">
        <w:rPr>
          <w:rFonts w:cs="Arial"/>
          <w:szCs w:val="20"/>
        </w:rPr>
        <w:t>,</w:t>
      </w:r>
      <w:r w:rsidRPr="002B6875">
        <w:rPr>
          <w:rFonts w:cs="Arial"/>
          <w:szCs w:val="20"/>
        </w:rPr>
        <w:t xml:space="preserve"> the U.S. Environmental Pr</w:t>
      </w:r>
      <w:r w:rsidR="00F629EF" w:rsidRPr="002B6875">
        <w:rPr>
          <w:rFonts w:cs="Arial"/>
          <w:szCs w:val="20"/>
        </w:rPr>
        <w:t>otection Agency (EPA) Region 6 O</w:t>
      </w:r>
      <w:r w:rsidRPr="002B6875">
        <w:rPr>
          <w:rFonts w:cs="Arial"/>
          <w:szCs w:val="20"/>
        </w:rPr>
        <w:t>ffice signed a letter identifying objections to the issuance of the proposed federal operating permit for the above referenced site. In</w:t>
      </w:r>
      <w:r w:rsidR="00EE119E" w:rsidRPr="002B6875">
        <w:rPr>
          <w:rFonts w:cs="Arial"/>
          <w:szCs w:val="20"/>
        </w:rPr>
        <w:t xml:space="preserve"> accordance with Title </w:t>
      </w:r>
      <w:r w:rsidRPr="002B6875">
        <w:rPr>
          <w:rFonts w:cs="Arial"/>
          <w:szCs w:val="20"/>
        </w:rPr>
        <w:t>30 Texas Administrative Code</w:t>
      </w:r>
      <w:r w:rsidR="00EE119E" w:rsidRPr="002B6875">
        <w:rPr>
          <w:rFonts w:cs="Arial"/>
          <w:szCs w:val="20"/>
        </w:rPr>
        <w:t xml:space="preserve"> </w:t>
      </w:r>
      <w:r w:rsidRPr="002B6875">
        <w:rPr>
          <w:rFonts w:cs="Arial"/>
          <w:bCs/>
          <w:szCs w:val="20"/>
        </w:rPr>
        <w:t>§</w:t>
      </w:r>
      <w:r w:rsidR="00EE119E" w:rsidRPr="002B6875">
        <w:rPr>
          <w:rFonts w:cs="Arial"/>
          <w:bCs/>
          <w:szCs w:val="20"/>
        </w:rPr>
        <w:t> </w:t>
      </w:r>
      <w:r w:rsidRPr="002B6875">
        <w:rPr>
          <w:rFonts w:cs="Arial"/>
          <w:bCs/>
          <w:szCs w:val="20"/>
        </w:rPr>
        <w:t>122.350</w:t>
      </w:r>
      <w:r w:rsidR="00EE119E" w:rsidRPr="002B6875">
        <w:rPr>
          <w:rFonts w:cs="Arial"/>
          <w:bCs/>
          <w:szCs w:val="20"/>
        </w:rPr>
        <w:t xml:space="preserve"> (30 TAC § 122.350)</w:t>
      </w:r>
      <w:r w:rsidRPr="002B6875">
        <w:rPr>
          <w:rFonts w:cs="Arial"/>
          <w:bCs/>
          <w:szCs w:val="20"/>
        </w:rPr>
        <w:t xml:space="preserve">, the </w:t>
      </w:r>
      <w:r w:rsidRPr="002B6875">
        <w:rPr>
          <w:rFonts w:cs="Arial"/>
          <w:szCs w:val="20"/>
        </w:rPr>
        <w:t xml:space="preserve">Texas Commission on Environmental Quality (TCEQ) may not issue the permit until the objections are resolved.  In addition, the letter identifies certain additional concerns.  The TCEQ understands that the additional concerns are provided for information only, and do not need to be resolved </w:t>
      </w:r>
      <w:proofErr w:type="gramStart"/>
      <w:r w:rsidRPr="002B6875">
        <w:rPr>
          <w:rFonts w:cs="Arial"/>
          <w:szCs w:val="20"/>
        </w:rPr>
        <w:t>in order to</w:t>
      </w:r>
      <w:proofErr w:type="gramEnd"/>
      <w:r w:rsidRPr="002B6875">
        <w:rPr>
          <w:rFonts w:cs="Arial"/>
          <w:szCs w:val="20"/>
        </w:rPr>
        <w:t xml:space="preserve"> issue the permit.</w:t>
      </w:r>
    </w:p>
    <w:p w14:paraId="306A5848" w14:textId="77777777" w:rsidR="00EC6896" w:rsidRPr="002B6875" w:rsidRDefault="00EC6896" w:rsidP="0095602A">
      <w:pPr>
        <w:rPr>
          <w:rFonts w:cs="Arial"/>
          <w:szCs w:val="20"/>
        </w:rPr>
      </w:pPr>
    </w:p>
    <w:p w14:paraId="7AC991BA" w14:textId="77777777" w:rsidR="00EC6896" w:rsidRPr="002B6875" w:rsidRDefault="00EC6896" w:rsidP="0095602A">
      <w:pPr>
        <w:rPr>
          <w:rFonts w:cs="Arial"/>
          <w:szCs w:val="20"/>
        </w:rPr>
      </w:pPr>
      <w:r w:rsidRPr="002B6875">
        <w:rPr>
          <w:rFonts w:cs="Arial"/>
          <w:szCs w:val="20"/>
        </w:rPr>
        <w:t>The TCEQ has completed the technical review of your objections and offers the enclosed responses to facilitate resolution of the objections. In addition, the attached responses to the objections describe the changes, if applicable, that have been made to the revised proposed permit and supporting statement of basis</w:t>
      </w:r>
      <w:r w:rsidR="00B81F0F" w:rsidRPr="002B6875">
        <w:rPr>
          <w:rFonts w:cs="Arial"/>
          <w:szCs w:val="20"/>
        </w:rPr>
        <w:t xml:space="preserve"> (SOB)</w:t>
      </w:r>
      <w:r w:rsidRPr="002B6875">
        <w:rPr>
          <w:rFonts w:cs="Arial"/>
          <w:szCs w:val="20"/>
        </w:rPr>
        <w:t xml:space="preserve">.  The revised proposed permit and </w:t>
      </w:r>
      <w:r w:rsidR="00B81F0F" w:rsidRPr="002B6875">
        <w:rPr>
          <w:rFonts w:cs="Arial"/>
          <w:szCs w:val="20"/>
        </w:rPr>
        <w:t>SOB</w:t>
      </w:r>
      <w:r w:rsidRPr="002B6875">
        <w:rPr>
          <w:rFonts w:cs="Arial"/>
          <w:szCs w:val="20"/>
        </w:rPr>
        <w:t xml:space="preserve"> are attached for your review. </w:t>
      </w:r>
    </w:p>
    <w:p w14:paraId="21E88907" w14:textId="77777777" w:rsidR="00EC6896" w:rsidRPr="002B6875" w:rsidRDefault="00EC6896" w:rsidP="0095602A">
      <w:pPr>
        <w:rPr>
          <w:rFonts w:cs="Arial"/>
          <w:szCs w:val="20"/>
        </w:rPr>
      </w:pPr>
    </w:p>
    <w:p w14:paraId="70DDA024" w14:textId="77777777" w:rsidR="00EC6896" w:rsidRPr="002B6875" w:rsidRDefault="00EC6896" w:rsidP="0095602A">
      <w:pPr>
        <w:keepNext/>
        <w:keepLines/>
        <w:rPr>
          <w:rFonts w:cs="Arial"/>
          <w:szCs w:val="20"/>
        </w:rPr>
      </w:pPr>
      <w:r w:rsidRPr="002B6875">
        <w:rPr>
          <w:rFonts w:cs="Arial"/>
          <w:szCs w:val="20"/>
        </w:rPr>
        <w:lastRenderedPageBreak/>
        <w:t xml:space="preserve">Consistent with 30 TAC </w:t>
      </w:r>
      <w:r w:rsidRPr="002B6875">
        <w:rPr>
          <w:rFonts w:cs="Arial"/>
          <w:bCs/>
          <w:szCs w:val="20"/>
        </w:rPr>
        <w:t xml:space="preserve">§122.350, please provide an indication of your acceptance or assessment of the responses and resolutions to the objections as soon as possible.  After receipt of your acceptance to the responses and resolutions to the objections, TCEQ will issue the proposed permit.  </w:t>
      </w:r>
      <w:r w:rsidRPr="002B6875">
        <w:rPr>
          <w:rFonts w:cs="Arial"/>
          <w:szCs w:val="20"/>
        </w:rPr>
        <w:t>Thank you for your cooperation in this matter.</w:t>
      </w:r>
      <w:r w:rsidRPr="002B6875">
        <w:rPr>
          <w:rFonts w:cs="Arial"/>
          <w:bCs/>
          <w:szCs w:val="20"/>
        </w:rPr>
        <w:t xml:space="preserve">  </w:t>
      </w:r>
      <w:r w:rsidR="00B53884" w:rsidRPr="002B6875">
        <w:rPr>
          <w:rFonts w:cs="Arial"/>
          <w:szCs w:val="20"/>
        </w:rPr>
        <w:t xml:space="preserve">Please contact </w:t>
      </w:r>
      <w:r w:rsidR="004E78D9" w:rsidRPr="002B6875">
        <w:rPr>
          <w:rFonts w:cs="Arial"/>
          <w:szCs w:val="20"/>
        </w:rPr>
        <w:t>Ms. Camilla Widenhofer</w:t>
      </w:r>
      <w:r w:rsidR="00B53884" w:rsidRPr="002B6875">
        <w:rPr>
          <w:rFonts w:cs="Arial"/>
          <w:szCs w:val="20"/>
        </w:rPr>
        <w:t xml:space="preserve"> at </w:t>
      </w:r>
      <w:r w:rsidR="004E78D9" w:rsidRPr="002B6875">
        <w:rPr>
          <w:rFonts w:cs="Arial"/>
          <w:szCs w:val="20"/>
        </w:rPr>
        <w:t>(512) 239-1028</w:t>
      </w:r>
      <w:r w:rsidRPr="002B6875">
        <w:rPr>
          <w:rFonts w:cs="Arial"/>
          <w:bCs/>
          <w:szCs w:val="20"/>
        </w:rPr>
        <w:t xml:space="preserve"> if you have any questions concerning this matter.</w:t>
      </w:r>
    </w:p>
    <w:p w14:paraId="015573AD" w14:textId="77777777" w:rsidR="00B53884" w:rsidRPr="002B6875" w:rsidRDefault="00B53884" w:rsidP="0095602A">
      <w:pPr>
        <w:keepNext/>
        <w:keepLines/>
        <w:rPr>
          <w:rFonts w:cs="Arial"/>
          <w:szCs w:val="20"/>
        </w:rPr>
      </w:pPr>
    </w:p>
    <w:p w14:paraId="46436B38" w14:textId="77777777" w:rsidR="00C4738D" w:rsidRPr="002B6875" w:rsidRDefault="00C4738D" w:rsidP="0095602A">
      <w:pPr>
        <w:keepNext/>
        <w:keepLines/>
        <w:rPr>
          <w:rFonts w:cs="Arial"/>
          <w:szCs w:val="20"/>
        </w:rPr>
      </w:pPr>
      <w:r w:rsidRPr="002B6875">
        <w:rPr>
          <w:rFonts w:cs="Arial"/>
          <w:szCs w:val="20"/>
        </w:rPr>
        <w:t>Sincerely,</w:t>
      </w:r>
    </w:p>
    <w:p w14:paraId="2375261A" w14:textId="77777777" w:rsidR="00C4738D" w:rsidRPr="002B6875" w:rsidRDefault="00C4738D" w:rsidP="0095602A">
      <w:pPr>
        <w:keepNext/>
        <w:keepLines/>
        <w:rPr>
          <w:rFonts w:cs="Arial"/>
          <w:szCs w:val="20"/>
        </w:rPr>
      </w:pPr>
    </w:p>
    <w:p w14:paraId="604381D2" w14:textId="77777777" w:rsidR="00F7414D" w:rsidRPr="002B6875" w:rsidRDefault="004E78D9" w:rsidP="0095602A">
      <w:pPr>
        <w:keepNext/>
        <w:keepLines/>
        <w:rPr>
          <w:rFonts w:cs="Arial"/>
          <w:szCs w:val="20"/>
        </w:rPr>
      </w:pPr>
      <w:r w:rsidRPr="002B6875">
        <w:rPr>
          <w:rFonts w:cs="Arial"/>
          <w:noProof/>
          <w:szCs w:val="20"/>
        </w:rPr>
        <w:drawing>
          <wp:inline distT="0" distB="0" distL="0" distR="0" wp14:anchorId="1536B6A0" wp14:editId="38FACC47">
            <wp:extent cx="2170176" cy="780288"/>
            <wp:effectExtent l="0" t="0" r="1905" b="1270"/>
            <wp:docPr id="1" name="Picture 1" descr="Graphic of handwritten signature of Samuel Short, Deputy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eputy Director, TCEQ"/>
                    <pic:cNvPicPr/>
                  </pic:nvPicPr>
                  <pic:blipFill>
                    <a:blip r:embed="rId14" r:link="rId15"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18D82EFB" w14:textId="77777777" w:rsidR="00F7414D" w:rsidRPr="002B6875" w:rsidRDefault="00F7414D" w:rsidP="0095602A">
      <w:pPr>
        <w:keepNext/>
        <w:keepLines/>
        <w:rPr>
          <w:rFonts w:cs="Arial"/>
          <w:szCs w:val="20"/>
        </w:rPr>
      </w:pPr>
    </w:p>
    <w:p w14:paraId="388F16EB" w14:textId="77777777" w:rsidR="004E78D9" w:rsidRPr="002B6875" w:rsidRDefault="004E78D9" w:rsidP="0095602A">
      <w:pPr>
        <w:keepNext/>
        <w:keepLines/>
        <w:rPr>
          <w:rFonts w:cs="Arial"/>
          <w:szCs w:val="20"/>
        </w:rPr>
      </w:pPr>
      <w:r w:rsidRPr="002B6875">
        <w:rPr>
          <w:rFonts w:cs="Arial"/>
          <w:szCs w:val="20"/>
        </w:rPr>
        <w:t>Samuel Short, Deputy Director</w:t>
      </w:r>
    </w:p>
    <w:p w14:paraId="646F1700" w14:textId="77777777" w:rsidR="004E78D9" w:rsidRPr="002B6875" w:rsidRDefault="004E78D9" w:rsidP="0095602A">
      <w:pPr>
        <w:keepNext/>
        <w:keepLines/>
        <w:rPr>
          <w:rFonts w:cs="Arial"/>
          <w:szCs w:val="20"/>
        </w:rPr>
      </w:pPr>
      <w:r w:rsidRPr="002B6875">
        <w:rPr>
          <w:rFonts w:cs="Arial"/>
          <w:szCs w:val="20"/>
        </w:rPr>
        <w:t>Air Permits Division</w:t>
      </w:r>
    </w:p>
    <w:p w14:paraId="14D24ED8" w14:textId="77777777" w:rsidR="00C4738D" w:rsidRPr="002B6875" w:rsidRDefault="004E78D9" w:rsidP="0095602A">
      <w:pPr>
        <w:keepNext/>
        <w:keepLines/>
        <w:rPr>
          <w:rFonts w:cs="Arial"/>
          <w:szCs w:val="20"/>
        </w:rPr>
      </w:pPr>
      <w:r w:rsidRPr="002B6875">
        <w:rPr>
          <w:rFonts w:cs="Arial"/>
          <w:szCs w:val="20"/>
        </w:rPr>
        <w:t>Office of Air</w:t>
      </w:r>
    </w:p>
    <w:p w14:paraId="632760E6" w14:textId="77777777" w:rsidR="004E78D9" w:rsidRPr="002B6875" w:rsidRDefault="004E78D9" w:rsidP="0095602A">
      <w:pPr>
        <w:keepNext/>
        <w:keepLines/>
        <w:rPr>
          <w:rFonts w:cs="Arial"/>
          <w:szCs w:val="20"/>
        </w:rPr>
      </w:pPr>
      <w:r w:rsidRPr="002B6875">
        <w:rPr>
          <w:rFonts w:cs="Arial"/>
          <w:szCs w:val="20"/>
        </w:rPr>
        <w:t>Texas Commission on Environmental Quality</w:t>
      </w:r>
    </w:p>
    <w:p w14:paraId="78BD4CBD" w14:textId="77777777" w:rsidR="00C4738D" w:rsidRPr="002B6875" w:rsidRDefault="00C4738D" w:rsidP="0095602A">
      <w:pPr>
        <w:keepNext/>
        <w:keepLines/>
        <w:rPr>
          <w:rFonts w:cs="Arial"/>
          <w:szCs w:val="20"/>
        </w:rPr>
      </w:pPr>
    </w:p>
    <w:p w14:paraId="1135F22A" w14:textId="77777777" w:rsidR="004E78D9" w:rsidRPr="002B6875" w:rsidRDefault="00C4738D" w:rsidP="0095602A">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hanging="792"/>
        <w:rPr>
          <w:rFonts w:cs="Arial"/>
          <w:szCs w:val="20"/>
        </w:rPr>
      </w:pPr>
      <w:r w:rsidRPr="002B6875">
        <w:rPr>
          <w:rFonts w:cs="Arial"/>
          <w:szCs w:val="20"/>
        </w:rPr>
        <w:t>cc:</w:t>
      </w:r>
      <w:r w:rsidR="004E78D9" w:rsidRPr="002B6875">
        <w:rPr>
          <w:rFonts w:cs="Arial"/>
          <w:szCs w:val="20"/>
        </w:rPr>
        <w:tab/>
        <w:t>Ms. Nicole Roper, Environmental Team Lead, Shell Chemical LP, Deer Park</w:t>
      </w:r>
    </w:p>
    <w:p w14:paraId="5D97E057" w14:textId="77777777" w:rsidR="004E78D9" w:rsidRPr="002B6875" w:rsidRDefault="004E78D9" w:rsidP="00820F7A">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 w:hanging="792"/>
        <w:rPr>
          <w:rFonts w:cs="Arial"/>
          <w:szCs w:val="20"/>
        </w:rPr>
      </w:pPr>
      <w:r w:rsidRPr="002B6875">
        <w:rPr>
          <w:rFonts w:cs="Arial"/>
          <w:szCs w:val="20"/>
        </w:rPr>
        <w:tab/>
        <w:t>Director, Harris County, Pollution Control Services, Pasadena</w:t>
      </w:r>
    </w:p>
    <w:p w14:paraId="26865475" w14:textId="77777777" w:rsidR="00C4738D" w:rsidRPr="002B6875" w:rsidRDefault="004E78D9" w:rsidP="00820F7A">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 w:hanging="792"/>
        <w:rPr>
          <w:rFonts w:cs="Arial"/>
          <w:szCs w:val="20"/>
        </w:rPr>
      </w:pPr>
      <w:r w:rsidRPr="002B6875">
        <w:rPr>
          <w:rFonts w:cs="Arial"/>
          <w:szCs w:val="20"/>
        </w:rPr>
        <w:tab/>
        <w:t>Air Section Manager, Region 12 - Houston</w:t>
      </w:r>
    </w:p>
    <w:p w14:paraId="0A62C0BC" w14:textId="77777777" w:rsidR="00E23946" w:rsidRPr="002B6875" w:rsidRDefault="00E23946" w:rsidP="00820F7A">
      <w:pPr>
        <w:keepNext/>
        <w:keepLines/>
        <w:ind w:left="288" w:hanging="288"/>
        <w:rPr>
          <w:rFonts w:cs="Arial"/>
          <w:szCs w:val="20"/>
        </w:rPr>
      </w:pPr>
      <w:r w:rsidRPr="002B6875">
        <w:rPr>
          <w:rFonts w:cs="Arial"/>
          <w:szCs w:val="20"/>
        </w:rPr>
        <w:t>Air Permit Section Chief, U.S. Environmental Protection Agency, Region 6-Dallas (Electronic copy)</w:t>
      </w:r>
    </w:p>
    <w:p w14:paraId="09889091" w14:textId="77777777" w:rsidR="00B26D25" w:rsidRPr="002B6875" w:rsidRDefault="00B26D25" w:rsidP="0095602A">
      <w:pPr>
        <w:keepNext/>
        <w:keepLines/>
        <w:rPr>
          <w:rFonts w:cs="Arial"/>
          <w:szCs w:val="20"/>
        </w:rPr>
      </w:pPr>
    </w:p>
    <w:p w14:paraId="571EBADB" w14:textId="706919E9" w:rsidR="00C4738D" w:rsidRPr="002B6875" w:rsidRDefault="00864539" w:rsidP="0095602A">
      <w:pPr>
        <w:keepNext/>
        <w:keepLines/>
        <w:tabs>
          <w:tab w:val="left" w:pos="1368"/>
        </w:tabs>
        <w:rPr>
          <w:rFonts w:cs="Arial"/>
          <w:szCs w:val="20"/>
        </w:rPr>
      </w:pPr>
      <w:r w:rsidRPr="002B6875">
        <w:rPr>
          <w:rFonts w:cs="Arial"/>
          <w:szCs w:val="20"/>
        </w:rPr>
        <w:t>Enclosure</w:t>
      </w:r>
      <w:r w:rsidR="00C4738D" w:rsidRPr="002B6875">
        <w:rPr>
          <w:rFonts w:cs="Arial"/>
          <w:szCs w:val="20"/>
        </w:rPr>
        <w:t>:</w:t>
      </w:r>
      <w:r w:rsidR="00C4738D" w:rsidRPr="002B6875">
        <w:rPr>
          <w:rFonts w:cs="Arial"/>
          <w:szCs w:val="20"/>
        </w:rPr>
        <w:tab/>
      </w:r>
      <w:r w:rsidR="004B5E6D">
        <w:rPr>
          <w:rFonts w:cs="Arial"/>
          <w:szCs w:val="20"/>
        </w:rPr>
        <w:tab/>
      </w:r>
      <w:r w:rsidR="0050063A" w:rsidRPr="002B6875">
        <w:rPr>
          <w:rFonts w:cs="Arial"/>
          <w:szCs w:val="20"/>
        </w:rPr>
        <w:t xml:space="preserve">TCEQ </w:t>
      </w:r>
      <w:r w:rsidR="00C4738D" w:rsidRPr="002B6875">
        <w:rPr>
          <w:rFonts w:cs="Arial"/>
          <w:szCs w:val="20"/>
        </w:rPr>
        <w:t xml:space="preserve">Executive Director’s Response to </w:t>
      </w:r>
      <w:r w:rsidR="00D646BA" w:rsidRPr="002B6875">
        <w:rPr>
          <w:rFonts w:cs="Arial"/>
          <w:szCs w:val="20"/>
        </w:rPr>
        <w:t>EPA Objection</w:t>
      </w:r>
    </w:p>
    <w:p w14:paraId="50F33588" w14:textId="77777777" w:rsidR="00C4738D" w:rsidRPr="002B6875" w:rsidRDefault="00C4738D" w:rsidP="004B5E6D">
      <w:pPr>
        <w:keepNext/>
        <w:keepLines/>
        <w:ind w:left="720" w:firstLine="720"/>
        <w:rPr>
          <w:rFonts w:cs="Arial"/>
          <w:szCs w:val="20"/>
        </w:rPr>
      </w:pPr>
      <w:r w:rsidRPr="002B6875">
        <w:rPr>
          <w:rFonts w:cs="Arial"/>
          <w:szCs w:val="20"/>
        </w:rPr>
        <w:t>Proposed Permit</w:t>
      </w:r>
    </w:p>
    <w:p w14:paraId="1D59714F" w14:textId="77777777" w:rsidR="0024486E" w:rsidRPr="002B6875" w:rsidRDefault="00D646BA" w:rsidP="004B5E6D">
      <w:pPr>
        <w:keepNext/>
        <w:keepLines/>
        <w:ind w:left="720" w:firstLine="720"/>
        <w:rPr>
          <w:rFonts w:cs="Arial"/>
          <w:szCs w:val="20"/>
        </w:rPr>
      </w:pPr>
      <w:r w:rsidRPr="002B6875">
        <w:rPr>
          <w:rFonts w:cs="Arial"/>
          <w:szCs w:val="20"/>
        </w:rPr>
        <w:t>Statement of Basis</w:t>
      </w:r>
    </w:p>
    <w:p w14:paraId="0B5CA172" w14:textId="77777777" w:rsidR="00D646BA" w:rsidRPr="002B6875" w:rsidRDefault="00D646BA" w:rsidP="0095602A">
      <w:pPr>
        <w:keepNext/>
        <w:keepLines/>
        <w:rPr>
          <w:rFonts w:cs="Arial"/>
          <w:szCs w:val="20"/>
        </w:rPr>
      </w:pPr>
    </w:p>
    <w:p w14:paraId="7BAA394C" w14:textId="77777777" w:rsidR="00C4738D" w:rsidRPr="002B6875" w:rsidRDefault="00C4738D" w:rsidP="0095602A">
      <w:pPr>
        <w:keepNext/>
        <w:keepLines/>
        <w:rPr>
          <w:rFonts w:cs="Arial"/>
          <w:szCs w:val="20"/>
        </w:rPr>
      </w:pPr>
      <w:r w:rsidRPr="002B6875">
        <w:rPr>
          <w:rFonts w:cs="Arial"/>
          <w:szCs w:val="20"/>
        </w:rPr>
        <w:t>Project Number:  </w:t>
      </w:r>
      <w:r w:rsidR="004E78D9" w:rsidRPr="002B6875">
        <w:rPr>
          <w:rFonts w:cs="Arial"/>
          <w:szCs w:val="20"/>
        </w:rPr>
        <w:t>28179</w:t>
      </w:r>
    </w:p>
    <w:p w14:paraId="4C65233A" w14:textId="77777777" w:rsidR="00010F20" w:rsidRPr="002B6875" w:rsidRDefault="00010F20" w:rsidP="0095602A">
      <w:pPr>
        <w:rPr>
          <w:rFonts w:cs="Arial"/>
          <w:szCs w:val="20"/>
        </w:rPr>
        <w:sectPr w:rsidR="00010F20" w:rsidRPr="002B6875" w:rsidSect="000A3D0D">
          <w:headerReference w:type="default" r:id="rId16"/>
          <w:footerReference w:type="default" r:id="rId17"/>
          <w:type w:val="continuous"/>
          <w:pgSz w:w="12240" w:h="15838" w:code="1"/>
          <w:pgMar w:top="1440" w:right="1440" w:bottom="720" w:left="1440" w:header="1440" w:footer="720" w:gutter="0"/>
          <w:cols w:space="720"/>
        </w:sectPr>
      </w:pPr>
    </w:p>
    <w:p w14:paraId="5F054368" w14:textId="77777777" w:rsidR="002C7CC9" w:rsidRPr="002B6875" w:rsidRDefault="0089546D" w:rsidP="0095602A">
      <w:pPr>
        <w:jc w:val="center"/>
        <w:outlineLvl w:val="0"/>
        <w:rPr>
          <w:rStyle w:val="Strong"/>
          <w:rFonts w:cs="Arial"/>
          <w:szCs w:val="20"/>
        </w:rPr>
        <w:sectPr w:rsidR="002C7CC9" w:rsidRPr="002B6875" w:rsidSect="003E5C67">
          <w:headerReference w:type="default" r:id="rId18"/>
          <w:footerReference w:type="default" r:id="rId19"/>
          <w:pgSz w:w="12240" w:h="15838" w:code="1"/>
          <w:pgMar w:top="1440" w:right="1440" w:bottom="720" w:left="1440" w:header="720" w:footer="720" w:gutter="0"/>
          <w:pgNumType w:start="1"/>
          <w:cols w:space="720"/>
        </w:sectPr>
      </w:pPr>
      <w:r w:rsidRPr="002B6875">
        <w:rPr>
          <w:rStyle w:val="Strong"/>
          <w:rFonts w:cs="Arial"/>
          <w:szCs w:val="20"/>
        </w:rPr>
        <w:lastRenderedPageBreak/>
        <w:t>Executive Director’s</w:t>
      </w:r>
      <w:r w:rsidR="002C7CC9" w:rsidRPr="002B6875">
        <w:rPr>
          <w:rStyle w:val="Strong"/>
          <w:rFonts w:cs="Arial"/>
          <w:szCs w:val="20"/>
        </w:rPr>
        <w:t xml:space="preserve"> R</w:t>
      </w:r>
      <w:r w:rsidRPr="002B6875">
        <w:rPr>
          <w:rStyle w:val="Strong"/>
          <w:rFonts w:cs="Arial"/>
          <w:szCs w:val="20"/>
        </w:rPr>
        <w:t>esponse to EPA Objection</w:t>
      </w:r>
    </w:p>
    <w:p w14:paraId="67F7D6BA" w14:textId="77777777" w:rsidR="00BD7424" w:rsidRPr="002B6875" w:rsidRDefault="00BD7424" w:rsidP="0095602A">
      <w:pPr>
        <w:numPr>
          <w:ilvl w:val="12"/>
          <w:numId w:val="0"/>
        </w:numPr>
        <w:jc w:val="center"/>
        <w:rPr>
          <w:rFonts w:cs="Arial"/>
          <w:bCs/>
          <w:szCs w:val="20"/>
        </w:rPr>
      </w:pPr>
    </w:p>
    <w:p w14:paraId="29F597A1" w14:textId="77777777" w:rsidR="0084399C" w:rsidRPr="002B6875" w:rsidRDefault="00BD7424" w:rsidP="0095602A">
      <w:pPr>
        <w:jc w:val="center"/>
        <w:rPr>
          <w:rStyle w:val="Strong"/>
          <w:rFonts w:cs="Arial"/>
          <w:szCs w:val="20"/>
        </w:rPr>
      </w:pPr>
      <w:r w:rsidRPr="002B6875">
        <w:rPr>
          <w:rStyle w:val="Strong"/>
          <w:rFonts w:cs="Arial"/>
          <w:szCs w:val="20"/>
        </w:rPr>
        <w:t>Permit Number</w:t>
      </w:r>
      <w:r w:rsidR="004274AD" w:rsidRPr="002B6875">
        <w:rPr>
          <w:rStyle w:val="Strong"/>
          <w:rFonts w:cs="Arial"/>
          <w:szCs w:val="20"/>
        </w:rPr>
        <w:t xml:space="preserve"> </w:t>
      </w:r>
      <w:r w:rsidR="004E78D9" w:rsidRPr="002B6875">
        <w:rPr>
          <w:rStyle w:val="Strong"/>
          <w:rFonts w:cs="Arial"/>
          <w:szCs w:val="20"/>
        </w:rPr>
        <w:t>O1668</w:t>
      </w:r>
    </w:p>
    <w:p w14:paraId="4DC6D135" w14:textId="77777777" w:rsidR="0084399C" w:rsidRPr="002B6875" w:rsidRDefault="0084399C" w:rsidP="0095602A">
      <w:pPr>
        <w:numPr>
          <w:ilvl w:val="12"/>
          <w:numId w:val="0"/>
        </w:numPr>
        <w:rPr>
          <w:rFonts w:cs="Arial"/>
          <w:szCs w:val="20"/>
        </w:rPr>
      </w:pPr>
    </w:p>
    <w:p w14:paraId="5F54B04C" w14:textId="77777777" w:rsidR="0084399C" w:rsidRPr="002B6875" w:rsidRDefault="0084399C" w:rsidP="0095602A">
      <w:pPr>
        <w:numPr>
          <w:ilvl w:val="12"/>
          <w:numId w:val="0"/>
        </w:numPr>
        <w:rPr>
          <w:rFonts w:cs="Arial"/>
          <w:szCs w:val="20"/>
        </w:rPr>
      </w:pPr>
      <w:r w:rsidRPr="002B6875">
        <w:rPr>
          <w:rFonts w:cs="Arial"/>
          <w:szCs w:val="20"/>
        </w:rPr>
        <w:t xml:space="preserve">The Texas Commission on Environmental Quality (TCEQ) Executive Director </w:t>
      </w:r>
      <w:r w:rsidR="0010000F" w:rsidRPr="002B6875">
        <w:rPr>
          <w:rFonts w:cs="Arial"/>
          <w:szCs w:val="20"/>
        </w:rPr>
        <w:t xml:space="preserve">(ED) </w:t>
      </w:r>
      <w:r w:rsidRPr="002B6875">
        <w:rPr>
          <w:rFonts w:cs="Arial"/>
          <w:szCs w:val="20"/>
        </w:rPr>
        <w:t xml:space="preserve">provides this Response to EPA’s Objection to the </w:t>
      </w:r>
      <w:r w:rsidR="004E78D9" w:rsidRPr="002B6875">
        <w:rPr>
          <w:rFonts w:cs="Arial"/>
          <w:szCs w:val="20"/>
        </w:rPr>
        <w:t>renewal</w:t>
      </w:r>
      <w:r w:rsidR="00001360" w:rsidRPr="002B6875">
        <w:rPr>
          <w:rFonts w:cs="Arial"/>
          <w:szCs w:val="20"/>
        </w:rPr>
        <w:t xml:space="preserve"> </w:t>
      </w:r>
      <w:r w:rsidRPr="002B6875">
        <w:rPr>
          <w:rFonts w:cs="Arial"/>
          <w:szCs w:val="20"/>
        </w:rPr>
        <w:t>of the Federal Operating Permit (FOP) for</w:t>
      </w:r>
      <w:r w:rsidR="00D35365" w:rsidRPr="002B6875">
        <w:rPr>
          <w:rFonts w:cs="Arial"/>
          <w:szCs w:val="20"/>
        </w:rPr>
        <w:t xml:space="preserve"> </w:t>
      </w:r>
      <w:r w:rsidR="004E78D9" w:rsidRPr="002B6875">
        <w:rPr>
          <w:rFonts w:cs="Arial"/>
          <w:szCs w:val="20"/>
        </w:rPr>
        <w:t>Shell Chemical LP</w:t>
      </w:r>
      <w:r w:rsidRPr="002B6875">
        <w:rPr>
          <w:rFonts w:cs="Arial"/>
          <w:szCs w:val="20"/>
        </w:rPr>
        <w:t xml:space="preserve">, </w:t>
      </w:r>
      <w:r w:rsidR="004E78D9" w:rsidRPr="002B6875">
        <w:rPr>
          <w:rFonts w:cs="Arial"/>
          <w:szCs w:val="20"/>
        </w:rPr>
        <w:t>Chemical Plant</w:t>
      </w:r>
      <w:r w:rsidRPr="002B6875">
        <w:rPr>
          <w:rFonts w:cs="Arial"/>
          <w:szCs w:val="20"/>
        </w:rPr>
        <w:t>, Permit No.</w:t>
      </w:r>
      <w:r w:rsidR="00001360" w:rsidRPr="002B6875">
        <w:rPr>
          <w:rFonts w:cs="Arial"/>
          <w:szCs w:val="20"/>
        </w:rPr>
        <w:t xml:space="preserve"> </w:t>
      </w:r>
      <w:r w:rsidR="004E78D9" w:rsidRPr="002B6875">
        <w:rPr>
          <w:rFonts w:cs="Arial"/>
          <w:szCs w:val="20"/>
        </w:rPr>
        <w:t>O1668</w:t>
      </w:r>
      <w:r w:rsidRPr="002B6875">
        <w:rPr>
          <w:rFonts w:cs="Arial"/>
          <w:szCs w:val="20"/>
        </w:rPr>
        <w:t xml:space="preserve">, </w:t>
      </w:r>
      <w:r w:rsidR="004E78D9" w:rsidRPr="002B6875">
        <w:rPr>
          <w:rFonts w:cs="Arial"/>
          <w:szCs w:val="20"/>
        </w:rPr>
        <w:t>Harris</w:t>
      </w:r>
      <w:r w:rsidR="00D35365" w:rsidRPr="002B6875">
        <w:rPr>
          <w:rFonts w:cs="Arial"/>
          <w:szCs w:val="20"/>
        </w:rPr>
        <w:t xml:space="preserve"> County, Texas.</w:t>
      </w:r>
    </w:p>
    <w:p w14:paraId="4EFC4FD7" w14:textId="77777777" w:rsidR="0084399C" w:rsidRPr="002B6875" w:rsidRDefault="0084399C" w:rsidP="0095602A">
      <w:pPr>
        <w:numPr>
          <w:ilvl w:val="12"/>
          <w:numId w:val="0"/>
        </w:numPr>
        <w:rPr>
          <w:rFonts w:cs="Arial"/>
          <w:szCs w:val="20"/>
        </w:rPr>
      </w:pPr>
    </w:p>
    <w:p w14:paraId="408FCB17" w14:textId="77777777" w:rsidR="0084399C" w:rsidRPr="002B6875" w:rsidRDefault="0084399C" w:rsidP="0095602A">
      <w:pPr>
        <w:jc w:val="center"/>
        <w:rPr>
          <w:rStyle w:val="Strong"/>
          <w:rFonts w:cs="Arial"/>
          <w:szCs w:val="20"/>
        </w:rPr>
      </w:pPr>
      <w:r w:rsidRPr="002B6875">
        <w:rPr>
          <w:rStyle w:val="Strong"/>
          <w:rFonts w:cs="Arial"/>
          <w:szCs w:val="20"/>
        </w:rPr>
        <w:t>B</w:t>
      </w:r>
      <w:r w:rsidR="0089546D" w:rsidRPr="002B6875">
        <w:rPr>
          <w:rStyle w:val="Strong"/>
          <w:rFonts w:cs="Arial"/>
          <w:szCs w:val="20"/>
        </w:rPr>
        <w:t>ackground</w:t>
      </w:r>
    </w:p>
    <w:p w14:paraId="676EFEFB" w14:textId="77777777" w:rsidR="0084399C" w:rsidRPr="002B6875" w:rsidRDefault="0084399C" w:rsidP="0095602A">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Cs w:val="20"/>
        </w:rPr>
      </w:pPr>
    </w:p>
    <w:p w14:paraId="2838C3EB" w14:textId="77777777" w:rsidR="0084399C" w:rsidRPr="002B6875" w:rsidRDefault="0084399C" w:rsidP="0095602A">
      <w:pPr>
        <w:jc w:val="center"/>
        <w:rPr>
          <w:rFonts w:cs="Arial"/>
          <w:szCs w:val="20"/>
        </w:rPr>
      </w:pPr>
      <w:r w:rsidRPr="002B6875">
        <w:rPr>
          <w:rFonts w:cs="Arial"/>
          <w:szCs w:val="20"/>
        </w:rPr>
        <w:t>Procedural Background</w:t>
      </w:r>
    </w:p>
    <w:p w14:paraId="24C0D4F5" w14:textId="77777777" w:rsidR="0084399C" w:rsidRPr="002B6875" w:rsidRDefault="0084399C" w:rsidP="0095602A">
      <w:pPr>
        <w:rPr>
          <w:rFonts w:cs="Arial"/>
          <w:szCs w:val="20"/>
        </w:rPr>
      </w:pPr>
    </w:p>
    <w:p w14:paraId="739C7CF8" w14:textId="39A5187E" w:rsidR="00024EBF" w:rsidRPr="002B6875" w:rsidRDefault="0084399C" w:rsidP="0095602A">
      <w:pPr>
        <w:numPr>
          <w:ilvl w:val="12"/>
          <w:numId w:val="0"/>
        </w:numPr>
        <w:rPr>
          <w:rFonts w:cs="Arial"/>
          <w:szCs w:val="20"/>
        </w:rPr>
      </w:pPr>
      <w:r w:rsidRPr="002B6875">
        <w:rPr>
          <w:rFonts w:cs="Arial"/>
          <w:szCs w:val="20"/>
        </w:rPr>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4E78D9" w:rsidRPr="002B6875">
        <w:rPr>
          <w:rFonts w:cs="Arial"/>
          <w:szCs w:val="20"/>
        </w:rPr>
        <w:t>Shell Chemical LP</w:t>
      </w:r>
      <w:r w:rsidRPr="002B6875">
        <w:rPr>
          <w:rFonts w:cs="Arial"/>
          <w:szCs w:val="20"/>
        </w:rPr>
        <w:t xml:space="preserve"> applied to the TCEQ for a </w:t>
      </w:r>
      <w:r w:rsidR="004E78D9" w:rsidRPr="002B6875">
        <w:rPr>
          <w:rFonts w:cs="Arial"/>
          <w:szCs w:val="20"/>
        </w:rPr>
        <w:t>renewal</w:t>
      </w:r>
      <w:r w:rsidR="00974EF0" w:rsidRPr="002B6875">
        <w:rPr>
          <w:rFonts w:cs="Arial"/>
          <w:szCs w:val="20"/>
        </w:rPr>
        <w:t xml:space="preserve"> </w:t>
      </w:r>
      <w:r w:rsidRPr="002B6875">
        <w:rPr>
          <w:rFonts w:cs="Arial"/>
          <w:szCs w:val="20"/>
        </w:rPr>
        <w:t xml:space="preserve">of the FOP for the </w:t>
      </w:r>
      <w:r w:rsidR="004E78D9" w:rsidRPr="002B6875">
        <w:rPr>
          <w:rFonts w:cs="Arial"/>
          <w:szCs w:val="20"/>
        </w:rPr>
        <w:t>Chemical Plant</w:t>
      </w:r>
      <w:r w:rsidR="00974EF0" w:rsidRPr="002B6875">
        <w:rPr>
          <w:rFonts w:cs="Arial"/>
          <w:szCs w:val="20"/>
        </w:rPr>
        <w:t xml:space="preserve"> </w:t>
      </w:r>
      <w:r w:rsidRPr="002B6875">
        <w:rPr>
          <w:rFonts w:cs="Arial"/>
          <w:szCs w:val="20"/>
        </w:rPr>
        <w:t xml:space="preserve">located in </w:t>
      </w:r>
      <w:r w:rsidR="004E78D9" w:rsidRPr="002B6875">
        <w:rPr>
          <w:rFonts w:cs="Arial"/>
          <w:szCs w:val="20"/>
        </w:rPr>
        <w:t>Deer Park, Harris</w:t>
      </w:r>
      <w:r w:rsidR="00974EF0" w:rsidRPr="002B6875">
        <w:rPr>
          <w:rFonts w:cs="Arial"/>
          <w:szCs w:val="20"/>
        </w:rPr>
        <w:t xml:space="preserve"> </w:t>
      </w:r>
      <w:r w:rsidRPr="002B6875">
        <w:rPr>
          <w:rFonts w:cs="Arial"/>
          <w:szCs w:val="20"/>
        </w:rPr>
        <w:t>County on</w:t>
      </w:r>
      <w:r w:rsidR="00EF58B3" w:rsidRPr="002B6875">
        <w:rPr>
          <w:rFonts w:cs="Arial"/>
          <w:szCs w:val="20"/>
        </w:rPr>
        <w:t xml:space="preserve"> </w:t>
      </w:r>
      <w:r w:rsidR="004E78D9" w:rsidRPr="002B6875">
        <w:rPr>
          <w:rFonts w:cs="Arial"/>
          <w:szCs w:val="20"/>
        </w:rPr>
        <w:t>October 1, 2018</w:t>
      </w:r>
      <w:r w:rsidRPr="002B6875">
        <w:rPr>
          <w:rFonts w:cs="Arial"/>
          <w:szCs w:val="20"/>
        </w:rPr>
        <w:t xml:space="preserve">, and notice was published on </w:t>
      </w:r>
      <w:r w:rsidR="004E78D9" w:rsidRPr="002B6875">
        <w:rPr>
          <w:rFonts w:cs="Arial"/>
          <w:szCs w:val="20"/>
        </w:rPr>
        <w:t>June 20, 202</w:t>
      </w:r>
      <w:r w:rsidR="00820F7A">
        <w:rPr>
          <w:rFonts w:cs="Arial"/>
          <w:szCs w:val="20"/>
        </w:rPr>
        <w:t>1</w:t>
      </w:r>
      <w:r w:rsidR="00D772FD">
        <w:rPr>
          <w:rFonts w:cs="Arial"/>
          <w:szCs w:val="20"/>
        </w:rPr>
        <w:t>,</w:t>
      </w:r>
      <w:r w:rsidR="00B7451E" w:rsidRPr="002B6875">
        <w:rPr>
          <w:rFonts w:cs="Arial"/>
          <w:szCs w:val="20"/>
        </w:rPr>
        <w:t xml:space="preserve"> </w:t>
      </w:r>
      <w:r w:rsidRPr="002B6875">
        <w:rPr>
          <w:rFonts w:cs="Arial"/>
          <w:szCs w:val="20"/>
        </w:rPr>
        <w:t>date in</w:t>
      </w:r>
      <w:r w:rsidRPr="002B6875">
        <w:rPr>
          <w:rStyle w:val="Emphasis"/>
          <w:rFonts w:cs="Arial"/>
          <w:szCs w:val="20"/>
        </w:rPr>
        <w:t xml:space="preserve"> </w:t>
      </w:r>
      <w:r w:rsidR="004E78D9" w:rsidRPr="002B6875">
        <w:rPr>
          <w:rStyle w:val="Emphasis"/>
          <w:rFonts w:cs="Arial"/>
          <w:szCs w:val="20"/>
        </w:rPr>
        <w:t>Pasadena Citizen</w:t>
      </w:r>
      <w:r w:rsidRPr="002B6875">
        <w:rPr>
          <w:rStyle w:val="Emphasis"/>
          <w:rFonts w:cs="Arial"/>
          <w:szCs w:val="20"/>
        </w:rPr>
        <w:t>.</w:t>
      </w:r>
      <w:r w:rsidRPr="002B6875">
        <w:rPr>
          <w:rFonts w:cs="Arial"/>
          <w:szCs w:val="20"/>
        </w:rPr>
        <w:t xml:space="preserve">  The public comment period ended on </w:t>
      </w:r>
      <w:r w:rsidR="004E78D9" w:rsidRPr="002B6875">
        <w:rPr>
          <w:rFonts w:cs="Arial"/>
          <w:szCs w:val="20"/>
        </w:rPr>
        <w:t>July 20, 202</w:t>
      </w:r>
      <w:r w:rsidR="00820F7A">
        <w:rPr>
          <w:rFonts w:cs="Arial"/>
          <w:szCs w:val="20"/>
        </w:rPr>
        <w:t>1</w:t>
      </w:r>
      <w:r w:rsidRPr="002B6875">
        <w:rPr>
          <w:rFonts w:cs="Arial"/>
          <w:szCs w:val="20"/>
        </w:rPr>
        <w:t xml:space="preserve">.  </w:t>
      </w:r>
      <w:r w:rsidR="004E78D9" w:rsidRPr="002B6875">
        <w:rPr>
          <w:rFonts w:cs="Arial"/>
          <w:szCs w:val="20"/>
        </w:rPr>
        <w:t>Public comments were received by TCEQ on</w:t>
      </w:r>
      <w:r w:rsidR="00024EBF" w:rsidRPr="002B6875">
        <w:rPr>
          <w:rFonts w:cs="Arial"/>
          <w:szCs w:val="20"/>
        </w:rPr>
        <w:t xml:space="preserve"> July 21, 202</w:t>
      </w:r>
      <w:r w:rsidR="00820F7A">
        <w:rPr>
          <w:rFonts w:cs="Arial"/>
          <w:szCs w:val="20"/>
        </w:rPr>
        <w:t>1</w:t>
      </w:r>
      <w:r w:rsidR="00024EBF" w:rsidRPr="002B6875">
        <w:rPr>
          <w:rFonts w:cs="Arial"/>
          <w:szCs w:val="20"/>
        </w:rPr>
        <w:t>.  TCEQ submitted a response to comments and Proposed Permit for EPA review on September 20, 2022.  TCEQ received an objection to the proposed permit from EPA on November 2, 2022.</w:t>
      </w:r>
    </w:p>
    <w:p w14:paraId="1A3D48B2" w14:textId="55732729" w:rsidR="00024EBF" w:rsidRPr="002B6875" w:rsidRDefault="00024EBF" w:rsidP="0095602A">
      <w:pPr>
        <w:rPr>
          <w:rFonts w:cs="Arial"/>
          <w:szCs w:val="20"/>
        </w:rPr>
      </w:pPr>
    </w:p>
    <w:p w14:paraId="36546F5F" w14:textId="6C24ACD5" w:rsidR="0084399C" w:rsidRPr="002B6875" w:rsidRDefault="0084399C" w:rsidP="0095602A">
      <w:pPr>
        <w:rPr>
          <w:rFonts w:cs="Arial"/>
          <w:szCs w:val="20"/>
        </w:rPr>
      </w:pPr>
    </w:p>
    <w:p w14:paraId="6041708B" w14:textId="77777777" w:rsidR="0084399C" w:rsidRPr="002B6875" w:rsidRDefault="0084399C" w:rsidP="0095602A">
      <w:pPr>
        <w:numPr>
          <w:ilvl w:val="12"/>
          <w:numId w:val="0"/>
        </w:numPr>
        <w:rPr>
          <w:rFonts w:cs="Arial"/>
          <w:szCs w:val="20"/>
        </w:rPr>
      </w:pPr>
      <w:r w:rsidRPr="002B6875">
        <w:rPr>
          <w:rFonts w:cs="Arial"/>
          <w:szCs w:val="20"/>
        </w:rPr>
        <w:t xml:space="preserve">In accordance with state and federal rules, the permit </w:t>
      </w:r>
      <w:r w:rsidR="004E78D9" w:rsidRPr="002B6875">
        <w:rPr>
          <w:rFonts w:cs="Arial"/>
          <w:szCs w:val="20"/>
        </w:rPr>
        <w:t>renewal</w:t>
      </w:r>
      <w:r w:rsidR="00FE53FD" w:rsidRPr="002B6875">
        <w:rPr>
          <w:rFonts w:cs="Arial"/>
          <w:szCs w:val="20"/>
        </w:rPr>
        <w:t xml:space="preserve"> </w:t>
      </w:r>
      <w:r w:rsidRPr="002B6875">
        <w:rPr>
          <w:rFonts w:cs="Arial"/>
          <w:szCs w:val="20"/>
        </w:rPr>
        <w:t xml:space="preserve">may not be issued until </w:t>
      </w:r>
      <w:r w:rsidR="00931153" w:rsidRPr="002B6875">
        <w:rPr>
          <w:rFonts w:cs="Arial"/>
          <w:szCs w:val="20"/>
        </w:rPr>
        <w:t>TCEQ resolves EPA’s objections.</w:t>
      </w:r>
    </w:p>
    <w:p w14:paraId="498766F4" w14:textId="77777777" w:rsidR="0084399C" w:rsidRPr="002B6875" w:rsidRDefault="0084399C" w:rsidP="0095602A">
      <w:pPr>
        <w:numPr>
          <w:ilvl w:val="12"/>
          <w:numId w:val="0"/>
        </w:numPr>
        <w:rPr>
          <w:rFonts w:cs="Arial"/>
          <w:szCs w:val="20"/>
        </w:rPr>
      </w:pPr>
    </w:p>
    <w:p w14:paraId="6A856C0A" w14:textId="77777777" w:rsidR="0084399C" w:rsidRPr="002B6875" w:rsidRDefault="0084399C" w:rsidP="0095602A">
      <w:pPr>
        <w:jc w:val="center"/>
        <w:rPr>
          <w:rFonts w:cs="Arial"/>
          <w:szCs w:val="20"/>
        </w:rPr>
      </w:pPr>
      <w:r w:rsidRPr="002B6875">
        <w:rPr>
          <w:rFonts w:cs="Arial"/>
          <w:szCs w:val="20"/>
        </w:rPr>
        <w:t>Description of Site</w:t>
      </w:r>
    </w:p>
    <w:p w14:paraId="1B8EADD3" w14:textId="77777777" w:rsidR="00F62FBE" w:rsidRPr="002B6875" w:rsidRDefault="00F62FBE" w:rsidP="0095602A">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rPr>
          <w:rFonts w:cs="Arial"/>
          <w:szCs w:val="20"/>
        </w:rPr>
      </w:pPr>
    </w:p>
    <w:p w14:paraId="4BAF4A99" w14:textId="77777777" w:rsidR="0084399C" w:rsidRPr="002B6875" w:rsidRDefault="004E78D9" w:rsidP="0095602A">
      <w:pPr>
        <w:numPr>
          <w:ilvl w:val="12"/>
          <w:numId w:val="0"/>
        </w:numPr>
        <w:rPr>
          <w:rFonts w:cs="Arial"/>
          <w:szCs w:val="20"/>
        </w:rPr>
      </w:pPr>
      <w:r w:rsidRPr="002B6875">
        <w:rPr>
          <w:rFonts w:cs="Arial"/>
          <w:szCs w:val="20"/>
        </w:rPr>
        <w:t>Shell Chemical LP</w:t>
      </w:r>
      <w:r w:rsidR="000303A6" w:rsidRPr="002B6875">
        <w:rPr>
          <w:rFonts w:cs="Arial"/>
          <w:szCs w:val="20"/>
        </w:rPr>
        <w:t xml:space="preserve"> o</w:t>
      </w:r>
      <w:r w:rsidR="00521E39" w:rsidRPr="002B6875">
        <w:rPr>
          <w:rFonts w:cs="Arial"/>
          <w:szCs w:val="20"/>
        </w:rPr>
        <w:t xml:space="preserve">wns and operates the </w:t>
      </w:r>
      <w:r w:rsidRPr="002B6875">
        <w:rPr>
          <w:rFonts w:cs="Arial"/>
          <w:szCs w:val="20"/>
        </w:rPr>
        <w:t>Chemical Plant</w:t>
      </w:r>
      <w:r w:rsidR="00521E39" w:rsidRPr="002B6875">
        <w:rPr>
          <w:rFonts w:cs="Arial"/>
          <w:szCs w:val="20"/>
        </w:rPr>
        <w:t xml:space="preserve">, located at </w:t>
      </w:r>
      <w:r w:rsidRPr="002B6875">
        <w:rPr>
          <w:rFonts w:cs="Arial"/>
          <w:szCs w:val="20"/>
        </w:rPr>
        <w:t>5900 Highway 225</w:t>
      </w:r>
      <w:r w:rsidR="00DA76A1" w:rsidRPr="002B6875">
        <w:rPr>
          <w:rFonts w:cs="Arial"/>
          <w:szCs w:val="20"/>
        </w:rPr>
        <w:t xml:space="preserve"> in</w:t>
      </w:r>
      <w:r w:rsidR="00521E39" w:rsidRPr="002B6875">
        <w:rPr>
          <w:rFonts w:cs="Arial"/>
          <w:szCs w:val="20"/>
        </w:rPr>
        <w:t xml:space="preserve"> </w:t>
      </w:r>
      <w:r w:rsidRPr="002B6875">
        <w:rPr>
          <w:rFonts w:cs="Arial"/>
          <w:szCs w:val="20"/>
        </w:rPr>
        <w:t>Deer Park, Harris</w:t>
      </w:r>
      <w:r w:rsidR="00521E39" w:rsidRPr="002B6875">
        <w:rPr>
          <w:rFonts w:cs="Arial"/>
          <w:szCs w:val="20"/>
        </w:rPr>
        <w:t xml:space="preserve"> Texas</w:t>
      </w:r>
      <w:r w:rsidRPr="002B6875">
        <w:rPr>
          <w:rFonts w:cs="Arial"/>
          <w:szCs w:val="20"/>
        </w:rPr>
        <w:t xml:space="preserve"> 77536-2434</w:t>
      </w:r>
      <w:r w:rsidR="00DA76A1" w:rsidRPr="002B6875">
        <w:rPr>
          <w:rFonts w:cs="Arial"/>
          <w:szCs w:val="20"/>
        </w:rPr>
        <w:t>.</w:t>
      </w:r>
    </w:p>
    <w:p w14:paraId="1ECDAC58" w14:textId="77777777" w:rsidR="00521E39" w:rsidRPr="002B6875" w:rsidRDefault="00521E39" w:rsidP="0095602A">
      <w:pPr>
        <w:numPr>
          <w:ilvl w:val="12"/>
          <w:numId w:val="0"/>
        </w:numPr>
        <w:rPr>
          <w:rFonts w:cs="Arial"/>
          <w:szCs w:val="20"/>
        </w:rPr>
      </w:pPr>
    </w:p>
    <w:p w14:paraId="20287137" w14:textId="77777777" w:rsidR="00024EBF" w:rsidRPr="002B6875" w:rsidRDefault="00024EBF" w:rsidP="0095602A">
      <w:pPr>
        <w:numPr>
          <w:ilvl w:val="12"/>
          <w:numId w:val="0"/>
        </w:numPr>
        <w:rPr>
          <w:rFonts w:cs="Arial"/>
          <w:szCs w:val="20"/>
        </w:rPr>
      </w:pPr>
      <w:r w:rsidRPr="002B6875">
        <w:rPr>
          <w:rFonts w:cs="Arial"/>
          <w:szCs w:val="20"/>
        </w:rPr>
        <w:t>Shell Chemical LP’s Deer Park Chemical Plant is primarily engaged in the production of olefins, heavy olefins, aromatics, phenol, and acetone.  These base chemicals or raw material chemicals are typically sold to other chemical companies that transform them into thousands of consumer products ranging from plastics to building materials.  These products are transferred via pipeline, marine loading, and rail and tank truck loading.</w:t>
      </w:r>
    </w:p>
    <w:p w14:paraId="2BB17068" w14:textId="77777777" w:rsidR="00037C5C" w:rsidRPr="002B6875" w:rsidRDefault="00037C5C" w:rsidP="0095602A">
      <w:pPr>
        <w:numPr>
          <w:ilvl w:val="12"/>
          <w:numId w:val="0"/>
        </w:numPr>
        <w:rPr>
          <w:rFonts w:cs="Arial"/>
          <w:szCs w:val="20"/>
        </w:rPr>
      </w:pPr>
    </w:p>
    <w:p w14:paraId="5132229E" w14:textId="77777777" w:rsidR="0084399C" w:rsidRPr="002B6875" w:rsidRDefault="0084399C" w:rsidP="0095602A">
      <w:pPr>
        <w:rPr>
          <w:rFonts w:cs="Arial"/>
          <w:szCs w:val="20"/>
        </w:rPr>
      </w:pPr>
      <w:r w:rsidRPr="002B6875">
        <w:rPr>
          <w:rFonts w:cs="Arial"/>
          <w:szCs w:val="20"/>
        </w:rPr>
        <w:t>The following responses follow the references used in EPA’s objection letter.</w:t>
      </w:r>
    </w:p>
    <w:p w14:paraId="0B66E344" w14:textId="77777777" w:rsidR="0084399C" w:rsidRPr="002B6875" w:rsidRDefault="0084399C" w:rsidP="0095602A">
      <w:pPr>
        <w:rPr>
          <w:rFonts w:cs="Arial"/>
          <w:szCs w:val="20"/>
        </w:rPr>
      </w:pPr>
    </w:p>
    <w:p w14:paraId="62E72607" w14:textId="40FD74F1" w:rsidR="00376A8B" w:rsidRPr="0088531E" w:rsidRDefault="0084399C" w:rsidP="0088531E">
      <w:pPr>
        <w:rPr>
          <w:rFonts w:cs="Arial"/>
          <w:szCs w:val="20"/>
        </w:rPr>
      </w:pPr>
      <w:r w:rsidRPr="002B6875">
        <w:rPr>
          <w:rStyle w:val="Strong"/>
          <w:rFonts w:cs="Arial"/>
          <w:szCs w:val="20"/>
        </w:rPr>
        <w:t xml:space="preserve">EPA </w:t>
      </w:r>
      <w:r w:rsidR="0089546D" w:rsidRPr="002B6875">
        <w:rPr>
          <w:rStyle w:val="Strong"/>
          <w:rFonts w:cs="Arial"/>
          <w:szCs w:val="20"/>
        </w:rPr>
        <w:t>Objection</w:t>
      </w:r>
      <w:r w:rsidR="0088531E">
        <w:rPr>
          <w:rStyle w:val="Strong"/>
          <w:rFonts w:cs="Arial"/>
          <w:szCs w:val="20"/>
        </w:rPr>
        <w:t xml:space="preserve"> 1</w:t>
      </w:r>
      <w:r w:rsidRPr="00112AE9">
        <w:rPr>
          <w:rStyle w:val="Strong"/>
          <w:rFonts w:cs="Arial"/>
          <w:szCs w:val="20"/>
        </w:rPr>
        <w:t>:</w:t>
      </w:r>
      <w:r w:rsidRPr="00112AE9">
        <w:rPr>
          <w:rFonts w:cs="Arial"/>
          <w:szCs w:val="20"/>
        </w:rPr>
        <w:t xml:space="preserve"> </w:t>
      </w:r>
      <w:r w:rsidR="00376A8B" w:rsidRPr="00112AE9">
        <w:rPr>
          <w:rFonts w:cs="Arial"/>
          <w:b/>
          <w:szCs w:val="20"/>
        </w:rPr>
        <w:t>Objection for</w:t>
      </w:r>
      <w:r w:rsidR="00376A8B" w:rsidRPr="00112AE9">
        <w:rPr>
          <w:rFonts w:cs="Arial"/>
          <w:b/>
          <w:spacing w:val="-1"/>
          <w:szCs w:val="20"/>
        </w:rPr>
        <w:t xml:space="preserve"> </w:t>
      </w:r>
      <w:r w:rsidR="00376A8B" w:rsidRPr="00112AE9">
        <w:rPr>
          <w:rFonts w:cs="Arial"/>
          <w:b/>
          <w:szCs w:val="20"/>
        </w:rPr>
        <w:t>Failure to Identify Specific Applicable Requirements under 40 CFR Part 61 and Part 63, National Emission Standards for Hazardous Air Pollutants (NESHAP).</w:t>
      </w:r>
      <w:r w:rsidR="00376A8B" w:rsidRPr="00112AE9">
        <w:rPr>
          <w:rFonts w:cs="Arial"/>
          <w:b/>
          <w:spacing w:val="40"/>
          <w:szCs w:val="20"/>
        </w:rPr>
        <w:t xml:space="preserve"> </w:t>
      </w:r>
      <w:r w:rsidR="00376A8B" w:rsidRPr="00112AE9">
        <w:rPr>
          <w:rFonts w:cs="Arial"/>
          <w:szCs w:val="20"/>
        </w:rPr>
        <w:t>Underlying NSR permits 3219/PSDTX974, 3179, and 3219 indicate that the</w:t>
      </w:r>
      <w:r w:rsidR="00376A8B" w:rsidRPr="00112AE9">
        <w:rPr>
          <w:rFonts w:cs="Arial"/>
          <w:spacing w:val="-1"/>
          <w:szCs w:val="20"/>
        </w:rPr>
        <w:t xml:space="preserve"> </w:t>
      </w:r>
      <w:r w:rsidR="00376A8B" w:rsidRPr="00112AE9">
        <w:rPr>
          <w:rFonts w:cs="Arial"/>
          <w:szCs w:val="20"/>
        </w:rPr>
        <w:t>facilities shall comply with 40 CFR Part</w:t>
      </w:r>
      <w:r w:rsidR="00376A8B" w:rsidRPr="00112AE9">
        <w:rPr>
          <w:rFonts w:cs="Arial"/>
          <w:spacing w:val="-2"/>
          <w:szCs w:val="20"/>
        </w:rPr>
        <w:t xml:space="preserve"> </w:t>
      </w:r>
      <w:r w:rsidR="00376A8B" w:rsidRPr="00112AE9">
        <w:rPr>
          <w:rFonts w:cs="Arial"/>
          <w:szCs w:val="20"/>
        </w:rPr>
        <w:t>61</w:t>
      </w:r>
      <w:r w:rsidR="00376A8B" w:rsidRPr="00112AE9">
        <w:rPr>
          <w:rFonts w:cs="Arial"/>
          <w:spacing w:val="-2"/>
          <w:szCs w:val="20"/>
        </w:rPr>
        <w:t xml:space="preserve"> </w:t>
      </w:r>
      <w:r w:rsidR="00376A8B" w:rsidRPr="00112AE9">
        <w:rPr>
          <w:rFonts w:cs="Arial"/>
          <w:szCs w:val="20"/>
        </w:rPr>
        <w:t>Subparts</w:t>
      </w:r>
      <w:r w:rsidR="00376A8B" w:rsidRPr="00112AE9">
        <w:rPr>
          <w:rFonts w:cs="Arial"/>
          <w:spacing w:val="-2"/>
          <w:szCs w:val="20"/>
        </w:rPr>
        <w:t xml:space="preserve"> </w:t>
      </w:r>
      <w:r w:rsidR="00376A8B" w:rsidRPr="00112AE9">
        <w:rPr>
          <w:rFonts w:cs="Arial"/>
          <w:szCs w:val="20"/>
        </w:rPr>
        <w:t>J,</w:t>
      </w:r>
      <w:r w:rsidR="00376A8B" w:rsidRPr="00112AE9">
        <w:rPr>
          <w:rFonts w:cs="Arial"/>
          <w:spacing w:val="-2"/>
          <w:szCs w:val="20"/>
        </w:rPr>
        <w:t xml:space="preserve"> </w:t>
      </w:r>
      <w:r w:rsidR="00376A8B" w:rsidRPr="00112AE9">
        <w:rPr>
          <w:rFonts w:cs="Arial"/>
          <w:szCs w:val="20"/>
        </w:rPr>
        <w:t>V,</w:t>
      </w:r>
      <w:r w:rsidR="00376A8B" w:rsidRPr="00112AE9">
        <w:rPr>
          <w:rFonts w:cs="Arial"/>
          <w:spacing w:val="-2"/>
          <w:szCs w:val="20"/>
        </w:rPr>
        <w:t xml:space="preserve"> </w:t>
      </w:r>
      <w:r w:rsidR="00376A8B" w:rsidRPr="00112AE9">
        <w:rPr>
          <w:rFonts w:cs="Arial"/>
          <w:szCs w:val="20"/>
        </w:rPr>
        <w:t>and</w:t>
      </w:r>
      <w:r w:rsidR="00376A8B" w:rsidRPr="00112AE9">
        <w:rPr>
          <w:rFonts w:cs="Arial"/>
          <w:spacing w:val="-2"/>
          <w:szCs w:val="20"/>
        </w:rPr>
        <w:t xml:space="preserve"> </w:t>
      </w:r>
      <w:r w:rsidR="00376A8B" w:rsidRPr="00112AE9">
        <w:rPr>
          <w:rFonts w:cs="Arial"/>
          <w:szCs w:val="20"/>
        </w:rPr>
        <w:t>FF.</w:t>
      </w:r>
      <w:r w:rsidR="00376A8B" w:rsidRPr="00112AE9">
        <w:rPr>
          <w:rFonts w:cs="Arial"/>
          <w:spacing w:val="-1"/>
          <w:szCs w:val="20"/>
        </w:rPr>
        <w:t xml:space="preserve"> </w:t>
      </w:r>
      <w:r w:rsidR="00376A8B" w:rsidRPr="00112AE9">
        <w:rPr>
          <w:rFonts w:cs="Arial"/>
          <w:szCs w:val="20"/>
        </w:rPr>
        <w:t>The</w:t>
      </w:r>
      <w:r w:rsidR="00376A8B" w:rsidRPr="00112AE9">
        <w:rPr>
          <w:rFonts w:cs="Arial"/>
          <w:spacing w:val="-3"/>
          <w:szCs w:val="20"/>
        </w:rPr>
        <w:t xml:space="preserve"> </w:t>
      </w:r>
      <w:r w:rsidR="00376A8B" w:rsidRPr="00112AE9">
        <w:rPr>
          <w:rFonts w:cs="Arial"/>
          <w:szCs w:val="20"/>
        </w:rPr>
        <w:t>Applicable</w:t>
      </w:r>
      <w:r w:rsidR="00376A8B" w:rsidRPr="00112AE9">
        <w:rPr>
          <w:rFonts w:cs="Arial"/>
          <w:spacing w:val="-2"/>
          <w:szCs w:val="20"/>
        </w:rPr>
        <w:t xml:space="preserve"> </w:t>
      </w:r>
      <w:r w:rsidR="00376A8B" w:rsidRPr="00112AE9">
        <w:rPr>
          <w:rFonts w:cs="Arial"/>
          <w:szCs w:val="20"/>
        </w:rPr>
        <w:t>Requirements</w:t>
      </w:r>
      <w:r w:rsidR="00376A8B" w:rsidRPr="00112AE9">
        <w:rPr>
          <w:rFonts w:cs="Arial"/>
          <w:spacing w:val="-2"/>
          <w:szCs w:val="20"/>
        </w:rPr>
        <w:t xml:space="preserve"> </w:t>
      </w:r>
      <w:r w:rsidR="00376A8B" w:rsidRPr="00112AE9">
        <w:rPr>
          <w:rFonts w:cs="Arial"/>
          <w:szCs w:val="20"/>
        </w:rPr>
        <w:t>Summary</w:t>
      </w:r>
      <w:r w:rsidR="00376A8B" w:rsidRPr="00112AE9">
        <w:rPr>
          <w:rFonts w:cs="Arial"/>
          <w:spacing w:val="-2"/>
          <w:szCs w:val="20"/>
        </w:rPr>
        <w:t xml:space="preserve"> </w:t>
      </w:r>
      <w:r w:rsidR="00376A8B" w:rsidRPr="00112AE9">
        <w:rPr>
          <w:rFonts w:cs="Arial"/>
          <w:szCs w:val="20"/>
        </w:rPr>
        <w:t>table</w:t>
      </w:r>
      <w:r w:rsidR="00376A8B" w:rsidRPr="00112AE9">
        <w:rPr>
          <w:rFonts w:cs="Arial"/>
          <w:spacing w:val="-2"/>
          <w:szCs w:val="20"/>
        </w:rPr>
        <w:t xml:space="preserve"> </w:t>
      </w:r>
      <w:r w:rsidR="00376A8B" w:rsidRPr="00112AE9">
        <w:rPr>
          <w:rFonts w:cs="Arial"/>
          <w:szCs w:val="20"/>
        </w:rPr>
        <w:t>shows</w:t>
      </w:r>
      <w:r w:rsidR="00376A8B" w:rsidRPr="00112AE9">
        <w:rPr>
          <w:rFonts w:cs="Arial"/>
          <w:spacing w:val="-2"/>
          <w:szCs w:val="20"/>
        </w:rPr>
        <w:t xml:space="preserve"> </w:t>
      </w:r>
      <w:r w:rsidR="00376A8B" w:rsidRPr="00112AE9">
        <w:rPr>
          <w:rFonts w:cs="Arial"/>
          <w:szCs w:val="20"/>
        </w:rPr>
        <w:t>that</w:t>
      </w:r>
      <w:r w:rsidR="00376A8B" w:rsidRPr="00112AE9">
        <w:rPr>
          <w:rFonts w:cs="Arial"/>
          <w:spacing w:val="-2"/>
          <w:szCs w:val="20"/>
        </w:rPr>
        <w:t xml:space="preserve"> </w:t>
      </w:r>
      <w:r w:rsidR="00376A8B" w:rsidRPr="00112AE9">
        <w:rPr>
          <w:rFonts w:cs="Arial"/>
          <w:szCs w:val="20"/>
        </w:rPr>
        <w:t>GRP-MON- FE as subject to Part 61 Subpart J for Benzene, yet the table identifies “none” for monitoring and testing requirements, recordkeeping requirements, and for reporting requirements. The textual description</w:t>
      </w:r>
      <w:r w:rsidR="00376A8B" w:rsidRPr="00112AE9">
        <w:rPr>
          <w:rFonts w:cs="Arial"/>
          <w:spacing w:val="-3"/>
          <w:szCs w:val="20"/>
        </w:rPr>
        <w:t xml:space="preserve"> </w:t>
      </w:r>
      <w:r w:rsidR="00376A8B" w:rsidRPr="00112AE9">
        <w:rPr>
          <w:rFonts w:cs="Arial"/>
          <w:szCs w:val="20"/>
        </w:rPr>
        <w:t>states</w:t>
      </w:r>
      <w:r w:rsidR="00376A8B" w:rsidRPr="00112AE9">
        <w:rPr>
          <w:rFonts w:cs="Arial"/>
          <w:spacing w:val="-3"/>
          <w:szCs w:val="20"/>
        </w:rPr>
        <w:t xml:space="preserve"> </w:t>
      </w:r>
      <w:r w:rsidR="00376A8B" w:rsidRPr="00112AE9">
        <w:rPr>
          <w:rFonts w:cs="Arial"/>
          <w:szCs w:val="20"/>
        </w:rPr>
        <w:t>“Each</w:t>
      </w:r>
      <w:r w:rsidR="00376A8B" w:rsidRPr="00112AE9">
        <w:rPr>
          <w:rFonts w:cs="Arial"/>
          <w:spacing w:val="-2"/>
          <w:szCs w:val="20"/>
        </w:rPr>
        <w:t xml:space="preserve"> </w:t>
      </w:r>
      <w:r w:rsidR="00376A8B" w:rsidRPr="00112AE9">
        <w:rPr>
          <w:rFonts w:cs="Arial"/>
          <w:szCs w:val="20"/>
        </w:rPr>
        <w:t>owner</w:t>
      </w:r>
      <w:r w:rsidR="00376A8B" w:rsidRPr="00112AE9">
        <w:rPr>
          <w:rFonts w:cs="Arial"/>
          <w:spacing w:val="-3"/>
          <w:szCs w:val="20"/>
        </w:rPr>
        <w:t xml:space="preserve"> </w:t>
      </w:r>
      <w:r w:rsidR="00376A8B" w:rsidRPr="00112AE9">
        <w:rPr>
          <w:rFonts w:cs="Arial"/>
          <w:szCs w:val="20"/>
        </w:rPr>
        <w:t>or</w:t>
      </w:r>
      <w:r w:rsidR="00376A8B" w:rsidRPr="00112AE9">
        <w:rPr>
          <w:rFonts w:cs="Arial"/>
          <w:spacing w:val="-3"/>
          <w:szCs w:val="20"/>
        </w:rPr>
        <w:t xml:space="preserve"> </w:t>
      </w:r>
      <w:r w:rsidR="00376A8B" w:rsidRPr="00112AE9">
        <w:rPr>
          <w:rFonts w:cs="Arial"/>
          <w:szCs w:val="20"/>
        </w:rPr>
        <w:t>operator</w:t>
      </w:r>
      <w:r w:rsidR="00376A8B" w:rsidRPr="00112AE9">
        <w:rPr>
          <w:rFonts w:cs="Arial"/>
          <w:spacing w:val="-3"/>
          <w:szCs w:val="20"/>
        </w:rPr>
        <w:t xml:space="preserve"> </w:t>
      </w:r>
      <w:r w:rsidR="00376A8B" w:rsidRPr="00112AE9">
        <w:rPr>
          <w:rFonts w:cs="Arial"/>
          <w:szCs w:val="20"/>
        </w:rPr>
        <w:t>subject</w:t>
      </w:r>
      <w:r w:rsidR="00376A8B" w:rsidRPr="00112AE9">
        <w:rPr>
          <w:rFonts w:cs="Arial"/>
          <w:spacing w:val="-3"/>
          <w:szCs w:val="20"/>
        </w:rPr>
        <w:t xml:space="preserve"> </w:t>
      </w:r>
      <w:r w:rsidR="00376A8B" w:rsidRPr="00112AE9">
        <w:rPr>
          <w:rFonts w:cs="Arial"/>
          <w:szCs w:val="20"/>
        </w:rPr>
        <w:t>to</w:t>
      </w:r>
      <w:r w:rsidR="00376A8B" w:rsidRPr="00112AE9">
        <w:rPr>
          <w:rFonts w:cs="Arial"/>
          <w:spacing w:val="-3"/>
          <w:szCs w:val="20"/>
        </w:rPr>
        <w:t xml:space="preserve"> </w:t>
      </w:r>
      <w:r w:rsidR="00376A8B" w:rsidRPr="00112AE9">
        <w:rPr>
          <w:rFonts w:cs="Arial"/>
          <w:szCs w:val="20"/>
        </w:rPr>
        <w:t>this</w:t>
      </w:r>
      <w:r w:rsidR="00376A8B" w:rsidRPr="00112AE9">
        <w:rPr>
          <w:rFonts w:cs="Arial"/>
          <w:spacing w:val="-3"/>
          <w:szCs w:val="20"/>
        </w:rPr>
        <w:t xml:space="preserve"> </w:t>
      </w:r>
      <w:r w:rsidR="00376A8B" w:rsidRPr="00112AE9">
        <w:rPr>
          <w:rFonts w:cs="Arial"/>
          <w:szCs w:val="20"/>
        </w:rPr>
        <w:t>subpart</w:t>
      </w:r>
      <w:r w:rsidR="00376A8B" w:rsidRPr="00112AE9">
        <w:rPr>
          <w:rFonts w:cs="Arial"/>
          <w:spacing w:val="-3"/>
          <w:szCs w:val="20"/>
        </w:rPr>
        <w:t xml:space="preserve"> </w:t>
      </w:r>
      <w:r w:rsidR="00376A8B" w:rsidRPr="00112AE9">
        <w:rPr>
          <w:rFonts w:cs="Arial"/>
          <w:szCs w:val="20"/>
        </w:rPr>
        <w:t>shall</w:t>
      </w:r>
      <w:r w:rsidR="00376A8B" w:rsidRPr="00112AE9">
        <w:rPr>
          <w:rFonts w:cs="Arial"/>
          <w:spacing w:val="-3"/>
          <w:szCs w:val="20"/>
        </w:rPr>
        <w:t xml:space="preserve"> </w:t>
      </w:r>
      <w:r w:rsidR="00376A8B" w:rsidRPr="00112AE9">
        <w:rPr>
          <w:rFonts w:cs="Arial"/>
          <w:szCs w:val="20"/>
        </w:rPr>
        <w:t>comply</w:t>
      </w:r>
      <w:r w:rsidR="00376A8B" w:rsidRPr="00112AE9">
        <w:rPr>
          <w:rFonts w:cs="Arial"/>
          <w:spacing w:val="-3"/>
          <w:szCs w:val="20"/>
        </w:rPr>
        <w:t xml:space="preserve"> </w:t>
      </w:r>
      <w:r w:rsidR="00376A8B" w:rsidRPr="00112AE9">
        <w:rPr>
          <w:rFonts w:cs="Arial"/>
          <w:szCs w:val="20"/>
        </w:rPr>
        <w:t>with</w:t>
      </w:r>
      <w:r w:rsidR="00376A8B" w:rsidRPr="00112AE9">
        <w:rPr>
          <w:rFonts w:cs="Arial"/>
          <w:spacing w:val="-3"/>
          <w:szCs w:val="20"/>
        </w:rPr>
        <w:t xml:space="preserve"> </w:t>
      </w:r>
      <w:r w:rsidR="00376A8B" w:rsidRPr="00112AE9">
        <w:rPr>
          <w:rFonts w:cs="Arial"/>
          <w:szCs w:val="20"/>
        </w:rPr>
        <w:t>the</w:t>
      </w:r>
      <w:r w:rsidR="00376A8B" w:rsidRPr="00112AE9">
        <w:rPr>
          <w:rFonts w:cs="Arial"/>
          <w:spacing w:val="-4"/>
          <w:szCs w:val="20"/>
        </w:rPr>
        <w:t xml:space="preserve"> </w:t>
      </w:r>
      <w:r w:rsidR="00376A8B" w:rsidRPr="00112AE9">
        <w:rPr>
          <w:rFonts w:cs="Arial"/>
          <w:szCs w:val="20"/>
        </w:rPr>
        <w:t>requirements of 40 CFR 61, Subpart V – National Emission Standard for Equipment Leaks (Fugitive Emission Sources)”. The permit shield on page 459 indicates that for GRP-MON-FE, that a permit shield exists for</w:t>
      </w:r>
      <w:r w:rsidR="00376A8B" w:rsidRPr="00112AE9">
        <w:rPr>
          <w:rFonts w:cs="Arial"/>
          <w:spacing w:val="-1"/>
          <w:szCs w:val="20"/>
        </w:rPr>
        <w:t xml:space="preserve"> </w:t>
      </w:r>
      <w:r w:rsidR="00376A8B" w:rsidRPr="00112AE9">
        <w:rPr>
          <w:rFonts w:cs="Arial"/>
          <w:szCs w:val="20"/>
        </w:rPr>
        <w:t>Part 61 Subpart V and the basis of the</w:t>
      </w:r>
      <w:r w:rsidR="00376A8B" w:rsidRPr="00112AE9">
        <w:rPr>
          <w:rFonts w:cs="Arial"/>
          <w:spacing w:val="-1"/>
          <w:szCs w:val="20"/>
        </w:rPr>
        <w:t xml:space="preserve"> </w:t>
      </w:r>
      <w:r w:rsidR="00376A8B" w:rsidRPr="00112AE9">
        <w:rPr>
          <w:rFonts w:cs="Arial"/>
          <w:szCs w:val="20"/>
        </w:rPr>
        <w:t>determination is stated as “Equipment subject to the requirements of 40 CFR 63, Subpart FFFF which is also subject to the provisions of 40 CFR 61 are required to comply with the provisions of 40 CFR 63, Subpart FFFF”. The applicable requirements summary table does include applicable requirements from 40 CFR Part 63 Subpart FFFF for GRP- MON-FE for HAPs.</w:t>
      </w:r>
    </w:p>
    <w:p w14:paraId="58AAC34B" w14:textId="77777777" w:rsidR="00376A8B" w:rsidRPr="002B6875" w:rsidRDefault="00376A8B" w:rsidP="0095602A">
      <w:pPr>
        <w:pStyle w:val="BodyText"/>
        <w:rPr>
          <w:rFonts w:ascii="Arial" w:hAnsi="Arial" w:cs="Arial"/>
          <w:sz w:val="20"/>
          <w:szCs w:val="20"/>
        </w:rPr>
      </w:pPr>
    </w:p>
    <w:p w14:paraId="2A12EB8A" w14:textId="77777777" w:rsidR="00376A8B" w:rsidRPr="002B6875" w:rsidRDefault="00376A8B" w:rsidP="0095602A">
      <w:pPr>
        <w:pStyle w:val="BodyText"/>
        <w:rPr>
          <w:rFonts w:ascii="Arial" w:hAnsi="Arial" w:cs="Arial"/>
          <w:sz w:val="20"/>
          <w:szCs w:val="20"/>
        </w:rPr>
      </w:pPr>
      <w:r w:rsidRPr="002B6875">
        <w:rPr>
          <w:rFonts w:ascii="Arial" w:hAnsi="Arial" w:cs="Arial"/>
          <w:sz w:val="20"/>
          <w:szCs w:val="20"/>
        </w:rPr>
        <w:t xml:space="preserve">The Title V permit should contain references that are detailed enough that the </w:t>
      </w:r>
      <w:proofErr w:type="gramStart"/>
      <w:r w:rsidRPr="002B6875">
        <w:rPr>
          <w:rFonts w:ascii="Arial" w:hAnsi="Arial" w:cs="Arial"/>
          <w:sz w:val="20"/>
          <w:szCs w:val="20"/>
        </w:rPr>
        <w:t>manner in which</w:t>
      </w:r>
      <w:proofErr w:type="gramEnd"/>
      <w:r w:rsidRPr="002B6875">
        <w:rPr>
          <w:rFonts w:ascii="Arial" w:hAnsi="Arial" w:cs="Arial"/>
          <w:sz w:val="20"/>
          <w:szCs w:val="20"/>
        </w:rPr>
        <w:t xml:space="preserve"> the referenced requirements apply to the facility is clear and is not reasonably subject to misinterpretation. </w:t>
      </w:r>
      <w:r w:rsidRPr="002B6875">
        <w:rPr>
          <w:rFonts w:ascii="Arial" w:hAnsi="Arial" w:cs="Arial"/>
          <w:sz w:val="20"/>
          <w:szCs w:val="20"/>
        </w:rPr>
        <w:lastRenderedPageBreak/>
        <w:t xml:space="preserve">See </w:t>
      </w:r>
      <w:r w:rsidRPr="002B6875">
        <w:rPr>
          <w:rFonts w:ascii="Arial" w:hAnsi="Arial" w:cs="Arial"/>
          <w:i/>
          <w:sz w:val="20"/>
          <w:szCs w:val="20"/>
        </w:rPr>
        <w:t xml:space="preserve">In the Matter of Tesoro Refining, Order on Petition No. IX-2004-06 </w:t>
      </w:r>
      <w:r w:rsidRPr="002B6875">
        <w:rPr>
          <w:rFonts w:ascii="Arial" w:hAnsi="Arial" w:cs="Arial"/>
          <w:sz w:val="20"/>
          <w:szCs w:val="20"/>
        </w:rPr>
        <w:t>(March 15, 2005) at 8; see also White Paper Number 2 for Improved Implementation of The Part 70 Operating Permits Program, 34-38 (March 5, 1996). In the case of the Shell Chemical Plant permit, the permit does not contain enough information or detailed enough citations to determine how the specific</w:t>
      </w:r>
      <w:r w:rsidRPr="002B6875">
        <w:rPr>
          <w:rFonts w:ascii="Arial" w:hAnsi="Arial" w:cs="Arial"/>
          <w:spacing w:val="-4"/>
          <w:sz w:val="20"/>
          <w:szCs w:val="20"/>
        </w:rPr>
        <w:t xml:space="preserve"> </w:t>
      </w:r>
      <w:r w:rsidRPr="002B6875">
        <w:rPr>
          <w:rFonts w:ascii="Arial" w:hAnsi="Arial" w:cs="Arial"/>
          <w:sz w:val="20"/>
          <w:szCs w:val="20"/>
        </w:rPr>
        <w:t>requirements</w:t>
      </w:r>
      <w:r w:rsidRPr="002B6875">
        <w:rPr>
          <w:rFonts w:ascii="Arial" w:hAnsi="Arial" w:cs="Arial"/>
          <w:spacing w:val="-3"/>
          <w:sz w:val="20"/>
          <w:szCs w:val="20"/>
        </w:rPr>
        <w:t xml:space="preserve"> </w:t>
      </w:r>
      <w:r w:rsidRPr="002B6875">
        <w:rPr>
          <w:rFonts w:ascii="Arial" w:hAnsi="Arial" w:cs="Arial"/>
          <w:sz w:val="20"/>
          <w:szCs w:val="20"/>
        </w:rPr>
        <w:t>of</w:t>
      </w:r>
      <w:r w:rsidRPr="002B6875">
        <w:rPr>
          <w:rFonts w:ascii="Arial" w:hAnsi="Arial" w:cs="Arial"/>
          <w:spacing w:val="-3"/>
          <w:sz w:val="20"/>
          <w:szCs w:val="20"/>
        </w:rPr>
        <w:t xml:space="preserve"> </w:t>
      </w:r>
      <w:r w:rsidRPr="002B6875">
        <w:rPr>
          <w:rFonts w:ascii="Arial" w:hAnsi="Arial" w:cs="Arial"/>
          <w:sz w:val="20"/>
          <w:szCs w:val="20"/>
        </w:rPr>
        <w:t>the</w:t>
      </w:r>
      <w:r w:rsidRPr="002B6875">
        <w:rPr>
          <w:rFonts w:ascii="Arial" w:hAnsi="Arial" w:cs="Arial"/>
          <w:spacing w:val="-4"/>
          <w:sz w:val="20"/>
          <w:szCs w:val="20"/>
        </w:rPr>
        <w:t xml:space="preserve"> </w:t>
      </w:r>
      <w:r w:rsidRPr="002B6875">
        <w:rPr>
          <w:rFonts w:ascii="Arial" w:hAnsi="Arial" w:cs="Arial"/>
          <w:sz w:val="20"/>
          <w:szCs w:val="20"/>
        </w:rPr>
        <w:t>NESHAP</w:t>
      </w:r>
      <w:r w:rsidRPr="002B6875">
        <w:rPr>
          <w:rFonts w:ascii="Arial" w:hAnsi="Arial" w:cs="Arial"/>
          <w:spacing w:val="-3"/>
          <w:sz w:val="20"/>
          <w:szCs w:val="20"/>
        </w:rPr>
        <w:t xml:space="preserve"> </w:t>
      </w:r>
      <w:r w:rsidRPr="002B6875">
        <w:rPr>
          <w:rFonts w:ascii="Arial" w:hAnsi="Arial" w:cs="Arial"/>
          <w:sz w:val="20"/>
          <w:szCs w:val="20"/>
        </w:rPr>
        <w:t>requirements</w:t>
      </w:r>
      <w:r w:rsidRPr="002B6875">
        <w:rPr>
          <w:rFonts w:ascii="Arial" w:hAnsi="Arial" w:cs="Arial"/>
          <w:spacing w:val="-3"/>
          <w:sz w:val="20"/>
          <w:szCs w:val="20"/>
        </w:rPr>
        <w:t xml:space="preserve"> </w:t>
      </w:r>
      <w:r w:rsidRPr="002B6875">
        <w:rPr>
          <w:rFonts w:ascii="Arial" w:hAnsi="Arial" w:cs="Arial"/>
          <w:sz w:val="20"/>
          <w:szCs w:val="20"/>
        </w:rPr>
        <w:t>apply</w:t>
      </w:r>
      <w:r w:rsidRPr="002B6875">
        <w:rPr>
          <w:rFonts w:ascii="Arial" w:hAnsi="Arial" w:cs="Arial"/>
          <w:spacing w:val="-3"/>
          <w:sz w:val="20"/>
          <w:szCs w:val="20"/>
        </w:rPr>
        <w:t xml:space="preserve"> </w:t>
      </w:r>
      <w:r w:rsidRPr="002B6875">
        <w:rPr>
          <w:rFonts w:ascii="Arial" w:hAnsi="Arial" w:cs="Arial"/>
          <w:sz w:val="20"/>
          <w:szCs w:val="20"/>
        </w:rPr>
        <w:t>to</w:t>
      </w:r>
      <w:r w:rsidRPr="002B6875">
        <w:rPr>
          <w:rFonts w:ascii="Arial" w:hAnsi="Arial" w:cs="Arial"/>
          <w:spacing w:val="-3"/>
          <w:sz w:val="20"/>
          <w:szCs w:val="20"/>
        </w:rPr>
        <w:t xml:space="preserve"> </w:t>
      </w:r>
      <w:r w:rsidRPr="002B6875">
        <w:rPr>
          <w:rFonts w:ascii="Arial" w:hAnsi="Arial" w:cs="Arial"/>
          <w:sz w:val="20"/>
          <w:szCs w:val="20"/>
        </w:rPr>
        <w:t>the</w:t>
      </w:r>
      <w:r w:rsidRPr="002B6875">
        <w:rPr>
          <w:rFonts w:ascii="Arial" w:hAnsi="Arial" w:cs="Arial"/>
          <w:spacing w:val="-3"/>
          <w:sz w:val="20"/>
          <w:szCs w:val="20"/>
        </w:rPr>
        <w:t xml:space="preserve"> </w:t>
      </w:r>
      <w:r w:rsidRPr="002B6875">
        <w:rPr>
          <w:rFonts w:ascii="Arial" w:hAnsi="Arial" w:cs="Arial"/>
          <w:sz w:val="20"/>
          <w:szCs w:val="20"/>
        </w:rPr>
        <w:t>facility.</w:t>
      </w:r>
      <w:r w:rsidRPr="002B6875">
        <w:rPr>
          <w:rFonts w:ascii="Arial" w:hAnsi="Arial" w:cs="Arial"/>
          <w:spacing w:val="-3"/>
          <w:sz w:val="20"/>
          <w:szCs w:val="20"/>
        </w:rPr>
        <w:t xml:space="preserve"> </w:t>
      </w:r>
      <w:r w:rsidRPr="00112AE9">
        <w:rPr>
          <w:rFonts w:ascii="Arial" w:hAnsi="Arial" w:cs="Arial"/>
          <w:sz w:val="20"/>
          <w:szCs w:val="20"/>
        </w:rPr>
        <w:t>Can</w:t>
      </w:r>
      <w:r w:rsidRPr="00112AE9">
        <w:rPr>
          <w:rFonts w:ascii="Arial" w:hAnsi="Arial" w:cs="Arial"/>
          <w:spacing w:val="-3"/>
          <w:sz w:val="20"/>
          <w:szCs w:val="20"/>
        </w:rPr>
        <w:t xml:space="preserve"> </w:t>
      </w:r>
      <w:r w:rsidRPr="00112AE9">
        <w:rPr>
          <w:rFonts w:ascii="Arial" w:hAnsi="Arial" w:cs="Arial"/>
          <w:sz w:val="20"/>
          <w:szCs w:val="20"/>
        </w:rPr>
        <w:t>TCEQ</w:t>
      </w:r>
      <w:r w:rsidRPr="00112AE9">
        <w:rPr>
          <w:rFonts w:ascii="Arial" w:hAnsi="Arial" w:cs="Arial"/>
          <w:spacing w:val="-3"/>
          <w:sz w:val="20"/>
          <w:szCs w:val="20"/>
        </w:rPr>
        <w:t xml:space="preserve"> </w:t>
      </w:r>
      <w:r w:rsidRPr="00112AE9">
        <w:rPr>
          <w:rFonts w:ascii="Arial" w:hAnsi="Arial" w:cs="Arial"/>
          <w:sz w:val="20"/>
          <w:szCs w:val="20"/>
        </w:rPr>
        <w:t>confirm</w:t>
      </w:r>
      <w:r w:rsidRPr="00112AE9">
        <w:rPr>
          <w:rFonts w:ascii="Arial" w:hAnsi="Arial" w:cs="Arial"/>
          <w:spacing w:val="-3"/>
          <w:sz w:val="20"/>
          <w:szCs w:val="20"/>
        </w:rPr>
        <w:t xml:space="preserve"> </w:t>
      </w:r>
      <w:r w:rsidRPr="00112AE9">
        <w:rPr>
          <w:rFonts w:ascii="Arial" w:hAnsi="Arial" w:cs="Arial"/>
          <w:sz w:val="20"/>
          <w:szCs w:val="20"/>
        </w:rPr>
        <w:t>that</w:t>
      </w:r>
      <w:r w:rsidRPr="00112AE9">
        <w:rPr>
          <w:rFonts w:ascii="Arial" w:hAnsi="Arial" w:cs="Arial"/>
          <w:spacing w:val="-3"/>
          <w:sz w:val="20"/>
          <w:szCs w:val="20"/>
        </w:rPr>
        <w:t xml:space="preserve"> </w:t>
      </w:r>
      <w:r w:rsidRPr="00112AE9">
        <w:rPr>
          <w:rFonts w:ascii="Arial" w:hAnsi="Arial" w:cs="Arial"/>
          <w:sz w:val="20"/>
          <w:szCs w:val="20"/>
        </w:rPr>
        <w:t>no additional requirements for Benzene are applicable for GRP-MON-FE and clarify the VOC requirements for the facility</w:t>
      </w:r>
      <w:r w:rsidRPr="002B6875">
        <w:rPr>
          <w:rFonts w:ascii="Arial" w:hAnsi="Arial" w:cs="Arial"/>
          <w:sz w:val="20"/>
          <w:szCs w:val="20"/>
        </w:rPr>
        <w:t>?</w:t>
      </w:r>
    </w:p>
    <w:p w14:paraId="1904E38A" w14:textId="6B99F4EE" w:rsidR="00376A8B" w:rsidRPr="002B6875" w:rsidRDefault="00376A8B" w:rsidP="0095602A">
      <w:pPr>
        <w:rPr>
          <w:rFonts w:cs="Arial"/>
          <w:szCs w:val="20"/>
        </w:rPr>
      </w:pPr>
    </w:p>
    <w:p w14:paraId="0C563976" w14:textId="77777777" w:rsidR="00376A8B" w:rsidRPr="002B6875" w:rsidRDefault="00376A8B" w:rsidP="0095602A">
      <w:pPr>
        <w:rPr>
          <w:rFonts w:cs="Arial"/>
          <w:szCs w:val="20"/>
        </w:rPr>
      </w:pPr>
    </w:p>
    <w:p w14:paraId="05087377" w14:textId="616C1F2A" w:rsidR="005157B4" w:rsidRPr="000619CB" w:rsidRDefault="0084399C" w:rsidP="0095602A">
      <w:pPr>
        <w:rPr>
          <w:rFonts w:cs="Arial"/>
          <w:szCs w:val="20"/>
        </w:rPr>
      </w:pPr>
      <w:r w:rsidRPr="002B6875">
        <w:rPr>
          <w:rStyle w:val="Strong"/>
          <w:rFonts w:cs="Arial"/>
          <w:szCs w:val="20"/>
        </w:rPr>
        <w:t>TCEQ R</w:t>
      </w:r>
      <w:r w:rsidR="0089546D" w:rsidRPr="002B6875">
        <w:rPr>
          <w:rStyle w:val="Strong"/>
          <w:rFonts w:cs="Arial"/>
          <w:szCs w:val="20"/>
        </w:rPr>
        <w:t>esponse</w:t>
      </w:r>
      <w:r w:rsidR="00F13E5C">
        <w:rPr>
          <w:rStyle w:val="Strong"/>
          <w:rFonts w:cs="Arial"/>
          <w:szCs w:val="20"/>
        </w:rPr>
        <w:t xml:space="preserve"> to Objection 1</w:t>
      </w:r>
      <w:r w:rsidRPr="002B6875">
        <w:rPr>
          <w:rStyle w:val="Strong"/>
          <w:rFonts w:cs="Arial"/>
          <w:szCs w:val="20"/>
        </w:rPr>
        <w:t>:</w:t>
      </w:r>
      <w:r w:rsidRPr="002B6875">
        <w:rPr>
          <w:rFonts w:cs="Arial"/>
          <w:szCs w:val="20"/>
        </w:rPr>
        <w:t xml:space="preserve"> </w:t>
      </w:r>
      <w:r w:rsidR="000619CB">
        <w:rPr>
          <w:rFonts w:cs="Arial"/>
          <w:szCs w:val="20"/>
        </w:rPr>
        <w:t xml:space="preserve">As listed in the </w:t>
      </w:r>
      <w:r w:rsidR="000619CB" w:rsidRPr="00112AE9">
        <w:rPr>
          <w:rFonts w:cs="Arial"/>
          <w:szCs w:val="20"/>
        </w:rPr>
        <w:t>Applicable</w:t>
      </w:r>
      <w:r w:rsidR="000619CB" w:rsidRPr="00112AE9">
        <w:rPr>
          <w:rFonts w:cs="Arial"/>
          <w:spacing w:val="-2"/>
          <w:szCs w:val="20"/>
        </w:rPr>
        <w:t xml:space="preserve"> </w:t>
      </w:r>
      <w:r w:rsidR="000619CB" w:rsidRPr="00112AE9">
        <w:rPr>
          <w:rFonts w:cs="Arial"/>
          <w:szCs w:val="20"/>
        </w:rPr>
        <w:t>Requirements</w:t>
      </w:r>
      <w:r w:rsidR="000619CB" w:rsidRPr="00112AE9">
        <w:rPr>
          <w:rFonts w:cs="Arial"/>
          <w:spacing w:val="-2"/>
          <w:szCs w:val="20"/>
        </w:rPr>
        <w:t xml:space="preserve"> </w:t>
      </w:r>
      <w:r w:rsidR="000619CB" w:rsidRPr="00112AE9">
        <w:rPr>
          <w:rFonts w:cs="Arial"/>
          <w:szCs w:val="20"/>
        </w:rPr>
        <w:t>Summary</w:t>
      </w:r>
      <w:r w:rsidR="000619CB" w:rsidRPr="00112AE9">
        <w:rPr>
          <w:rFonts w:cs="Arial"/>
          <w:spacing w:val="-2"/>
          <w:szCs w:val="20"/>
        </w:rPr>
        <w:t xml:space="preserve"> </w:t>
      </w:r>
      <w:r w:rsidR="000619CB" w:rsidRPr="00112AE9">
        <w:rPr>
          <w:rFonts w:cs="Arial"/>
          <w:szCs w:val="20"/>
        </w:rPr>
        <w:t>table</w:t>
      </w:r>
      <w:r w:rsidR="000619CB">
        <w:rPr>
          <w:rFonts w:cs="Arial"/>
          <w:szCs w:val="20"/>
        </w:rPr>
        <w:t xml:space="preserve"> (page 247) of the proposed permit</w:t>
      </w:r>
      <w:r w:rsidR="00D80DB7">
        <w:rPr>
          <w:rFonts w:cs="Arial"/>
          <w:szCs w:val="20"/>
        </w:rPr>
        <w:t xml:space="preserve">, </w:t>
      </w:r>
      <w:r w:rsidR="00D80DB7" w:rsidRPr="000619CB">
        <w:t xml:space="preserve">GRP-MON-FE </w:t>
      </w:r>
      <w:r w:rsidR="00D772FD">
        <w:t xml:space="preserve">unit </w:t>
      </w:r>
      <w:r w:rsidR="00D80DB7" w:rsidRPr="000619CB">
        <w:t>is subject to</w:t>
      </w:r>
      <w:r w:rsidR="000619CB" w:rsidRPr="000619CB">
        <w:t xml:space="preserve"> 40 CFR Part 61,</w:t>
      </w:r>
      <w:r w:rsidR="00D80DB7" w:rsidRPr="000619CB">
        <w:t xml:space="preserve"> </w:t>
      </w:r>
      <w:r w:rsidR="000619CB">
        <w:t xml:space="preserve">Subpart </w:t>
      </w:r>
      <w:r w:rsidR="00D80DB7" w:rsidRPr="000619CB">
        <w:t xml:space="preserve">J. However, </w:t>
      </w:r>
      <w:r w:rsidR="00B4178E">
        <w:t xml:space="preserve">Subpart </w:t>
      </w:r>
      <w:r w:rsidR="00B4178E" w:rsidRPr="000619CB">
        <w:t>J</w:t>
      </w:r>
      <w:r w:rsidR="00D80DB7" w:rsidRPr="000619CB">
        <w:t xml:space="preserve"> does not have specific monitoring, </w:t>
      </w:r>
      <w:proofErr w:type="gramStart"/>
      <w:r w:rsidR="00D80DB7" w:rsidRPr="000619CB">
        <w:t>recordkeeping</w:t>
      </w:r>
      <w:proofErr w:type="gramEnd"/>
      <w:r w:rsidR="00D80DB7" w:rsidRPr="000619CB">
        <w:t xml:space="preserve"> and reporting requirements because it </w:t>
      </w:r>
      <w:r w:rsidR="00D772FD">
        <w:t>requires</w:t>
      </w:r>
      <w:r w:rsidR="00D80DB7" w:rsidRPr="000619CB">
        <w:t xml:space="preserve"> the </w:t>
      </w:r>
      <w:r w:rsidR="00D772FD">
        <w:t xml:space="preserve">permit holder </w:t>
      </w:r>
      <w:r w:rsidR="00D80DB7" w:rsidRPr="000619CB">
        <w:t xml:space="preserve">to comply with </w:t>
      </w:r>
      <w:r w:rsidR="00B4178E" w:rsidRPr="000619CB">
        <w:t xml:space="preserve">40 CFR Part 61, </w:t>
      </w:r>
      <w:r w:rsidR="00B4178E">
        <w:t xml:space="preserve">Subpart </w:t>
      </w:r>
      <w:r w:rsidR="00D80DB7" w:rsidRPr="000619CB">
        <w:t xml:space="preserve">V requirements. GRP-MON-FE </w:t>
      </w:r>
      <w:r w:rsidR="00D772FD">
        <w:t xml:space="preserve">unit </w:t>
      </w:r>
      <w:r w:rsidR="00D80DB7" w:rsidRPr="000619CB">
        <w:t xml:space="preserve">is therefore subject to both </w:t>
      </w:r>
      <w:r w:rsidR="00B4178E" w:rsidRPr="000619CB">
        <w:t xml:space="preserve">40 CFR Part 61, </w:t>
      </w:r>
      <w:r w:rsidR="00B4178E">
        <w:t>Subpart V</w:t>
      </w:r>
      <w:r w:rsidR="00D80DB7" w:rsidRPr="000619CB">
        <w:t xml:space="preserve"> and </w:t>
      </w:r>
      <w:r w:rsidR="00B4178E" w:rsidRPr="000619CB">
        <w:t>40 CFR Part 6</w:t>
      </w:r>
      <w:r w:rsidR="00B4178E">
        <w:t>3</w:t>
      </w:r>
      <w:r w:rsidR="00B4178E" w:rsidRPr="000619CB">
        <w:t xml:space="preserve">, </w:t>
      </w:r>
      <w:r w:rsidR="00B4178E">
        <w:t xml:space="preserve">Subpart </w:t>
      </w:r>
      <w:r w:rsidR="00D80DB7" w:rsidRPr="000619CB">
        <w:t xml:space="preserve">FFFF fugitive requirements. Citation 63.2535(k) in </w:t>
      </w:r>
      <w:r w:rsidR="00B4178E" w:rsidRPr="00B4178E">
        <w:t>40 CFR Part 63</w:t>
      </w:r>
      <w:r w:rsidR="00B4178E">
        <w:t xml:space="preserve">, Subpart </w:t>
      </w:r>
      <w:r w:rsidR="00D80DB7" w:rsidRPr="000619CB">
        <w:t xml:space="preserve">FFFF </w:t>
      </w:r>
      <w:r w:rsidR="00B4178E">
        <w:t>states</w:t>
      </w:r>
      <w:r w:rsidR="00D80DB7" w:rsidRPr="000619CB">
        <w:t xml:space="preserve"> that if the source is subject to both </w:t>
      </w:r>
      <w:r w:rsidR="00B4178E" w:rsidRPr="000619CB">
        <w:t xml:space="preserve">40 CFR Part 61, </w:t>
      </w:r>
      <w:r w:rsidR="00B4178E">
        <w:t>Subpart V</w:t>
      </w:r>
      <w:r w:rsidR="00B4178E" w:rsidRPr="000619CB">
        <w:t xml:space="preserve"> and 40 CFR Part 6</w:t>
      </w:r>
      <w:r w:rsidR="00B4178E">
        <w:t>3</w:t>
      </w:r>
      <w:r w:rsidR="00B4178E" w:rsidRPr="000619CB">
        <w:t xml:space="preserve">, </w:t>
      </w:r>
      <w:r w:rsidR="00B4178E">
        <w:t xml:space="preserve">Subpart </w:t>
      </w:r>
      <w:r w:rsidR="00B4178E" w:rsidRPr="000619CB">
        <w:t>FFFF</w:t>
      </w:r>
      <w:r w:rsidR="00D80DB7" w:rsidRPr="000619CB">
        <w:t xml:space="preserve">, the owner or operator may elect to apply </w:t>
      </w:r>
      <w:r w:rsidR="00B4178E" w:rsidRPr="000619CB">
        <w:t>40 CFR Part 6</w:t>
      </w:r>
      <w:r w:rsidR="00B4178E">
        <w:t>3</w:t>
      </w:r>
      <w:r w:rsidR="00B4178E" w:rsidRPr="000619CB">
        <w:t xml:space="preserve">, </w:t>
      </w:r>
      <w:r w:rsidR="00B4178E">
        <w:t xml:space="preserve">Subpart </w:t>
      </w:r>
      <w:r w:rsidR="00B4178E" w:rsidRPr="000619CB">
        <w:t>FFFF</w:t>
      </w:r>
      <w:r w:rsidR="00D80DB7" w:rsidRPr="000619CB">
        <w:t xml:space="preserve"> to all such equipment. </w:t>
      </w:r>
      <w:r w:rsidR="00B4178E">
        <w:t>A</w:t>
      </w:r>
      <w:r w:rsidR="00D772FD">
        <w:t>ccordingly, a</w:t>
      </w:r>
      <w:r w:rsidR="00B4178E">
        <w:t>pplicant</w:t>
      </w:r>
      <w:r w:rsidR="00D80DB7" w:rsidRPr="000619CB">
        <w:t xml:space="preserve"> has elected to comply with </w:t>
      </w:r>
      <w:r w:rsidR="00B4178E" w:rsidRPr="000619CB">
        <w:t>40 CFR Part 6</w:t>
      </w:r>
      <w:r w:rsidR="00B4178E">
        <w:t>3</w:t>
      </w:r>
      <w:r w:rsidR="00B4178E" w:rsidRPr="000619CB">
        <w:t xml:space="preserve">, </w:t>
      </w:r>
      <w:r w:rsidR="00B4178E">
        <w:t xml:space="preserve">Subpart </w:t>
      </w:r>
      <w:r w:rsidR="00B4178E" w:rsidRPr="000619CB">
        <w:t>FFFF</w:t>
      </w:r>
      <w:r w:rsidR="00B4178E">
        <w:t xml:space="preserve"> requirements</w:t>
      </w:r>
      <w:r w:rsidR="00D80DB7" w:rsidRPr="000619CB">
        <w:t xml:space="preserve">. Therefore, citation 63.2535(k) was manually added as a </w:t>
      </w:r>
      <w:r w:rsidR="00B4178E">
        <w:t xml:space="preserve">related </w:t>
      </w:r>
      <w:r w:rsidR="00D80DB7" w:rsidRPr="000619CB">
        <w:t xml:space="preserve">standard for GRP-MON-FE </w:t>
      </w:r>
      <w:r w:rsidR="00D772FD">
        <w:t xml:space="preserve">unit </w:t>
      </w:r>
      <w:r w:rsidR="00D80DB7" w:rsidRPr="000619CB">
        <w:t xml:space="preserve">in the ARS table for </w:t>
      </w:r>
      <w:r w:rsidR="00B4178E" w:rsidRPr="000619CB">
        <w:t xml:space="preserve">40 CFR Part 61, </w:t>
      </w:r>
      <w:r w:rsidR="00B4178E">
        <w:t xml:space="preserve">Subpart </w:t>
      </w:r>
      <w:r w:rsidR="00B4178E" w:rsidRPr="000619CB">
        <w:t>J</w:t>
      </w:r>
      <w:r w:rsidR="00D80DB7" w:rsidRPr="000619CB">
        <w:t xml:space="preserve"> (</w:t>
      </w:r>
      <w:r w:rsidR="00B4178E">
        <w:t>i</w:t>
      </w:r>
      <w:r w:rsidR="00D80DB7" w:rsidRPr="000619CB">
        <w:t xml:space="preserve">ndex 61JALL) to clarify that </w:t>
      </w:r>
      <w:r w:rsidR="00B4178E">
        <w:t>applicant</w:t>
      </w:r>
      <w:r w:rsidR="00D80DB7" w:rsidRPr="000619CB">
        <w:t xml:space="preserve"> is complying with the requirements in </w:t>
      </w:r>
      <w:r w:rsidR="00B4178E" w:rsidRPr="000619CB">
        <w:t>40 CFR Part 6</w:t>
      </w:r>
      <w:r w:rsidR="00B4178E">
        <w:t>3</w:t>
      </w:r>
      <w:r w:rsidR="00B4178E" w:rsidRPr="000619CB">
        <w:t xml:space="preserve">, </w:t>
      </w:r>
      <w:r w:rsidR="00B4178E">
        <w:t xml:space="preserve">Subpart </w:t>
      </w:r>
      <w:r w:rsidR="00B4178E" w:rsidRPr="000619CB">
        <w:t>FFFF</w:t>
      </w:r>
      <w:r w:rsidR="00D80DB7" w:rsidRPr="000619CB">
        <w:t xml:space="preserve"> instead of </w:t>
      </w:r>
      <w:r w:rsidR="00B4178E" w:rsidRPr="000619CB">
        <w:t xml:space="preserve">40 CFR Part 61, </w:t>
      </w:r>
      <w:r w:rsidR="00B4178E">
        <w:t>Subpart V</w:t>
      </w:r>
      <w:r w:rsidR="00D80DB7" w:rsidRPr="000619CB">
        <w:t xml:space="preserve"> </w:t>
      </w:r>
      <w:proofErr w:type="gramStart"/>
      <w:r w:rsidR="00D80DB7" w:rsidRPr="000619CB">
        <w:t>in order to</w:t>
      </w:r>
      <w:proofErr w:type="gramEnd"/>
      <w:r w:rsidR="00D80DB7" w:rsidRPr="000619CB">
        <w:t xml:space="preserve"> comply with </w:t>
      </w:r>
      <w:r w:rsidR="00B4178E" w:rsidRPr="000619CB">
        <w:t xml:space="preserve">40 CFR Part 61, </w:t>
      </w:r>
      <w:r w:rsidR="00B4178E">
        <w:t xml:space="preserve">Subpart </w:t>
      </w:r>
      <w:r w:rsidR="00B4178E" w:rsidRPr="000619CB">
        <w:t>J</w:t>
      </w:r>
      <w:r w:rsidR="00D80DB7" w:rsidRPr="000619CB">
        <w:t xml:space="preserve">. In addition, a permit shield for </w:t>
      </w:r>
      <w:r w:rsidR="00B4178E" w:rsidRPr="000619CB">
        <w:t xml:space="preserve">40 CFR Part 61, </w:t>
      </w:r>
      <w:r w:rsidR="00B4178E">
        <w:t xml:space="preserve">Subpart </w:t>
      </w:r>
      <w:r w:rsidR="00B4178E" w:rsidRPr="000619CB">
        <w:t>J</w:t>
      </w:r>
      <w:r w:rsidR="00B4178E">
        <w:t xml:space="preserve"> for </w:t>
      </w:r>
      <w:r w:rsidR="00B4178E" w:rsidRPr="000619CB">
        <w:t>GRP-MON-FE</w:t>
      </w:r>
      <w:r w:rsidR="00D80DB7" w:rsidRPr="000619CB">
        <w:t xml:space="preserve"> </w:t>
      </w:r>
      <w:r w:rsidR="00D772FD">
        <w:t xml:space="preserve">unit </w:t>
      </w:r>
      <w:r w:rsidR="00D80DB7" w:rsidRPr="000619CB">
        <w:t xml:space="preserve">documents that </w:t>
      </w:r>
      <w:r w:rsidR="00B4178E">
        <w:t>applicant</w:t>
      </w:r>
      <w:r w:rsidR="00D80DB7" w:rsidRPr="000619CB">
        <w:t xml:space="preserve"> is electing to comply with </w:t>
      </w:r>
      <w:r w:rsidR="00B4178E" w:rsidRPr="000619CB">
        <w:t>40 CFR Part 6</w:t>
      </w:r>
      <w:r w:rsidR="00B4178E">
        <w:t>3</w:t>
      </w:r>
      <w:r w:rsidR="00B4178E" w:rsidRPr="000619CB">
        <w:t xml:space="preserve">, </w:t>
      </w:r>
      <w:r w:rsidR="00B4178E">
        <w:t xml:space="preserve">Subpart </w:t>
      </w:r>
      <w:r w:rsidR="00B4178E" w:rsidRPr="000619CB">
        <w:t>FFFF</w:t>
      </w:r>
      <w:r w:rsidR="00D80DB7" w:rsidRPr="000619CB">
        <w:t xml:space="preserve"> instead of </w:t>
      </w:r>
      <w:r w:rsidR="00B4178E" w:rsidRPr="000619CB">
        <w:t xml:space="preserve">40 CFR Part 61, </w:t>
      </w:r>
      <w:r w:rsidR="00B4178E">
        <w:t xml:space="preserve">Subpart </w:t>
      </w:r>
      <w:r w:rsidR="00B4178E" w:rsidRPr="000619CB">
        <w:t>V</w:t>
      </w:r>
      <w:r w:rsidR="00D80DB7" w:rsidRPr="000619CB">
        <w:t>.</w:t>
      </w:r>
      <w:r w:rsidR="00112AE9" w:rsidRPr="000619CB">
        <w:t xml:space="preserve">  </w:t>
      </w:r>
    </w:p>
    <w:p w14:paraId="5D360442" w14:textId="77777777" w:rsidR="00376A8B" w:rsidRPr="002B6875" w:rsidRDefault="00376A8B" w:rsidP="0095602A">
      <w:pPr>
        <w:rPr>
          <w:rStyle w:val="Strong"/>
          <w:rFonts w:cs="Arial"/>
          <w:szCs w:val="20"/>
        </w:rPr>
      </w:pPr>
    </w:p>
    <w:p w14:paraId="10FECF9D" w14:textId="534079F8" w:rsidR="0095602A" w:rsidRPr="0088531E" w:rsidRDefault="00376A8B" w:rsidP="0088531E">
      <w:pPr>
        <w:rPr>
          <w:rFonts w:cs="Arial"/>
          <w:szCs w:val="20"/>
        </w:rPr>
      </w:pPr>
      <w:r w:rsidRPr="002B6875">
        <w:rPr>
          <w:rStyle w:val="Strong"/>
          <w:rFonts w:cs="Arial"/>
          <w:szCs w:val="20"/>
        </w:rPr>
        <w:t>EPA Objection</w:t>
      </w:r>
      <w:r w:rsidR="0088531E">
        <w:rPr>
          <w:rStyle w:val="Strong"/>
          <w:rFonts w:cs="Arial"/>
          <w:szCs w:val="20"/>
        </w:rPr>
        <w:t xml:space="preserve"> 2</w:t>
      </w:r>
      <w:r w:rsidRPr="002B6875">
        <w:rPr>
          <w:rStyle w:val="Strong"/>
          <w:rFonts w:cs="Arial"/>
          <w:szCs w:val="20"/>
        </w:rPr>
        <w:t>:</w:t>
      </w:r>
      <w:r w:rsidRPr="002B6875">
        <w:rPr>
          <w:rFonts w:cs="Arial"/>
          <w:szCs w:val="20"/>
        </w:rPr>
        <w:t xml:space="preserve"> </w:t>
      </w:r>
      <w:r w:rsidRPr="0088531E">
        <w:rPr>
          <w:rFonts w:cs="Arial"/>
          <w:b/>
          <w:szCs w:val="20"/>
        </w:rPr>
        <w:t xml:space="preserve">Inadequate Monitoring for Flares. </w:t>
      </w:r>
      <w:r w:rsidRPr="0088531E">
        <w:rPr>
          <w:rFonts w:cs="Arial"/>
          <w:szCs w:val="20"/>
        </w:rPr>
        <w:t>As you are aware from petition orders recently published for other</w:t>
      </w:r>
      <w:r w:rsidRPr="0088531E">
        <w:rPr>
          <w:rFonts w:cs="Arial"/>
          <w:spacing w:val="-4"/>
          <w:szCs w:val="20"/>
        </w:rPr>
        <w:t xml:space="preserve"> </w:t>
      </w:r>
      <w:r w:rsidRPr="0088531E">
        <w:rPr>
          <w:rFonts w:cs="Arial"/>
          <w:szCs w:val="20"/>
        </w:rPr>
        <w:t>TCEQ</w:t>
      </w:r>
      <w:r w:rsidRPr="0088531E">
        <w:rPr>
          <w:rFonts w:cs="Arial"/>
          <w:spacing w:val="-2"/>
          <w:szCs w:val="20"/>
        </w:rPr>
        <w:t xml:space="preserve"> </w:t>
      </w:r>
      <w:r w:rsidRPr="0088531E">
        <w:rPr>
          <w:rFonts w:cs="Arial"/>
          <w:szCs w:val="20"/>
        </w:rPr>
        <w:t>title</w:t>
      </w:r>
      <w:r w:rsidRPr="0088531E">
        <w:rPr>
          <w:rFonts w:cs="Arial"/>
          <w:spacing w:val="-3"/>
          <w:szCs w:val="20"/>
        </w:rPr>
        <w:t xml:space="preserve"> </w:t>
      </w:r>
      <w:r w:rsidRPr="0088531E">
        <w:rPr>
          <w:rFonts w:cs="Arial"/>
          <w:szCs w:val="20"/>
        </w:rPr>
        <w:t>V</w:t>
      </w:r>
      <w:r w:rsidRPr="0088531E">
        <w:rPr>
          <w:rFonts w:cs="Arial"/>
          <w:spacing w:val="-2"/>
          <w:szCs w:val="20"/>
        </w:rPr>
        <w:t xml:space="preserve"> </w:t>
      </w:r>
      <w:r w:rsidRPr="0088531E">
        <w:rPr>
          <w:rFonts w:cs="Arial"/>
          <w:szCs w:val="20"/>
        </w:rPr>
        <w:t>permits,</w:t>
      </w:r>
      <w:r w:rsidRPr="0088531E">
        <w:rPr>
          <w:rFonts w:cs="Arial"/>
          <w:spacing w:val="-2"/>
          <w:szCs w:val="20"/>
        </w:rPr>
        <w:t xml:space="preserve"> </w:t>
      </w:r>
      <w:r w:rsidRPr="0088531E">
        <w:rPr>
          <w:rFonts w:cs="Arial"/>
          <w:szCs w:val="20"/>
        </w:rPr>
        <w:t>EPA</w:t>
      </w:r>
      <w:r w:rsidRPr="0088531E">
        <w:rPr>
          <w:rFonts w:cs="Arial"/>
          <w:spacing w:val="-2"/>
          <w:szCs w:val="20"/>
        </w:rPr>
        <w:t xml:space="preserve"> </w:t>
      </w:r>
      <w:r w:rsidRPr="0088531E">
        <w:rPr>
          <w:rFonts w:cs="Arial"/>
          <w:szCs w:val="20"/>
        </w:rPr>
        <w:t>has</w:t>
      </w:r>
      <w:r w:rsidRPr="0088531E">
        <w:rPr>
          <w:rFonts w:cs="Arial"/>
          <w:spacing w:val="-2"/>
          <w:szCs w:val="20"/>
        </w:rPr>
        <w:t xml:space="preserve"> </w:t>
      </w:r>
      <w:r w:rsidRPr="0088531E">
        <w:rPr>
          <w:rFonts w:cs="Arial"/>
          <w:szCs w:val="20"/>
        </w:rPr>
        <w:t>discovered</w:t>
      </w:r>
      <w:r w:rsidRPr="0088531E">
        <w:rPr>
          <w:rFonts w:cs="Arial"/>
          <w:spacing w:val="-2"/>
          <w:szCs w:val="20"/>
        </w:rPr>
        <w:t xml:space="preserve"> </w:t>
      </w:r>
      <w:r w:rsidRPr="0088531E">
        <w:rPr>
          <w:rFonts w:cs="Arial"/>
          <w:szCs w:val="20"/>
        </w:rPr>
        <w:t>that</w:t>
      </w:r>
      <w:r w:rsidRPr="0088531E">
        <w:rPr>
          <w:rFonts w:cs="Arial"/>
          <w:spacing w:val="-2"/>
          <w:szCs w:val="20"/>
        </w:rPr>
        <w:t xml:space="preserve"> </w:t>
      </w:r>
      <w:r w:rsidRPr="0088531E">
        <w:rPr>
          <w:rFonts w:cs="Arial"/>
          <w:szCs w:val="20"/>
        </w:rPr>
        <w:t>meeting</w:t>
      </w:r>
      <w:r w:rsidRPr="0088531E">
        <w:rPr>
          <w:rFonts w:cs="Arial"/>
          <w:spacing w:val="-2"/>
          <w:szCs w:val="20"/>
        </w:rPr>
        <w:t xml:space="preserve"> </w:t>
      </w:r>
      <w:r w:rsidRPr="0088531E">
        <w:rPr>
          <w:rFonts w:cs="Arial"/>
          <w:szCs w:val="20"/>
        </w:rPr>
        <w:t>the</w:t>
      </w:r>
      <w:r w:rsidRPr="0088531E">
        <w:rPr>
          <w:rFonts w:cs="Arial"/>
          <w:spacing w:val="-2"/>
          <w:szCs w:val="20"/>
        </w:rPr>
        <w:t xml:space="preserve"> </w:t>
      </w:r>
      <w:r w:rsidRPr="0088531E">
        <w:rPr>
          <w:rFonts w:cs="Arial"/>
          <w:szCs w:val="20"/>
        </w:rPr>
        <w:t>requirements</w:t>
      </w:r>
      <w:r w:rsidRPr="0088531E">
        <w:rPr>
          <w:rFonts w:cs="Arial"/>
          <w:spacing w:val="-2"/>
          <w:szCs w:val="20"/>
        </w:rPr>
        <w:t xml:space="preserve"> </w:t>
      </w:r>
      <w:r w:rsidRPr="0088531E">
        <w:rPr>
          <w:rFonts w:cs="Arial"/>
          <w:szCs w:val="20"/>
        </w:rPr>
        <w:t>of</w:t>
      </w:r>
      <w:r w:rsidRPr="0088531E">
        <w:rPr>
          <w:rFonts w:cs="Arial"/>
          <w:spacing w:val="-2"/>
          <w:szCs w:val="20"/>
        </w:rPr>
        <w:t xml:space="preserve"> </w:t>
      </w:r>
      <w:r w:rsidRPr="0088531E">
        <w:rPr>
          <w:rFonts w:cs="Arial"/>
          <w:szCs w:val="20"/>
        </w:rPr>
        <w:t>40</w:t>
      </w:r>
      <w:r w:rsidRPr="0088531E">
        <w:rPr>
          <w:rFonts w:cs="Arial"/>
          <w:spacing w:val="-2"/>
          <w:szCs w:val="20"/>
        </w:rPr>
        <w:t xml:space="preserve"> </w:t>
      </w:r>
      <w:r w:rsidRPr="0088531E">
        <w:rPr>
          <w:rFonts w:cs="Arial"/>
          <w:szCs w:val="20"/>
        </w:rPr>
        <w:t>CFR</w:t>
      </w:r>
      <w:r w:rsidRPr="0088531E">
        <w:rPr>
          <w:rFonts w:cs="Arial"/>
          <w:spacing w:val="-2"/>
          <w:szCs w:val="20"/>
        </w:rPr>
        <w:t xml:space="preserve"> </w:t>
      </w:r>
      <w:r w:rsidRPr="0088531E">
        <w:rPr>
          <w:rFonts w:cs="Arial"/>
          <w:szCs w:val="20"/>
        </w:rPr>
        <w:t>§</w:t>
      </w:r>
      <w:r w:rsidRPr="0088531E">
        <w:rPr>
          <w:rFonts w:cs="Arial"/>
          <w:spacing w:val="-2"/>
          <w:szCs w:val="20"/>
        </w:rPr>
        <w:t xml:space="preserve"> </w:t>
      </w:r>
      <w:r w:rsidRPr="0088531E">
        <w:rPr>
          <w:rFonts w:cs="Arial"/>
          <w:szCs w:val="20"/>
        </w:rPr>
        <w:t>60.18 does not always account for certain problems that can reduce combustion efficiency, such as those caused</w:t>
      </w:r>
      <w:r w:rsidRPr="0088531E">
        <w:rPr>
          <w:rFonts w:cs="Arial"/>
          <w:spacing w:val="-3"/>
          <w:szCs w:val="20"/>
        </w:rPr>
        <w:t xml:space="preserve"> </w:t>
      </w:r>
      <w:r w:rsidRPr="0088531E">
        <w:rPr>
          <w:rFonts w:cs="Arial"/>
          <w:szCs w:val="20"/>
        </w:rPr>
        <w:t>by</w:t>
      </w:r>
      <w:r w:rsidRPr="0088531E">
        <w:rPr>
          <w:rFonts w:cs="Arial"/>
          <w:spacing w:val="-3"/>
          <w:szCs w:val="20"/>
        </w:rPr>
        <w:t xml:space="preserve"> </w:t>
      </w:r>
      <w:r w:rsidRPr="0088531E">
        <w:rPr>
          <w:rFonts w:cs="Arial"/>
          <w:szCs w:val="20"/>
        </w:rPr>
        <w:t>excess</w:t>
      </w:r>
      <w:r w:rsidRPr="0088531E">
        <w:rPr>
          <w:rFonts w:cs="Arial"/>
          <w:spacing w:val="-3"/>
          <w:szCs w:val="20"/>
        </w:rPr>
        <w:t xml:space="preserve"> </w:t>
      </w:r>
      <w:r w:rsidRPr="0088531E">
        <w:rPr>
          <w:rFonts w:cs="Arial"/>
          <w:szCs w:val="20"/>
        </w:rPr>
        <w:t>steam</w:t>
      </w:r>
      <w:r w:rsidRPr="0088531E">
        <w:rPr>
          <w:rFonts w:cs="Arial"/>
          <w:spacing w:val="-3"/>
          <w:szCs w:val="20"/>
        </w:rPr>
        <w:t xml:space="preserve"> </w:t>
      </w:r>
      <w:r w:rsidRPr="0088531E">
        <w:rPr>
          <w:rFonts w:cs="Arial"/>
          <w:szCs w:val="20"/>
        </w:rPr>
        <w:t>or</w:t>
      </w:r>
      <w:r w:rsidRPr="0088531E">
        <w:rPr>
          <w:rFonts w:cs="Arial"/>
          <w:spacing w:val="-3"/>
          <w:szCs w:val="20"/>
        </w:rPr>
        <w:t xml:space="preserve"> </w:t>
      </w:r>
      <w:r w:rsidRPr="0088531E">
        <w:rPr>
          <w:rFonts w:cs="Arial"/>
          <w:szCs w:val="20"/>
        </w:rPr>
        <w:t>air</w:t>
      </w:r>
      <w:r w:rsidRPr="0088531E">
        <w:rPr>
          <w:rFonts w:cs="Arial"/>
          <w:spacing w:val="-3"/>
          <w:szCs w:val="20"/>
        </w:rPr>
        <w:t xml:space="preserve"> </w:t>
      </w:r>
      <w:r w:rsidRPr="0088531E">
        <w:rPr>
          <w:rFonts w:cs="Arial"/>
          <w:szCs w:val="20"/>
        </w:rPr>
        <w:t>assistance</w:t>
      </w:r>
      <w:r w:rsidRPr="0088531E">
        <w:rPr>
          <w:rFonts w:cs="Arial"/>
          <w:spacing w:val="-4"/>
          <w:szCs w:val="20"/>
        </w:rPr>
        <w:t xml:space="preserve"> </w:t>
      </w:r>
      <w:r w:rsidRPr="0088531E">
        <w:rPr>
          <w:rFonts w:cs="Arial"/>
          <w:szCs w:val="20"/>
        </w:rPr>
        <w:t>to</w:t>
      </w:r>
      <w:r w:rsidRPr="0088531E">
        <w:rPr>
          <w:rFonts w:cs="Arial"/>
          <w:spacing w:val="-4"/>
          <w:szCs w:val="20"/>
        </w:rPr>
        <w:t xml:space="preserve"> </w:t>
      </w:r>
      <w:r w:rsidRPr="0088531E">
        <w:rPr>
          <w:rFonts w:cs="Arial"/>
          <w:szCs w:val="20"/>
        </w:rPr>
        <w:t>the</w:t>
      </w:r>
      <w:r w:rsidRPr="0088531E">
        <w:rPr>
          <w:rFonts w:cs="Arial"/>
          <w:spacing w:val="-3"/>
          <w:szCs w:val="20"/>
        </w:rPr>
        <w:t xml:space="preserve"> </w:t>
      </w:r>
      <w:r w:rsidRPr="0088531E">
        <w:rPr>
          <w:rFonts w:cs="Arial"/>
          <w:szCs w:val="20"/>
        </w:rPr>
        <w:t>flare.</w:t>
      </w:r>
      <w:r w:rsidRPr="0088531E">
        <w:rPr>
          <w:rFonts w:cs="Arial"/>
          <w:spacing w:val="-4"/>
          <w:szCs w:val="20"/>
        </w:rPr>
        <w:t xml:space="preserve"> </w:t>
      </w:r>
      <w:r w:rsidRPr="0088531E">
        <w:rPr>
          <w:rFonts w:cs="Arial"/>
          <w:szCs w:val="20"/>
        </w:rPr>
        <w:t>Steam-</w:t>
      </w:r>
      <w:r w:rsidRPr="0088531E">
        <w:rPr>
          <w:rFonts w:cs="Arial"/>
          <w:spacing w:val="-4"/>
          <w:szCs w:val="20"/>
        </w:rPr>
        <w:t xml:space="preserve"> </w:t>
      </w:r>
      <w:r w:rsidRPr="0088531E">
        <w:rPr>
          <w:rFonts w:cs="Arial"/>
          <w:szCs w:val="20"/>
        </w:rPr>
        <w:t>and</w:t>
      </w:r>
      <w:r w:rsidRPr="0088531E">
        <w:rPr>
          <w:rFonts w:cs="Arial"/>
          <w:spacing w:val="-3"/>
          <w:szCs w:val="20"/>
        </w:rPr>
        <w:t xml:space="preserve"> </w:t>
      </w:r>
      <w:r w:rsidRPr="0088531E">
        <w:rPr>
          <w:rFonts w:cs="Arial"/>
          <w:szCs w:val="20"/>
        </w:rPr>
        <w:t>air-assisted</w:t>
      </w:r>
      <w:r w:rsidRPr="0088531E">
        <w:rPr>
          <w:rFonts w:cs="Arial"/>
          <w:spacing w:val="-2"/>
          <w:szCs w:val="20"/>
        </w:rPr>
        <w:t xml:space="preserve"> </w:t>
      </w:r>
      <w:r w:rsidRPr="0088531E">
        <w:rPr>
          <w:rFonts w:cs="Arial"/>
          <w:szCs w:val="20"/>
        </w:rPr>
        <w:t>flares</w:t>
      </w:r>
      <w:r w:rsidRPr="0088531E">
        <w:rPr>
          <w:rFonts w:cs="Arial"/>
          <w:spacing w:val="-3"/>
          <w:szCs w:val="20"/>
        </w:rPr>
        <w:t xml:space="preserve"> </w:t>
      </w:r>
      <w:r w:rsidRPr="0088531E">
        <w:rPr>
          <w:rFonts w:cs="Arial"/>
          <w:szCs w:val="20"/>
        </w:rPr>
        <w:t>for</w:t>
      </w:r>
      <w:r w:rsidRPr="0088531E">
        <w:rPr>
          <w:rFonts w:cs="Arial"/>
          <w:spacing w:val="-3"/>
          <w:szCs w:val="20"/>
        </w:rPr>
        <w:t xml:space="preserve"> </w:t>
      </w:r>
      <w:r w:rsidRPr="0088531E">
        <w:rPr>
          <w:rFonts w:cs="Arial"/>
          <w:szCs w:val="20"/>
        </w:rPr>
        <w:t>certain</w:t>
      </w:r>
      <w:r w:rsidRPr="0088531E">
        <w:rPr>
          <w:rFonts w:cs="Arial"/>
          <w:spacing w:val="-3"/>
          <w:szCs w:val="20"/>
        </w:rPr>
        <w:t xml:space="preserve"> </w:t>
      </w:r>
      <w:r w:rsidRPr="0088531E">
        <w:rPr>
          <w:rFonts w:cs="Arial"/>
          <w:szCs w:val="20"/>
        </w:rPr>
        <w:t xml:space="preserve">waste gas streams are susceptible to performance problems that may reduce VOC destruction efficiency below 98%. EPA seeks clarification on a few items </w:t>
      </w:r>
      <w:proofErr w:type="gramStart"/>
      <w:r w:rsidRPr="0088531E">
        <w:rPr>
          <w:rFonts w:cs="Arial"/>
          <w:szCs w:val="20"/>
        </w:rPr>
        <w:t>in an effort to</w:t>
      </w:r>
      <w:proofErr w:type="gramEnd"/>
      <w:r w:rsidRPr="0088531E">
        <w:rPr>
          <w:rFonts w:cs="Arial"/>
          <w:szCs w:val="20"/>
        </w:rPr>
        <w:t xml:space="preserve"> determine if the draft permit requires sufficient monitoring to ensure compliance with the stated 98% / 99% destruction efficiencies and the related lb/hr and TPY emission rates.</w:t>
      </w:r>
    </w:p>
    <w:p w14:paraId="43556365" w14:textId="77777777" w:rsidR="0095602A" w:rsidRDefault="0095602A" w:rsidP="0088531E">
      <w:pPr>
        <w:pStyle w:val="ListParagraph"/>
        <w:tabs>
          <w:tab w:val="left" w:pos="701"/>
        </w:tabs>
        <w:spacing w:line="252" w:lineRule="auto"/>
        <w:ind w:left="360" w:firstLine="0"/>
        <w:rPr>
          <w:rFonts w:ascii="Arial" w:hAnsi="Arial" w:cs="Arial"/>
          <w:b/>
          <w:sz w:val="20"/>
          <w:szCs w:val="20"/>
        </w:rPr>
      </w:pPr>
    </w:p>
    <w:p w14:paraId="16DE026B" w14:textId="1F92C189" w:rsidR="0095602A" w:rsidRDefault="00376A8B" w:rsidP="0088531E">
      <w:pPr>
        <w:pStyle w:val="ListParagraph"/>
        <w:tabs>
          <w:tab w:val="left" w:pos="701"/>
        </w:tabs>
        <w:spacing w:line="252" w:lineRule="auto"/>
        <w:ind w:left="0" w:firstLine="0"/>
        <w:rPr>
          <w:rFonts w:ascii="Arial" w:hAnsi="Arial" w:cs="Arial"/>
          <w:sz w:val="20"/>
          <w:szCs w:val="20"/>
        </w:rPr>
      </w:pPr>
      <w:r w:rsidRPr="00897EBE">
        <w:rPr>
          <w:rFonts w:ascii="Arial" w:hAnsi="Arial" w:cs="Arial"/>
          <w:sz w:val="20"/>
          <w:szCs w:val="20"/>
        </w:rPr>
        <w:t>Special Condition 9.A. through 9.E. of NSR permit PSDTX974/3219 imposes permit conditions on flares</w:t>
      </w:r>
      <w:r w:rsidRPr="0095602A">
        <w:rPr>
          <w:rFonts w:ascii="Arial" w:hAnsi="Arial" w:cs="Arial"/>
          <w:sz w:val="20"/>
          <w:szCs w:val="20"/>
        </w:rPr>
        <w:t xml:space="preserve"> covered by the NSR permit (OP-2 Elevated Flare, OP-3 Elevated Flare, and OP-3 Ground Flare). Condition 9.E. states, “In lieu of the monitoring requirements in Paragraph D of this condition, the flare may comply with the monitoring and testing requirements of 30 TAC §§ 115.725(d), effective December 23, 2004, as specified in 30 TAC Chapter 115 Subchapter H, Division 1”.</w:t>
      </w:r>
      <w:r w:rsidRPr="0095602A">
        <w:rPr>
          <w:rFonts w:ascii="Arial" w:hAnsi="Arial" w:cs="Arial"/>
          <w:spacing w:val="40"/>
          <w:sz w:val="20"/>
          <w:szCs w:val="20"/>
        </w:rPr>
        <w:t xml:space="preserve"> </w:t>
      </w:r>
      <w:r w:rsidRPr="0095602A">
        <w:rPr>
          <w:rFonts w:ascii="Arial" w:hAnsi="Arial" w:cs="Arial"/>
          <w:sz w:val="20"/>
          <w:szCs w:val="20"/>
        </w:rPr>
        <w:t>None</w:t>
      </w:r>
      <w:r w:rsidRPr="0095602A">
        <w:rPr>
          <w:rFonts w:ascii="Arial" w:hAnsi="Arial" w:cs="Arial"/>
          <w:spacing w:val="-1"/>
          <w:sz w:val="20"/>
          <w:szCs w:val="20"/>
        </w:rPr>
        <w:t xml:space="preserve"> </w:t>
      </w:r>
      <w:r w:rsidRPr="0095602A">
        <w:rPr>
          <w:rFonts w:ascii="Arial" w:hAnsi="Arial" w:cs="Arial"/>
          <w:sz w:val="20"/>
          <w:szCs w:val="20"/>
        </w:rPr>
        <w:t xml:space="preserve">of the conditions in Special Condition 9 contain any required monitoring </w:t>
      </w:r>
      <w:proofErr w:type="gramStart"/>
      <w:r w:rsidRPr="0095602A">
        <w:rPr>
          <w:rFonts w:ascii="Arial" w:hAnsi="Arial" w:cs="Arial"/>
          <w:sz w:val="20"/>
          <w:szCs w:val="20"/>
        </w:rPr>
        <w:t>for</w:t>
      </w:r>
      <w:r w:rsidRPr="0095602A">
        <w:rPr>
          <w:rFonts w:ascii="Arial" w:hAnsi="Arial" w:cs="Arial"/>
          <w:spacing w:val="-1"/>
          <w:sz w:val="20"/>
          <w:szCs w:val="20"/>
        </w:rPr>
        <w:t xml:space="preserve"> </w:t>
      </w:r>
      <w:r w:rsidRPr="0095602A">
        <w:rPr>
          <w:rFonts w:ascii="Arial" w:hAnsi="Arial" w:cs="Arial"/>
          <w:sz w:val="20"/>
          <w:szCs w:val="20"/>
        </w:rPr>
        <w:t>the amount of</w:t>
      </w:r>
      <w:proofErr w:type="gramEnd"/>
      <w:r w:rsidRPr="0095602A">
        <w:rPr>
          <w:rFonts w:ascii="Arial" w:hAnsi="Arial" w:cs="Arial"/>
          <w:sz w:val="20"/>
          <w:szCs w:val="20"/>
        </w:rPr>
        <w:t xml:space="preserve"> assist steam or air that is sent to the flares. Nor does the permit identify the minimum destruction efficiency required of the flares. Special Condition 6 refers to applications dated November 20, 2017</w:t>
      </w:r>
      <w:r w:rsidR="00CB5F91">
        <w:rPr>
          <w:rFonts w:ascii="Arial" w:hAnsi="Arial" w:cs="Arial"/>
          <w:sz w:val="20"/>
          <w:szCs w:val="20"/>
        </w:rPr>
        <w:t>,</w:t>
      </w:r>
      <w:r w:rsidRPr="0095602A">
        <w:rPr>
          <w:rFonts w:ascii="Arial" w:hAnsi="Arial" w:cs="Arial"/>
          <w:sz w:val="20"/>
          <w:szCs w:val="20"/>
        </w:rPr>
        <w:t xml:space="preserve"> and July 19, 2018</w:t>
      </w:r>
      <w:r w:rsidR="00CB5F91">
        <w:rPr>
          <w:rFonts w:ascii="Arial" w:hAnsi="Arial" w:cs="Arial"/>
          <w:sz w:val="20"/>
          <w:szCs w:val="20"/>
        </w:rPr>
        <w:t>,</w:t>
      </w:r>
      <w:r w:rsidRPr="0095602A">
        <w:rPr>
          <w:rFonts w:ascii="Arial" w:hAnsi="Arial" w:cs="Arial"/>
          <w:sz w:val="20"/>
          <w:szCs w:val="20"/>
        </w:rPr>
        <w:t xml:space="preserve"> for documentation on how the emission limits were established. The Application dated November 20, 2017</w:t>
      </w:r>
      <w:r w:rsidR="00CB5F91">
        <w:rPr>
          <w:rFonts w:ascii="Arial" w:hAnsi="Arial" w:cs="Arial"/>
          <w:sz w:val="20"/>
          <w:szCs w:val="20"/>
        </w:rPr>
        <w:t>,</w:t>
      </w:r>
      <w:r w:rsidRPr="0095602A">
        <w:rPr>
          <w:rFonts w:ascii="Arial" w:hAnsi="Arial" w:cs="Arial"/>
          <w:sz w:val="20"/>
          <w:szCs w:val="20"/>
        </w:rPr>
        <w:t xml:space="preserve"> identifies a destruction/removal efficiency (DRE)</w:t>
      </w:r>
      <w:r w:rsidRPr="0095602A">
        <w:rPr>
          <w:rFonts w:ascii="Arial" w:hAnsi="Arial" w:cs="Arial"/>
          <w:spacing w:val="-4"/>
          <w:sz w:val="20"/>
          <w:szCs w:val="20"/>
        </w:rPr>
        <w:t xml:space="preserve"> </w:t>
      </w:r>
      <w:r w:rsidRPr="0095602A">
        <w:rPr>
          <w:rFonts w:ascii="Arial" w:hAnsi="Arial" w:cs="Arial"/>
          <w:sz w:val="20"/>
          <w:szCs w:val="20"/>
        </w:rPr>
        <w:t>of</w:t>
      </w:r>
      <w:r w:rsidRPr="0095602A">
        <w:rPr>
          <w:rFonts w:ascii="Arial" w:hAnsi="Arial" w:cs="Arial"/>
          <w:spacing w:val="-3"/>
          <w:sz w:val="20"/>
          <w:szCs w:val="20"/>
        </w:rPr>
        <w:t xml:space="preserve"> </w:t>
      </w:r>
      <w:r w:rsidRPr="0095602A">
        <w:rPr>
          <w:rFonts w:ascii="Arial" w:hAnsi="Arial" w:cs="Arial"/>
          <w:sz w:val="20"/>
          <w:szCs w:val="20"/>
        </w:rPr>
        <w:t>98%/99%</w:t>
      </w:r>
      <w:r w:rsidRPr="0095602A">
        <w:rPr>
          <w:rFonts w:ascii="Arial" w:hAnsi="Arial" w:cs="Arial"/>
          <w:spacing w:val="-2"/>
          <w:sz w:val="20"/>
          <w:szCs w:val="20"/>
        </w:rPr>
        <w:t xml:space="preserve"> </w:t>
      </w:r>
      <w:r w:rsidRPr="0095602A">
        <w:rPr>
          <w:rFonts w:ascii="Arial" w:hAnsi="Arial" w:cs="Arial"/>
          <w:sz w:val="20"/>
          <w:szCs w:val="20"/>
        </w:rPr>
        <w:t>for</w:t>
      </w:r>
      <w:r w:rsidRPr="0095602A">
        <w:rPr>
          <w:rFonts w:ascii="Arial" w:hAnsi="Arial" w:cs="Arial"/>
          <w:spacing w:val="-5"/>
          <w:sz w:val="20"/>
          <w:szCs w:val="20"/>
        </w:rPr>
        <w:t xml:space="preserve"> </w:t>
      </w:r>
      <w:r w:rsidRPr="0095602A">
        <w:rPr>
          <w:rFonts w:ascii="Arial" w:hAnsi="Arial" w:cs="Arial"/>
          <w:sz w:val="20"/>
          <w:szCs w:val="20"/>
        </w:rPr>
        <w:t>the</w:t>
      </w:r>
      <w:r w:rsidRPr="0095602A">
        <w:rPr>
          <w:rFonts w:ascii="Arial" w:hAnsi="Arial" w:cs="Arial"/>
          <w:spacing w:val="-4"/>
          <w:sz w:val="20"/>
          <w:szCs w:val="20"/>
        </w:rPr>
        <w:t xml:space="preserve"> </w:t>
      </w:r>
      <w:r w:rsidRPr="0095602A">
        <w:rPr>
          <w:rFonts w:ascii="Arial" w:hAnsi="Arial" w:cs="Arial"/>
          <w:sz w:val="20"/>
          <w:szCs w:val="20"/>
        </w:rPr>
        <w:t>ground</w:t>
      </w:r>
      <w:r w:rsidRPr="0095602A">
        <w:rPr>
          <w:rFonts w:ascii="Arial" w:hAnsi="Arial" w:cs="Arial"/>
          <w:spacing w:val="-3"/>
          <w:sz w:val="20"/>
          <w:szCs w:val="20"/>
        </w:rPr>
        <w:t xml:space="preserve"> </w:t>
      </w:r>
      <w:r w:rsidRPr="0095602A">
        <w:rPr>
          <w:rFonts w:ascii="Arial" w:hAnsi="Arial" w:cs="Arial"/>
          <w:sz w:val="20"/>
          <w:szCs w:val="20"/>
        </w:rPr>
        <w:t>flare. Is</w:t>
      </w:r>
      <w:r w:rsidRPr="0095602A">
        <w:rPr>
          <w:rFonts w:ascii="Arial" w:hAnsi="Arial" w:cs="Arial"/>
          <w:spacing w:val="-3"/>
          <w:sz w:val="20"/>
          <w:szCs w:val="20"/>
        </w:rPr>
        <w:t xml:space="preserve"> </w:t>
      </w:r>
      <w:r w:rsidRPr="0095602A">
        <w:rPr>
          <w:rFonts w:ascii="Arial" w:hAnsi="Arial" w:cs="Arial"/>
          <w:sz w:val="20"/>
          <w:szCs w:val="20"/>
        </w:rPr>
        <w:t>the</w:t>
      </w:r>
      <w:r w:rsidRPr="0095602A">
        <w:rPr>
          <w:rFonts w:ascii="Arial" w:hAnsi="Arial" w:cs="Arial"/>
          <w:spacing w:val="-3"/>
          <w:sz w:val="20"/>
          <w:szCs w:val="20"/>
        </w:rPr>
        <w:t xml:space="preserve"> </w:t>
      </w:r>
      <w:r w:rsidRPr="0095602A">
        <w:rPr>
          <w:rFonts w:ascii="Arial" w:hAnsi="Arial" w:cs="Arial"/>
          <w:sz w:val="20"/>
          <w:szCs w:val="20"/>
        </w:rPr>
        <w:t>99%</w:t>
      </w:r>
      <w:r w:rsidRPr="0095602A">
        <w:rPr>
          <w:rFonts w:ascii="Arial" w:hAnsi="Arial" w:cs="Arial"/>
          <w:spacing w:val="-4"/>
          <w:sz w:val="20"/>
          <w:szCs w:val="20"/>
        </w:rPr>
        <w:t xml:space="preserve"> </w:t>
      </w:r>
      <w:r w:rsidRPr="0095602A">
        <w:rPr>
          <w:rFonts w:ascii="Arial" w:hAnsi="Arial" w:cs="Arial"/>
          <w:sz w:val="20"/>
          <w:szCs w:val="20"/>
        </w:rPr>
        <w:t>DRE</w:t>
      </w:r>
      <w:r w:rsidRPr="0095602A">
        <w:rPr>
          <w:rFonts w:ascii="Arial" w:hAnsi="Arial" w:cs="Arial"/>
          <w:spacing w:val="-3"/>
          <w:sz w:val="20"/>
          <w:szCs w:val="20"/>
        </w:rPr>
        <w:t xml:space="preserve"> </w:t>
      </w:r>
      <w:r w:rsidRPr="0095602A">
        <w:rPr>
          <w:rFonts w:ascii="Arial" w:hAnsi="Arial" w:cs="Arial"/>
          <w:sz w:val="20"/>
          <w:szCs w:val="20"/>
        </w:rPr>
        <w:t>for</w:t>
      </w:r>
      <w:r w:rsidRPr="0095602A">
        <w:rPr>
          <w:rFonts w:ascii="Arial" w:hAnsi="Arial" w:cs="Arial"/>
          <w:spacing w:val="-3"/>
          <w:sz w:val="20"/>
          <w:szCs w:val="20"/>
        </w:rPr>
        <w:t xml:space="preserve"> </w:t>
      </w:r>
      <w:r w:rsidRPr="0095602A">
        <w:rPr>
          <w:rFonts w:ascii="Arial" w:hAnsi="Arial" w:cs="Arial"/>
          <w:sz w:val="20"/>
          <w:szCs w:val="20"/>
        </w:rPr>
        <w:t>compounds</w:t>
      </w:r>
      <w:r w:rsidRPr="0095602A">
        <w:rPr>
          <w:rFonts w:ascii="Arial" w:hAnsi="Arial" w:cs="Arial"/>
          <w:spacing w:val="-3"/>
          <w:sz w:val="20"/>
          <w:szCs w:val="20"/>
        </w:rPr>
        <w:t xml:space="preserve"> </w:t>
      </w:r>
      <w:r w:rsidRPr="0095602A">
        <w:rPr>
          <w:rFonts w:ascii="Arial" w:hAnsi="Arial" w:cs="Arial"/>
          <w:sz w:val="20"/>
          <w:szCs w:val="20"/>
        </w:rPr>
        <w:t>containing</w:t>
      </w:r>
      <w:r w:rsidRPr="0095602A">
        <w:rPr>
          <w:rFonts w:ascii="Arial" w:hAnsi="Arial" w:cs="Arial"/>
          <w:spacing w:val="-3"/>
          <w:sz w:val="20"/>
          <w:szCs w:val="20"/>
        </w:rPr>
        <w:t xml:space="preserve"> </w:t>
      </w:r>
      <w:r w:rsidRPr="0095602A">
        <w:rPr>
          <w:rFonts w:ascii="Arial" w:hAnsi="Arial" w:cs="Arial"/>
          <w:sz w:val="20"/>
          <w:szCs w:val="20"/>
        </w:rPr>
        <w:t>no</w:t>
      </w:r>
      <w:r w:rsidRPr="0095602A">
        <w:rPr>
          <w:rFonts w:ascii="Arial" w:hAnsi="Arial" w:cs="Arial"/>
          <w:spacing w:val="-3"/>
          <w:sz w:val="20"/>
          <w:szCs w:val="20"/>
        </w:rPr>
        <w:t xml:space="preserve"> </w:t>
      </w:r>
      <w:r w:rsidRPr="0095602A">
        <w:rPr>
          <w:rFonts w:ascii="Arial" w:hAnsi="Arial" w:cs="Arial"/>
          <w:sz w:val="20"/>
          <w:szCs w:val="20"/>
        </w:rPr>
        <w:t>more</w:t>
      </w:r>
      <w:r w:rsidRPr="0095602A">
        <w:rPr>
          <w:rFonts w:ascii="Arial" w:hAnsi="Arial" w:cs="Arial"/>
          <w:spacing w:val="-5"/>
          <w:sz w:val="20"/>
          <w:szCs w:val="20"/>
        </w:rPr>
        <w:t xml:space="preserve"> </w:t>
      </w:r>
      <w:r w:rsidRPr="0095602A">
        <w:rPr>
          <w:rFonts w:ascii="Arial" w:hAnsi="Arial" w:cs="Arial"/>
          <w:sz w:val="20"/>
          <w:szCs w:val="20"/>
        </w:rPr>
        <w:t>than</w:t>
      </w:r>
      <w:r w:rsidRPr="0095602A">
        <w:rPr>
          <w:rFonts w:ascii="Arial" w:hAnsi="Arial" w:cs="Arial"/>
          <w:spacing w:val="-3"/>
          <w:sz w:val="20"/>
          <w:szCs w:val="20"/>
        </w:rPr>
        <w:t xml:space="preserve"> </w:t>
      </w:r>
      <w:r w:rsidRPr="0095602A">
        <w:rPr>
          <w:rFonts w:ascii="Arial" w:hAnsi="Arial" w:cs="Arial"/>
          <w:sz w:val="20"/>
          <w:szCs w:val="20"/>
        </w:rPr>
        <w:t>3 carbons and the 98% DRE for all other compounds per TCEQ Tier 1 BACT? Neither application reference contained a destruction efficiency for the elevated flares. Can TCEQ provide additional details that identify what the destruction efficiency is for each flare and show the conditions in permit PSDTX974 that ensure compliance with the specified destruction efficiency of each flare?</w:t>
      </w:r>
    </w:p>
    <w:p w14:paraId="13E292FF" w14:textId="77777777" w:rsidR="0095602A" w:rsidRDefault="0095602A" w:rsidP="0088531E">
      <w:pPr>
        <w:pStyle w:val="ListParagraph"/>
        <w:tabs>
          <w:tab w:val="left" w:pos="701"/>
        </w:tabs>
        <w:spacing w:line="252" w:lineRule="auto"/>
        <w:ind w:left="360" w:firstLine="0"/>
        <w:rPr>
          <w:rFonts w:ascii="Arial" w:hAnsi="Arial" w:cs="Arial"/>
          <w:sz w:val="20"/>
          <w:szCs w:val="20"/>
        </w:rPr>
      </w:pPr>
    </w:p>
    <w:p w14:paraId="3D44428B" w14:textId="17C575E4" w:rsidR="00376A8B" w:rsidRPr="002B6875" w:rsidRDefault="00376A8B" w:rsidP="0088531E">
      <w:pPr>
        <w:pStyle w:val="ListParagraph"/>
        <w:tabs>
          <w:tab w:val="left" w:pos="701"/>
        </w:tabs>
        <w:spacing w:line="252" w:lineRule="auto"/>
        <w:ind w:left="0" w:firstLine="0"/>
        <w:rPr>
          <w:rFonts w:ascii="Arial" w:hAnsi="Arial" w:cs="Arial"/>
          <w:sz w:val="20"/>
          <w:szCs w:val="20"/>
        </w:rPr>
      </w:pPr>
      <w:r w:rsidRPr="00897EBE">
        <w:rPr>
          <w:rFonts w:ascii="Arial" w:hAnsi="Arial" w:cs="Arial"/>
          <w:sz w:val="20"/>
          <w:szCs w:val="20"/>
        </w:rPr>
        <w:t>Special Conditions 14 and 15 of NSR permit 3179</w:t>
      </w:r>
      <w:r w:rsidRPr="002B6875">
        <w:rPr>
          <w:rFonts w:ascii="Arial" w:hAnsi="Arial" w:cs="Arial"/>
          <w:sz w:val="20"/>
          <w:szCs w:val="20"/>
        </w:rPr>
        <w:t xml:space="preserve"> contains requirements for the HIPA Flare (EPN A1333). This flare is steam assisted according to </w:t>
      </w:r>
      <w:r w:rsidRPr="00897EBE">
        <w:rPr>
          <w:rFonts w:ascii="Arial" w:hAnsi="Arial" w:cs="Arial"/>
          <w:sz w:val="20"/>
          <w:szCs w:val="20"/>
        </w:rPr>
        <w:t>condition 14.C. The permit does not specify a destruction efficiency for the flare. Can TCEQ provide additional details that identify what the destruction</w:t>
      </w:r>
      <w:r w:rsidRPr="00897EBE">
        <w:rPr>
          <w:rFonts w:ascii="Arial" w:hAnsi="Arial" w:cs="Arial"/>
          <w:spacing w:val="-1"/>
          <w:sz w:val="20"/>
          <w:szCs w:val="20"/>
        </w:rPr>
        <w:t xml:space="preserve"> </w:t>
      </w:r>
      <w:r w:rsidRPr="00897EBE">
        <w:rPr>
          <w:rFonts w:ascii="Arial" w:hAnsi="Arial" w:cs="Arial"/>
          <w:sz w:val="20"/>
          <w:szCs w:val="20"/>
        </w:rPr>
        <w:t>efficiency</w:t>
      </w:r>
      <w:r w:rsidRPr="00897EBE">
        <w:rPr>
          <w:rFonts w:ascii="Arial" w:hAnsi="Arial" w:cs="Arial"/>
          <w:spacing w:val="-1"/>
          <w:sz w:val="20"/>
          <w:szCs w:val="20"/>
        </w:rPr>
        <w:t xml:space="preserve"> </w:t>
      </w:r>
      <w:r w:rsidRPr="00897EBE">
        <w:rPr>
          <w:rFonts w:ascii="Arial" w:hAnsi="Arial" w:cs="Arial"/>
          <w:sz w:val="20"/>
          <w:szCs w:val="20"/>
        </w:rPr>
        <w:t>is</w:t>
      </w:r>
      <w:r w:rsidRPr="00897EBE">
        <w:rPr>
          <w:rFonts w:ascii="Arial" w:hAnsi="Arial" w:cs="Arial"/>
          <w:spacing w:val="-1"/>
          <w:sz w:val="20"/>
          <w:szCs w:val="20"/>
        </w:rPr>
        <w:t xml:space="preserve"> </w:t>
      </w:r>
      <w:r w:rsidRPr="00897EBE">
        <w:rPr>
          <w:rFonts w:ascii="Arial" w:hAnsi="Arial" w:cs="Arial"/>
          <w:sz w:val="20"/>
          <w:szCs w:val="20"/>
        </w:rPr>
        <w:t>for</w:t>
      </w:r>
      <w:r w:rsidRPr="00897EBE">
        <w:rPr>
          <w:rFonts w:ascii="Arial" w:hAnsi="Arial" w:cs="Arial"/>
          <w:spacing w:val="-1"/>
          <w:sz w:val="20"/>
          <w:szCs w:val="20"/>
        </w:rPr>
        <w:t xml:space="preserve"> </w:t>
      </w:r>
      <w:r w:rsidRPr="00897EBE">
        <w:rPr>
          <w:rFonts w:ascii="Arial" w:hAnsi="Arial" w:cs="Arial"/>
          <w:sz w:val="20"/>
          <w:szCs w:val="20"/>
        </w:rPr>
        <w:t>the</w:t>
      </w:r>
      <w:r w:rsidRPr="00897EBE">
        <w:rPr>
          <w:rFonts w:ascii="Arial" w:hAnsi="Arial" w:cs="Arial"/>
          <w:spacing w:val="-3"/>
          <w:sz w:val="20"/>
          <w:szCs w:val="20"/>
        </w:rPr>
        <w:t xml:space="preserve"> </w:t>
      </w:r>
      <w:r w:rsidRPr="00897EBE">
        <w:rPr>
          <w:rFonts w:ascii="Arial" w:hAnsi="Arial" w:cs="Arial"/>
          <w:sz w:val="20"/>
          <w:szCs w:val="20"/>
        </w:rPr>
        <w:t>flare</w:t>
      </w:r>
      <w:r w:rsidRPr="00897EBE">
        <w:rPr>
          <w:rFonts w:ascii="Arial" w:hAnsi="Arial" w:cs="Arial"/>
          <w:spacing w:val="-2"/>
          <w:sz w:val="20"/>
          <w:szCs w:val="20"/>
        </w:rPr>
        <w:t xml:space="preserve"> </w:t>
      </w:r>
      <w:r w:rsidRPr="00897EBE">
        <w:rPr>
          <w:rFonts w:ascii="Arial" w:hAnsi="Arial" w:cs="Arial"/>
          <w:sz w:val="20"/>
          <w:szCs w:val="20"/>
        </w:rPr>
        <w:t>and show</w:t>
      </w:r>
      <w:r w:rsidRPr="00897EBE">
        <w:rPr>
          <w:rFonts w:ascii="Arial" w:hAnsi="Arial" w:cs="Arial"/>
          <w:spacing w:val="-1"/>
          <w:sz w:val="20"/>
          <w:szCs w:val="20"/>
        </w:rPr>
        <w:t xml:space="preserve"> </w:t>
      </w:r>
      <w:r w:rsidRPr="00897EBE">
        <w:rPr>
          <w:rFonts w:ascii="Arial" w:hAnsi="Arial" w:cs="Arial"/>
          <w:sz w:val="20"/>
          <w:szCs w:val="20"/>
        </w:rPr>
        <w:t>the conditions</w:t>
      </w:r>
      <w:r w:rsidRPr="00897EBE">
        <w:rPr>
          <w:rFonts w:ascii="Arial" w:hAnsi="Arial" w:cs="Arial"/>
          <w:spacing w:val="-1"/>
          <w:sz w:val="20"/>
          <w:szCs w:val="20"/>
        </w:rPr>
        <w:t xml:space="preserve"> </w:t>
      </w:r>
      <w:r w:rsidRPr="00897EBE">
        <w:rPr>
          <w:rFonts w:ascii="Arial" w:hAnsi="Arial" w:cs="Arial"/>
          <w:sz w:val="20"/>
          <w:szCs w:val="20"/>
        </w:rPr>
        <w:t>in</w:t>
      </w:r>
      <w:r w:rsidRPr="00897EBE">
        <w:rPr>
          <w:rFonts w:ascii="Arial" w:hAnsi="Arial" w:cs="Arial"/>
          <w:spacing w:val="-1"/>
          <w:sz w:val="20"/>
          <w:szCs w:val="20"/>
        </w:rPr>
        <w:t xml:space="preserve"> </w:t>
      </w:r>
      <w:r w:rsidRPr="00897EBE">
        <w:rPr>
          <w:rFonts w:ascii="Arial" w:hAnsi="Arial" w:cs="Arial"/>
          <w:sz w:val="20"/>
          <w:szCs w:val="20"/>
        </w:rPr>
        <w:t>permit</w:t>
      </w:r>
      <w:r w:rsidRPr="00897EBE">
        <w:rPr>
          <w:rFonts w:ascii="Arial" w:hAnsi="Arial" w:cs="Arial"/>
          <w:spacing w:val="-1"/>
          <w:sz w:val="20"/>
          <w:szCs w:val="20"/>
        </w:rPr>
        <w:t xml:space="preserve"> </w:t>
      </w:r>
      <w:r w:rsidRPr="00897EBE">
        <w:rPr>
          <w:rFonts w:ascii="Arial" w:hAnsi="Arial" w:cs="Arial"/>
          <w:sz w:val="20"/>
          <w:szCs w:val="20"/>
        </w:rPr>
        <w:t>3179 that</w:t>
      </w:r>
      <w:r w:rsidRPr="00897EBE">
        <w:rPr>
          <w:rFonts w:ascii="Arial" w:hAnsi="Arial" w:cs="Arial"/>
          <w:spacing w:val="-1"/>
          <w:sz w:val="20"/>
          <w:szCs w:val="20"/>
        </w:rPr>
        <w:t xml:space="preserve"> </w:t>
      </w:r>
      <w:r w:rsidRPr="00897EBE">
        <w:rPr>
          <w:rFonts w:ascii="Arial" w:hAnsi="Arial" w:cs="Arial"/>
          <w:sz w:val="20"/>
          <w:szCs w:val="20"/>
        </w:rPr>
        <w:t>ensure</w:t>
      </w:r>
      <w:r w:rsidRPr="00897EBE">
        <w:rPr>
          <w:rFonts w:ascii="Arial" w:hAnsi="Arial" w:cs="Arial"/>
          <w:spacing w:val="-3"/>
          <w:sz w:val="20"/>
          <w:szCs w:val="20"/>
        </w:rPr>
        <w:t xml:space="preserve"> </w:t>
      </w:r>
      <w:r w:rsidRPr="00897EBE">
        <w:rPr>
          <w:rFonts w:ascii="Arial" w:hAnsi="Arial" w:cs="Arial"/>
          <w:sz w:val="20"/>
          <w:szCs w:val="20"/>
        </w:rPr>
        <w:t>compliance with the specified destruction efficiency of the flare?</w:t>
      </w:r>
      <w:r w:rsidRPr="002B6875">
        <w:rPr>
          <w:rFonts w:ascii="Arial" w:hAnsi="Arial" w:cs="Arial"/>
          <w:sz w:val="20"/>
          <w:szCs w:val="20"/>
        </w:rPr>
        <w:t xml:space="preserve"> It is important that the NSR permits contain adequate monitoring to </w:t>
      </w:r>
      <w:r w:rsidRPr="002B6875">
        <w:rPr>
          <w:rFonts w:ascii="Arial" w:hAnsi="Arial" w:cs="Arial"/>
          <w:sz w:val="20"/>
          <w:szCs w:val="20"/>
        </w:rPr>
        <w:lastRenderedPageBreak/>
        <w:t>ensure compliance with any VOC emission limits specified by TCEQ in the permit</w:t>
      </w:r>
      <w:r w:rsidRPr="002B6875">
        <w:rPr>
          <w:rFonts w:ascii="Arial" w:hAnsi="Arial" w:cs="Arial"/>
          <w:spacing w:val="-3"/>
          <w:sz w:val="20"/>
          <w:szCs w:val="20"/>
        </w:rPr>
        <w:t xml:space="preserve"> </w:t>
      </w:r>
      <w:r w:rsidRPr="002B6875">
        <w:rPr>
          <w:rFonts w:ascii="Arial" w:hAnsi="Arial" w:cs="Arial"/>
          <w:sz w:val="20"/>
          <w:szCs w:val="20"/>
        </w:rPr>
        <w:t>on</w:t>
      </w:r>
      <w:r w:rsidRPr="002B6875">
        <w:rPr>
          <w:rFonts w:ascii="Arial" w:hAnsi="Arial" w:cs="Arial"/>
          <w:spacing w:val="-3"/>
          <w:sz w:val="20"/>
          <w:szCs w:val="20"/>
        </w:rPr>
        <w:t xml:space="preserve"> </w:t>
      </w:r>
      <w:r w:rsidRPr="002B6875">
        <w:rPr>
          <w:rFonts w:ascii="Arial" w:hAnsi="Arial" w:cs="Arial"/>
          <w:sz w:val="20"/>
          <w:szCs w:val="20"/>
        </w:rPr>
        <w:t>both</w:t>
      </w:r>
      <w:r w:rsidRPr="002B6875">
        <w:rPr>
          <w:rFonts w:ascii="Arial" w:hAnsi="Arial" w:cs="Arial"/>
          <w:spacing w:val="-3"/>
          <w:sz w:val="20"/>
          <w:szCs w:val="20"/>
        </w:rPr>
        <w:t xml:space="preserve"> </w:t>
      </w:r>
      <w:r w:rsidRPr="002B6875">
        <w:rPr>
          <w:rFonts w:ascii="Arial" w:hAnsi="Arial" w:cs="Arial"/>
          <w:sz w:val="20"/>
          <w:szCs w:val="20"/>
        </w:rPr>
        <w:t>a</w:t>
      </w:r>
      <w:r w:rsidRPr="002B6875">
        <w:rPr>
          <w:rFonts w:ascii="Arial" w:hAnsi="Arial" w:cs="Arial"/>
          <w:spacing w:val="-4"/>
          <w:sz w:val="20"/>
          <w:szCs w:val="20"/>
        </w:rPr>
        <w:t xml:space="preserve"> </w:t>
      </w:r>
      <w:r w:rsidRPr="002B6875">
        <w:rPr>
          <w:rFonts w:ascii="Arial" w:hAnsi="Arial" w:cs="Arial"/>
          <w:sz w:val="20"/>
          <w:szCs w:val="20"/>
        </w:rPr>
        <w:t>short</w:t>
      </w:r>
      <w:r w:rsidRPr="002B6875">
        <w:rPr>
          <w:rFonts w:ascii="Arial" w:hAnsi="Arial" w:cs="Arial"/>
          <w:spacing w:val="-3"/>
          <w:sz w:val="20"/>
          <w:szCs w:val="20"/>
        </w:rPr>
        <w:t xml:space="preserve"> </w:t>
      </w:r>
      <w:r w:rsidRPr="002B6875">
        <w:rPr>
          <w:rFonts w:ascii="Arial" w:hAnsi="Arial" w:cs="Arial"/>
          <w:sz w:val="20"/>
          <w:szCs w:val="20"/>
        </w:rPr>
        <w:t>term</w:t>
      </w:r>
      <w:r w:rsidRPr="002B6875">
        <w:rPr>
          <w:rFonts w:ascii="Arial" w:hAnsi="Arial" w:cs="Arial"/>
          <w:spacing w:val="-3"/>
          <w:sz w:val="20"/>
          <w:szCs w:val="20"/>
        </w:rPr>
        <w:t xml:space="preserve"> </w:t>
      </w:r>
      <w:r w:rsidRPr="002B6875">
        <w:rPr>
          <w:rFonts w:ascii="Arial" w:hAnsi="Arial" w:cs="Arial"/>
          <w:sz w:val="20"/>
          <w:szCs w:val="20"/>
        </w:rPr>
        <w:t>and</w:t>
      </w:r>
      <w:r w:rsidRPr="002B6875">
        <w:rPr>
          <w:rFonts w:ascii="Arial" w:hAnsi="Arial" w:cs="Arial"/>
          <w:spacing w:val="-3"/>
          <w:sz w:val="20"/>
          <w:szCs w:val="20"/>
        </w:rPr>
        <w:t xml:space="preserve"> </w:t>
      </w:r>
      <w:r w:rsidRPr="002B6875">
        <w:rPr>
          <w:rFonts w:ascii="Arial" w:hAnsi="Arial" w:cs="Arial"/>
          <w:sz w:val="20"/>
          <w:szCs w:val="20"/>
        </w:rPr>
        <w:t>long</w:t>
      </w:r>
      <w:r w:rsidR="00CB5F91">
        <w:rPr>
          <w:rFonts w:ascii="Arial" w:hAnsi="Arial" w:cs="Arial"/>
          <w:sz w:val="20"/>
          <w:szCs w:val="20"/>
        </w:rPr>
        <w:t>-</w:t>
      </w:r>
      <w:r w:rsidRPr="002B6875">
        <w:rPr>
          <w:rFonts w:ascii="Arial" w:hAnsi="Arial" w:cs="Arial"/>
          <w:sz w:val="20"/>
          <w:szCs w:val="20"/>
        </w:rPr>
        <w:t>term</w:t>
      </w:r>
      <w:r w:rsidRPr="002B6875">
        <w:rPr>
          <w:rFonts w:ascii="Arial" w:hAnsi="Arial" w:cs="Arial"/>
          <w:spacing w:val="-2"/>
          <w:sz w:val="20"/>
          <w:szCs w:val="20"/>
        </w:rPr>
        <w:t xml:space="preserve"> </w:t>
      </w:r>
      <w:r w:rsidRPr="002B6875">
        <w:rPr>
          <w:rFonts w:ascii="Arial" w:hAnsi="Arial" w:cs="Arial"/>
          <w:sz w:val="20"/>
          <w:szCs w:val="20"/>
        </w:rPr>
        <w:t>basis</w:t>
      </w:r>
      <w:r w:rsidRPr="002B6875">
        <w:rPr>
          <w:rFonts w:ascii="Arial" w:hAnsi="Arial" w:cs="Arial"/>
          <w:spacing w:val="-2"/>
          <w:sz w:val="20"/>
          <w:szCs w:val="20"/>
        </w:rPr>
        <w:t xml:space="preserve"> </w:t>
      </w:r>
      <w:r w:rsidRPr="002B6875">
        <w:rPr>
          <w:rFonts w:ascii="Arial" w:hAnsi="Arial" w:cs="Arial"/>
          <w:sz w:val="20"/>
          <w:szCs w:val="20"/>
        </w:rPr>
        <w:t>to</w:t>
      </w:r>
      <w:r w:rsidRPr="002B6875">
        <w:rPr>
          <w:rFonts w:ascii="Arial" w:hAnsi="Arial" w:cs="Arial"/>
          <w:spacing w:val="-3"/>
          <w:sz w:val="20"/>
          <w:szCs w:val="20"/>
        </w:rPr>
        <w:t xml:space="preserve"> </w:t>
      </w:r>
      <w:r w:rsidRPr="002B6875">
        <w:rPr>
          <w:rFonts w:ascii="Arial" w:hAnsi="Arial" w:cs="Arial"/>
          <w:sz w:val="20"/>
          <w:szCs w:val="20"/>
        </w:rPr>
        <w:t>be</w:t>
      </w:r>
      <w:r w:rsidRPr="002B6875">
        <w:rPr>
          <w:rFonts w:ascii="Arial" w:hAnsi="Arial" w:cs="Arial"/>
          <w:spacing w:val="-3"/>
          <w:sz w:val="20"/>
          <w:szCs w:val="20"/>
        </w:rPr>
        <w:t xml:space="preserve"> </w:t>
      </w:r>
      <w:r w:rsidRPr="002B6875">
        <w:rPr>
          <w:rFonts w:ascii="Arial" w:hAnsi="Arial" w:cs="Arial"/>
          <w:sz w:val="20"/>
          <w:szCs w:val="20"/>
        </w:rPr>
        <w:t>practically</w:t>
      </w:r>
      <w:r w:rsidRPr="002B6875">
        <w:rPr>
          <w:rFonts w:ascii="Arial" w:hAnsi="Arial" w:cs="Arial"/>
          <w:spacing w:val="-3"/>
          <w:sz w:val="20"/>
          <w:szCs w:val="20"/>
        </w:rPr>
        <w:t xml:space="preserve"> </w:t>
      </w:r>
      <w:r w:rsidRPr="002B6875">
        <w:rPr>
          <w:rFonts w:ascii="Arial" w:hAnsi="Arial" w:cs="Arial"/>
          <w:sz w:val="20"/>
          <w:szCs w:val="20"/>
        </w:rPr>
        <w:t>enforceable.</w:t>
      </w:r>
      <w:r w:rsidRPr="002B6875">
        <w:rPr>
          <w:rFonts w:ascii="Arial" w:hAnsi="Arial" w:cs="Arial"/>
          <w:spacing w:val="-3"/>
          <w:sz w:val="20"/>
          <w:szCs w:val="20"/>
        </w:rPr>
        <w:t xml:space="preserve"> </w:t>
      </w:r>
      <w:r w:rsidRPr="002B6875">
        <w:rPr>
          <w:rFonts w:ascii="Arial" w:hAnsi="Arial" w:cs="Arial"/>
          <w:sz w:val="20"/>
          <w:szCs w:val="20"/>
        </w:rPr>
        <w:t>Where</w:t>
      </w:r>
      <w:r w:rsidRPr="002B6875">
        <w:rPr>
          <w:rFonts w:ascii="Arial" w:hAnsi="Arial" w:cs="Arial"/>
          <w:spacing w:val="-4"/>
          <w:sz w:val="20"/>
          <w:szCs w:val="20"/>
        </w:rPr>
        <w:t xml:space="preserve"> </w:t>
      </w:r>
      <w:r w:rsidRPr="002B6875">
        <w:rPr>
          <w:rFonts w:ascii="Arial" w:hAnsi="Arial" w:cs="Arial"/>
          <w:sz w:val="20"/>
          <w:szCs w:val="20"/>
        </w:rPr>
        <w:t>the</w:t>
      </w:r>
      <w:r w:rsidRPr="002B6875">
        <w:rPr>
          <w:rFonts w:ascii="Arial" w:hAnsi="Arial" w:cs="Arial"/>
          <w:spacing w:val="-3"/>
          <w:sz w:val="20"/>
          <w:szCs w:val="20"/>
        </w:rPr>
        <w:t xml:space="preserve"> </w:t>
      </w:r>
      <w:r w:rsidRPr="002B6875">
        <w:rPr>
          <w:rFonts w:ascii="Arial" w:hAnsi="Arial" w:cs="Arial"/>
          <w:sz w:val="20"/>
          <w:szCs w:val="20"/>
        </w:rPr>
        <w:t>NSR</w:t>
      </w:r>
      <w:r w:rsidRPr="002B6875">
        <w:rPr>
          <w:rFonts w:ascii="Arial" w:hAnsi="Arial" w:cs="Arial"/>
          <w:spacing w:val="-3"/>
          <w:sz w:val="20"/>
          <w:szCs w:val="20"/>
        </w:rPr>
        <w:t xml:space="preserve"> </w:t>
      </w:r>
      <w:r w:rsidRPr="002B6875">
        <w:rPr>
          <w:rFonts w:ascii="Arial" w:hAnsi="Arial" w:cs="Arial"/>
          <w:sz w:val="20"/>
          <w:szCs w:val="20"/>
        </w:rPr>
        <w:t>permit does not contain adequate monitoring, it is important that the title V permit fill the gap by requiring any needed monitoring, recordkeeping, and reporting to assure compliance,</w:t>
      </w:r>
    </w:p>
    <w:p w14:paraId="7D7D97C7" w14:textId="6DB7EBD7" w:rsidR="00376A8B" w:rsidRPr="002B6875" w:rsidRDefault="00376A8B" w:rsidP="0088531E">
      <w:pPr>
        <w:rPr>
          <w:rStyle w:val="Strong"/>
          <w:rFonts w:cs="Arial"/>
          <w:szCs w:val="20"/>
        </w:rPr>
      </w:pPr>
    </w:p>
    <w:p w14:paraId="11EC3280" w14:textId="36D91107" w:rsidR="00376A8B" w:rsidRPr="000F6AD6" w:rsidRDefault="00376A8B" w:rsidP="0095602A">
      <w:pPr>
        <w:rPr>
          <w:rFonts w:ascii="Calibri" w:hAnsi="Calibri"/>
          <w:color w:val="00B050"/>
          <w:szCs w:val="22"/>
        </w:rPr>
      </w:pPr>
      <w:r w:rsidRPr="002B6875">
        <w:rPr>
          <w:rStyle w:val="Strong"/>
          <w:rFonts w:cs="Arial"/>
          <w:szCs w:val="20"/>
        </w:rPr>
        <w:t>TCEQ Response</w:t>
      </w:r>
      <w:r w:rsidR="00F13E5C">
        <w:rPr>
          <w:rStyle w:val="Strong"/>
          <w:rFonts w:cs="Arial"/>
          <w:szCs w:val="20"/>
        </w:rPr>
        <w:t xml:space="preserve"> to Objection 2</w:t>
      </w:r>
      <w:r w:rsidRPr="002B6875">
        <w:rPr>
          <w:rStyle w:val="Strong"/>
          <w:rFonts w:cs="Arial"/>
          <w:szCs w:val="20"/>
        </w:rPr>
        <w:t>:</w:t>
      </w:r>
      <w:r w:rsidRPr="002B6875">
        <w:rPr>
          <w:rFonts w:cs="Arial"/>
          <w:szCs w:val="20"/>
        </w:rPr>
        <w:t xml:space="preserve"> </w:t>
      </w:r>
      <w:r w:rsidR="00CE1449">
        <w:rPr>
          <w:rFonts w:cs="Arial"/>
          <w:szCs w:val="20"/>
        </w:rPr>
        <w:t>NSR permit 3219 (project 365078) issued 02/07/2024 and NSR permit 3179 (project 365077) issued 02/07/2024</w:t>
      </w:r>
      <w:r w:rsidR="00857D69">
        <w:rPr>
          <w:rFonts w:cs="Arial"/>
          <w:szCs w:val="20"/>
        </w:rPr>
        <w:t>,</w:t>
      </w:r>
      <w:r w:rsidR="00CE1449">
        <w:rPr>
          <w:rFonts w:cs="Arial"/>
          <w:szCs w:val="20"/>
        </w:rPr>
        <w:t xml:space="preserve"> </w:t>
      </w:r>
      <w:r w:rsidR="00857D69">
        <w:rPr>
          <w:rFonts w:cs="Arial"/>
          <w:szCs w:val="20"/>
        </w:rPr>
        <w:t>contain</w:t>
      </w:r>
      <w:r w:rsidR="00CE1449">
        <w:rPr>
          <w:rFonts w:cs="Arial"/>
          <w:szCs w:val="20"/>
        </w:rPr>
        <w:t xml:space="preserve"> revised special conditions </w:t>
      </w:r>
      <w:r w:rsidR="00D8588E">
        <w:rPr>
          <w:rFonts w:cs="Arial"/>
          <w:szCs w:val="20"/>
        </w:rPr>
        <w:t xml:space="preserve">9 and 14 respectively to include sufficient monitoring requirements for flare units to demonstrate compliance with the applicable requirements, including </w:t>
      </w:r>
      <w:r w:rsidR="00D8588E" w:rsidRPr="00897EBE">
        <w:rPr>
          <w:rFonts w:cs="Arial"/>
          <w:szCs w:val="20"/>
        </w:rPr>
        <w:t>compliance with the specified destruction efficiency</w:t>
      </w:r>
      <w:r w:rsidR="00D8588E">
        <w:rPr>
          <w:rFonts w:cs="Arial"/>
          <w:szCs w:val="20"/>
        </w:rPr>
        <w:t>.</w:t>
      </w:r>
      <w:r w:rsidR="00612C92">
        <w:rPr>
          <w:rFonts w:cs="Arial"/>
          <w:szCs w:val="20"/>
        </w:rPr>
        <w:t xml:space="preserve"> </w:t>
      </w:r>
      <w:r w:rsidR="00D8588E">
        <w:rPr>
          <w:rFonts w:cs="Arial"/>
          <w:szCs w:val="20"/>
        </w:rPr>
        <w:t>NSR permits 3219 and 3179 are incorporated by reference in the proposed permit (</w:t>
      </w:r>
      <w:r w:rsidR="00D8588E" w:rsidRPr="00D8588E">
        <w:rPr>
          <w:rFonts w:cs="Arial"/>
          <w:szCs w:val="20"/>
        </w:rPr>
        <w:t>New Source Review Authorization References</w:t>
      </w:r>
      <w:r w:rsidR="00D8588E">
        <w:rPr>
          <w:rFonts w:cs="Arial"/>
          <w:szCs w:val="20"/>
        </w:rPr>
        <w:t xml:space="preserve"> table at page 475).</w:t>
      </w:r>
    </w:p>
    <w:p w14:paraId="2D5A2381" w14:textId="77777777" w:rsidR="00376A8B" w:rsidRPr="002B6875" w:rsidRDefault="00376A8B" w:rsidP="0095602A">
      <w:pPr>
        <w:rPr>
          <w:rFonts w:cs="Arial"/>
          <w:szCs w:val="20"/>
        </w:rPr>
      </w:pPr>
    </w:p>
    <w:p w14:paraId="2EAC97B9" w14:textId="6A4A3187" w:rsidR="00376A8B" w:rsidRPr="0088531E" w:rsidRDefault="00376A8B" w:rsidP="0088531E">
      <w:pPr>
        <w:rPr>
          <w:rFonts w:cs="Arial"/>
          <w:szCs w:val="20"/>
        </w:rPr>
      </w:pPr>
      <w:r w:rsidRPr="002B6875">
        <w:rPr>
          <w:rStyle w:val="Strong"/>
          <w:rFonts w:cs="Arial"/>
          <w:szCs w:val="20"/>
        </w:rPr>
        <w:t>EPA Objection</w:t>
      </w:r>
      <w:r w:rsidR="0088531E">
        <w:rPr>
          <w:rStyle w:val="Strong"/>
          <w:rFonts w:cs="Arial"/>
          <w:szCs w:val="20"/>
        </w:rPr>
        <w:t xml:space="preserve"> 3</w:t>
      </w:r>
      <w:r w:rsidRPr="002B6875">
        <w:rPr>
          <w:rStyle w:val="Strong"/>
          <w:rFonts w:cs="Arial"/>
          <w:szCs w:val="20"/>
        </w:rPr>
        <w:t>:</w:t>
      </w:r>
      <w:r w:rsidRPr="002B6875">
        <w:rPr>
          <w:rFonts w:cs="Arial"/>
          <w:szCs w:val="20"/>
        </w:rPr>
        <w:t xml:space="preserve"> </w:t>
      </w:r>
      <w:r w:rsidRPr="0088531E">
        <w:rPr>
          <w:rFonts w:cs="Arial"/>
          <w:b/>
          <w:szCs w:val="20"/>
        </w:rPr>
        <w:t>Objection</w:t>
      </w:r>
      <w:r w:rsidRPr="0088531E">
        <w:rPr>
          <w:rFonts w:cs="Arial"/>
          <w:b/>
          <w:spacing w:val="-3"/>
          <w:szCs w:val="20"/>
        </w:rPr>
        <w:t xml:space="preserve"> </w:t>
      </w:r>
      <w:r w:rsidRPr="0088531E">
        <w:rPr>
          <w:rFonts w:cs="Arial"/>
          <w:b/>
          <w:szCs w:val="20"/>
        </w:rPr>
        <w:t>for</w:t>
      </w:r>
      <w:r w:rsidRPr="0088531E">
        <w:rPr>
          <w:rFonts w:cs="Arial"/>
          <w:b/>
          <w:spacing w:val="-5"/>
          <w:szCs w:val="20"/>
        </w:rPr>
        <w:t xml:space="preserve"> </w:t>
      </w:r>
      <w:r w:rsidRPr="0088531E">
        <w:rPr>
          <w:rFonts w:cs="Arial"/>
          <w:b/>
          <w:szCs w:val="20"/>
        </w:rPr>
        <w:t>Failure</w:t>
      </w:r>
      <w:r w:rsidRPr="0088531E">
        <w:rPr>
          <w:rFonts w:cs="Arial"/>
          <w:b/>
          <w:spacing w:val="-4"/>
          <w:szCs w:val="20"/>
        </w:rPr>
        <w:t xml:space="preserve"> </w:t>
      </w:r>
      <w:r w:rsidRPr="0088531E">
        <w:rPr>
          <w:rFonts w:cs="Arial"/>
          <w:b/>
          <w:szCs w:val="20"/>
        </w:rPr>
        <w:t>to</w:t>
      </w:r>
      <w:r w:rsidRPr="0088531E">
        <w:rPr>
          <w:rFonts w:cs="Arial"/>
          <w:b/>
          <w:spacing w:val="-2"/>
          <w:szCs w:val="20"/>
        </w:rPr>
        <w:t xml:space="preserve"> </w:t>
      </w:r>
      <w:r w:rsidRPr="0088531E">
        <w:rPr>
          <w:rFonts w:cs="Arial"/>
          <w:b/>
          <w:szCs w:val="20"/>
        </w:rPr>
        <w:t>Include</w:t>
      </w:r>
      <w:r w:rsidRPr="0088531E">
        <w:rPr>
          <w:rFonts w:cs="Arial"/>
          <w:b/>
          <w:spacing w:val="-4"/>
          <w:szCs w:val="20"/>
        </w:rPr>
        <w:t xml:space="preserve"> </w:t>
      </w:r>
      <w:r w:rsidRPr="0088531E">
        <w:rPr>
          <w:rFonts w:cs="Arial"/>
          <w:b/>
          <w:szCs w:val="20"/>
        </w:rPr>
        <w:t>all</w:t>
      </w:r>
      <w:r w:rsidRPr="0088531E">
        <w:rPr>
          <w:rFonts w:cs="Arial"/>
          <w:b/>
          <w:spacing w:val="-3"/>
          <w:szCs w:val="20"/>
        </w:rPr>
        <w:t xml:space="preserve"> </w:t>
      </w:r>
      <w:r w:rsidRPr="0088531E">
        <w:rPr>
          <w:rFonts w:cs="Arial"/>
          <w:b/>
          <w:szCs w:val="20"/>
        </w:rPr>
        <w:t>Applicable</w:t>
      </w:r>
      <w:r w:rsidRPr="0088531E">
        <w:rPr>
          <w:rFonts w:cs="Arial"/>
          <w:b/>
          <w:spacing w:val="-6"/>
          <w:szCs w:val="20"/>
        </w:rPr>
        <w:t xml:space="preserve"> </w:t>
      </w:r>
      <w:r w:rsidRPr="0088531E">
        <w:rPr>
          <w:rFonts w:cs="Arial"/>
          <w:b/>
          <w:szCs w:val="20"/>
        </w:rPr>
        <w:t>Requirements.</w:t>
      </w:r>
      <w:r w:rsidRPr="0088531E">
        <w:rPr>
          <w:rFonts w:cs="Arial"/>
          <w:b/>
          <w:spacing w:val="-3"/>
          <w:szCs w:val="20"/>
        </w:rPr>
        <w:t xml:space="preserve"> </w:t>
      </w:r>
      <w:r w:rsidRPr="0088531E">
        <w:rPr>
          <w:rFonts w:cs="Arial"/>
          <w:szCs w:val="20"/>
        </w:rPr>
        <w:t>EPA</w:t>
      </w:r>
      <w:r w:rsidRPr="0088531E">
        <w:rPr>
          <w:rFonts w:cs="Arial"/>
          <w:spacing w:val="-4"/>
          <w:szCs w:val="20"/>
        </w:rPr>
        <w:t xml:space="preserve"> </w:t>
      </w:r>
      <w:r w:rsidRPr="0088531E">
        <w:rPr>
          <w:rFonts w:cs="Arial"/>
          <w:szCs w:val="20"/>
        </w:rPr>
        <w:t>reviewed</w:t>
      </w:r>
      <w:r w:rsidRPr="0088531E">
        <w:rPr>
          <w:rFonts w:cs="Arial"/>
          <w:spacing w:val="-3"/>
          <w:szCs w:val="20"/>
        </w:rPr>
        <w:t xml:space="preserve"> </w:t>
      </w:r>
      <w:r w:rsidRPr="0088531E">
        <w:rPr>
          <w:rFonts w:cs="Arial"/>
          <w:szCs w:val="20"/>
        </w:rPr>
        <w:t>the</w:t>
      </w:r>
      <w:r w:rsidRPr="0088531E">
        <w:rPr>
          <w:rFonts w:cs="Arial"/>
          <w:spacing w:val="-3"/>
          <w:szCs w:val="20"/>
        </w:rPr>
        <w:t xml:space="preserve"> </w:t>
      </w:r>
      <w:r w:rsidRPr="0088531E">
        <w:rPr>
          <w:rFonts w:cs="Arial"/>
          <w:szCs w:val="20"/>
        </w:rPr>
        <w:t>Permit</w:t>
      </w:r>
      <w:r w:rsidRPr="0088531E">
        <w:rPr>
          <w:rFonts w:cs="Arial"/>
          <w:spacing w:val="-3"/>
          <w:szCs w:val="20"/>
        </w:rPr>
        <w:t xml:space="preserve"> </w:t>
      </w:r>
      <w:proofErr w:type="gramStart"/>
      <w:r w:rsidRPr="0088531E">
        <w:rPr>
          <w:rFonts w:cs="Arial"/>
          <w:szCs w:val="20"/>
        </w:rPr>
        <w:t>By</w:t>
      </w:r>
      <w:proofErr w:type="gramEnd"/>
      <w:r w:rsidRPr="0088531E">
        <w:rPr>
          <w:rFonts w:cs="Arial"/>
          <w:spacing w:val="-3"/>
          <w:szCs w:val="20"/>
        </w:rPr>
        <w:t xml:space="preserve"> </w:t>
      </w:r>
      <w:r w:rsidRPr="0088531E">
        <w:rPr>
          <w:rFonts w:cs="Arial"/>
          <w:szCs w:val="20"/>
        </w:rPr>
        <w:t xml:space="preserve">Rule (PBR) Supplemental Table that was included with the permit application. The New Source Review (NSR) Authorization References by Emissions Unit table including registration numbers next to emission units authorized by registered PBRs conforms with TCEQ's EPA-approved regulations, 30 TAC § 122.142(2)(B)(i), as well as the agreements underpinning the EPA's approval of the Incorporation By Reference (IBR) of PBRs - namely that "PBRs will be cited to the lowest level of citation necessary to make clear what requirements apply to the facility." However, upon review of all registered PBRs associated with the Shell Chemical Plant, </w:t>
      </w:r>
      <w:r w:rsidRPr="00897EBE">
        <w:rPr>
          <w:rFonts w:cs="Arial"/>
          <w:szCs w:val="20"/>
        </w:rPr>
        <w:t>several effective PBRs appear to be omitted from title V permit O1668</w:t>
      </w:r>
      <w:r w:rsidRPr="0088531E">
        <w:rPr>
          <w:rFonts w:cs="Arial"/>
          <w:szCs w:val="20"/>
        </w:rPr>
        <w:t xml:space="preserve"> (identified below by PBR rule number and registration number) </w:t>
      </w:r>
      <w:r w:rsidRPr="00897EBE">
        <w:rPr>
          <w:rFonts w:cs="Arial"/>
          <w:szCs w:val="20"/>
        </w:rPr>
        <w:t>and there are PBRs listed in the PBR Supplemental Table that are shown</w:t>
      </w:r>
      <w:r w:rsidRPr="00897EBE">
        <w:rPr>
          <w:rFonts w:cs="Arial"/>
          <w:spacing w:val="-2"/>
          <w:szCs w:val="20"/>
        </w:rPr>
        <w:t xml:space="preserve"> </w:t>
      </w:r>
      <w:r w:rsidRPr="00897EBE">
        <w:rPr>
          <w:rFonts w:cs="Arial"/>
          <w:szCs w:val="20"/>
        </w:rPr>
        <w:t>to</w:t>
      </w:r>
      <w:r w:rsidRPr="00897EBE">
        <w:rPr>
          <w:rFonts w:cs="Arial"/>
          <w:spacing w:val="-1"/>
          <w:szCs w:val="20"/>
        </w:rPr>
        <w:t xml:space="preserve"> </w:t>
      </w:r>
      <w:r w:rsidRPr="00897EBE">
        <w:rPr>
          <w:rFonts w:cs="Arial"/>
          <w:szCs w:val="20"/>
        </w:rPr>
        <w:t>be</w:t>
      </w:r>
      <w:r w:rsidRPr="00897EBE">
        <w:rPr>
          <w:rFonts w:cs="Arial"/>
          <w:spacing w:val="-3"/>
          <w:szCs w:val="20"/>
        </w:rPr>
        <w:t xml:space="preserve"> </w:t>
      </w:r>
      <w:r w:rsidRPr="00897EBE">
        <w:rPr>
          <w:rFonts w:cs="Arial"/>
          <w:szCs w:val="20"/>
        </w:rPr>
        <w:t>Cancelled</w:t>
      </w:r>
      <w:r w:rsidRPr="0088531E">
        <w:rPr>
          <w:rFonts w:cs="Arial"/>
          <w:spacing w:val="-1"/>
          <w:szCs w:val="20"/>
        </w:rPr>
        <w:t xml:space="preserve"> </w:t>
      </w:r>
      <w:r w:rsidRPr="0088531E">
        <w:rPr>
          <w:rFonts w:cs="Arial"/>
          <w:szCs w:val="20"/>
        </w:rPr>
        <w:t>on</w:t>
      </w:r>
      <w:r w:rsidRPr="0088531E">
        <w:rPr>
          <w:rFonts w:cs="Arial"/>
          <w:spacing w:val="-2"/>
          <w:szCs w:val="20"/>
        </w:rPr>
        <w:t xml:space="preserve"> </w:t>
      </w:r>
      <w:r w:rsidRPr="0088531E">
        <w:rPr>
          <w:rFonts w:cs="Arial"/>
          <w:szCs w:val="20"/>
        </w:rPr>
        <w:t>the</w:t>
      </w:r>
      <w:r w:rsidRPr="0088531E">
        <w:rPr>
          <w:rFonts w:cs="Arial"/>
          <w:spacing w:val="-1"/>
          <w:szCs w:val="20"/>
        </w:rPr>
        <w:t xml:space="preserve"> </w:t>
      </w:r>
      <w:r w:rsidRPr="0088531E">
        <w:rPr>
          <w:rFonts w:cs="Arial"/>
          <w:szCs w:val="20"/>
        </w:rPr>
        <w:t>TCEQ</w:t>
      </w:r>
      <w:r w:rsidRPr="0088531E">
        <w:rPr>
          <w:rFonts w:cs="Arial"/>
          <w:spacing w:val="-2"/>
          <w:szCs w:val="20"/>
        </w:rPr>
        <w:t xml:space="preserve"> </w:t>
      </w:r>
      <w:r w:rsidRPr="0088531E">
        <w:rPr>
          <w:rFonts w:cs="Arial"/>
          <w:szCs w:val="20"/>
        </w:rPr>
        <w:t>website</w:t>
      </w:r>
      <w:r w:rsidRPr="0088531E">
        <w:rPr>
          <w:rFonts w:cs="Arial"/>
          <w:spacing w:val="-3"/>
          <w:szCs w:val="20"/>
        </w:rPr>
        <w:t xml:space="preserve"> </w:t>
      </w:r>
      <w:r w:rsidRPr="0088531E">
        <w:rPr>
          <w:rFonts w:cs="Arial"/>
          <w:szCs w:val="20"/>
        </w:rPr>
        <w:t>and</w:t>
      </w:r>
      <w:r w:rsidRPr="0088531E">
        <w:rPr>
          <w:rFonts w:cs="Arial"/>
          <w:spacing w:val="1"/>
          <w:szCs w:val="20"/>
        </w:rPr>
        <w:t xml:space="preserve"> </w:t>
      </w:r>
      <w:r w:rsidRPr="0088531E">
        <w:rPr>
          <w:rFonts w:cs="Arial"/>
          <w:szCs w:val="20"/>
        </w:rPr>
        <w:t>are</w:t>
      </w:r>
      <w:r w:rsidRPr="0088531E">
        <w:rPr>
          <w:rFonts w:cs="Arial"/>
          <w:spacing w:val="-4"/>
          <w:szCs w:val="20"/>
        </w:rPr>
        <w:t xml:space="preserve"> </w:t>
      </w:r>
      <w:r w:rsidRPr="0088531E">
        <w:rPr>
          <w:rFonts w:cs="Arial"/>
          <w:szCs w:val="20"/>
        </w:rPr>
        <w:t>not</w:t>
      </w:r>
      <w:r w:rsidRPr="0088531E">
        <w:rPr>
          <w:rFonts w:cs="Arial"/>
          <w:spacing w:val="-1"/>
          <w:szCs w:val="20"/>
        </w:rPr>
        <w:t xml:space="preserve"> </w:t>
      </w:r>
      <w:r w:rsidRPr="0088531E">
        <w:rPr>
          <w:rFonts w:cs="Arial"/>
          <w:szCs w:val="20"/>
        </w:rPr>
        <w:t>included</w:t>
      </w:r>
      <w:r w:rsidRPr="0088531E">
        <w:rPr>
          <w:rFonts w:cs="Arial"/>
          <w:spacing w:val="-1"/>
          <w:szCs w:val="20"/>
        </w:rPr>
        <w:t xml:space="preserve"> </w:t>
      </w:r>
      <w:r w:rsidRPr="0088531E">
        <w:rPr>
          <w:rFonts w:cs="Arial"/>
          <w:szCs w:val="20"/>
        </w:rPr>
        <w:t>in</w:t>
      </w:r>
      <w:r w:rsidRPr="0088531E">
        <w:rPr>
          <w:rFonts w:cs="Arial"/>
          <w:spacing w:val="-2"/>
          <w:szCs w:val="20"/>
        </w:rPr>
        <w:t xml:space="preserve"> </w:t>
      </w:r>
      <w:r w:rsidRPr="0088531E">
        <w:rPr>
          <w:rFonts w:cs="Arial"/>
          <w:szCs w:val="20"/>
        </w:rPr>
        <w:t>the</w:t>
      </w:r>
      <w:r w:rsidRPr="0088531E">
        <w:rPr>
          <w:rFonts w:cs="Arial"/>
          <w:spacing w:val="-1"/>
          <w:szCs w:val="20"/>
        </w:rPr>
        <w:t xml:space="preserve"> </w:t>
      </w:r>
      <w:r w:rsidRPr="0088531E">
        <w:rPr>
          <w:rFonts w:cs="Arial"/>
          <w:szCs w:val="20"/>
        </w:rPr>
        <w:t>title</w:t>
      </w:r>
      <w:r w:rsidRPr="0088531E">
        <w:rPr>
          <w:rFonts w:cs="Arial"/>
          <w:spacing w:val="-2"/>
          <w:szCs w:val="20"/>
        </w:rPr>
        <w:t xml:space="preserve"> </w:t>
      </w:r>
      <w:r w:rsidRPr="0088531E">
        <w:rPr>
          <w:rFonts w:cs="Arial"/>
          <w:szCs w:val="20"/>
        </w:rPr>
        <w:t>V</w:t>
      </w:r>
      <w:r w:rsidRPr="0088531E">
        <w:rPr>
          <w:rFonts w:cs="Arial"/>
          <w:spacing w:val="-2"/>
          <w:szCs w:val="20"/>
        </w:rPr>
        <w:t xml:space="preserve"> permit:</w:t>
      </w:r>
    </w:p>
    <w:p w14:paraId="2E4561FC" w14:textId="77777777" w:rsidR="00376A8B" w:rsidRPr="002B6875" w:rsidRDefault="00376A8B" w:rsidP="0095602A">
      <w:pPr>
        <w:pStyle w:val="BodyText"/>
        <w:rPr>
          <w:rFonts w:ascii="Arial" w:hAnsi="Arial" w:cs="Arial"/>
          <w:sz w:val="20"/>
          <w:szCs w:val="20"/>
        </w:rPr>
      </w:pPr>
    </w:p>
    <w:p w14:paraId="1F5DF338" w14:textId="77777777" w:rsidR="003A3371" w:rsidRPr="003A3371" w:rsidRDefault="00376A8B" w:rsidP="003A3371">
      <w:pPr>
        <w:pStyle w:val="ListParagraph"/>
        <w:numPr>
          <w:ilvl w:val="1"/>
          <w:numId w:val="17"/>
        </w:numPr>
        <w:tabs>
          <w:tab w:val="left" w:pos="1331"/>
          <w:tab w:val="left" w:pos="1332"/>
        </w:tabs>
        <w:spacing w:line="294" w:lineRule="exact"/>
        <w:ind w:left="361" w:hanging="361"/>
        <w:rPr>
          <w:rFonts w:ascii="Arial" w:hAnsi="Arial" w:cs="Arial"/>
          <w:sz w:val="20"/>
          <w:szCs w:val="20"/>
        </w:rPr>
      </w:pPr>
      <w:r w:rsidRPr="002B6875">
        <w:rPr>
          <w:rFonts w:ascii="Arial" w:hAnsi="Arial" w:cs="Arial"/>
          <w:sz w:val="20"/>
          <w:szCs w:val="20"/>
        </w:rPr>
        <w:t>Shown</w:t>
      </w:r>
      <w:r w:rsidRPr="002B6875">
        <w:rPr>
          <w:rFonts w:ascii="Arial" w:hAnsi="Arial" w:cs="Arial"/>
          <w:spacing w:val="-5"/>
          <w:sz w:val="20"/>
          <w:szCs w:val="20"/>
        </w:rPr>
        <w:t xml:space="preserve"> </w:t>
      </w:r>
      <w:r w:rsidRPr="002B6875">
        <w:rPr>
          <w:rFonts w:ascii="Arial" w:hAnsi="Arial" w:cs="Arial"/>
          <w:sz w:val="20"/>
          <w:szCs w:val="20"/>
        </w:rPr>
        <w:t>to</w:t>
      </w:r>
      <w:r w:rsidRPr="002B6875">
        <w:rPr>
          <w:rFonts w:ascii="Arial" w:hAnsi="Arial" w:cs="Arial"/>
          <w:spacing w:val="-4"/>
          <w:sz w:val="20"/>
          <w:szCs w:val="20"/>
        </w:rPr>
        <w:t xml:space="preserve"> </w:t>
      </w:r>
      <w:r w:rsidRPr="002B6875">
        <w:rPr>
          <w:rFonts w:ascii="Arial" w:hAnsi="Arial" w:cs="Arial"/>
          <w:sz w:val="20"/>
          <w:szCs w:val="20"/>
        </w:rPr>
        <w:t>be</w:t>
      </w:r>
      <w:r w:rsidRPr="002B6875">
        <w:rPr>
          <w:rFonts w:ascii="Arial" w:hAnsi="Arial" w:cs="Arial"/>
          <w:spacing w:val="-5"/>
          <w:sz w:val="20"/>
          <w:szCs w:val="20"/>
        </w:rPr>
        <w:t xml:space="preserve"> </w:t>
      </w:r>
      <w:r w:rsidRPr="002B6875">
        <w:rPr>
          <w:rFonts w:ascii="Arial" w:hAnsi="Arial" w:cs="Arial"/>
          <w:spacing w:val="-2"/>
          <w:sz w:val="20"/>
          <w:szCs w:val="20"/>
        </w:rPr>
        <w:t>cancelled:</w:t>
      </w:r>
    </w:p>
    <w:p w14:paraId="6B7E28FE" w14:textId="77777777" w:rsidR="003A3371" w:rsidRPr="003A3371" w:rsidRDefault="00376A8B" w:rsidP="003A3371">
      <w:pPr>
        <w:pStyle w:val="ListParagraph"/>
        <w:numPr>
          <w:ilvl w:val="0"/>
          <w:numId w:val="17"/>
        </w:numPr>
        <w:tabs>
          <w:tab w:val="left" w:pos="1331"/>
          <w:tab w:val="left" w:pos="1332"/>
        </w:tabs>
        <w:spacing w:line="294" w:lineRule="exact"/>
        <w:rPr>
          <w:rFonts w:ascii="Arial" w:hAnsi="Arial" w:cs="Arial"/>
          <w:sz w:val="20"/>
          <w:szCs w:val="20"/>
        </w:rPr>
      </w:pPr>
      <w:r w:rsidRPr="003A3371">
        <w:rPr>
          <w:rFonts w:ascii="Arial" w:hAnsi="Arial" w:cs="Arial"/>
          <w:spacing w:val="-2"/>
          <w:sz w:val="20"/>
          <w:szCs w:val="20"/>
        </w:rPr>
        <w:t>98473</w:t>
      </w:r>
    </w:p>
    <w:p w14:paraId="7FB994A2" w14:textId="77777777" w:rsidR="003A3371" w:rsidRPr="003A3371" w:rsidRDefault="00376A8B" w:rsidP="003A3371">
      <w:pPr>
        <w:pStyle w:val="ListParagraph"/>
        <w:numPr>
          <w:ilvl w:val="0"/>
          <w:numId w:val="17"/>
        </w:numPr>
        <w:tabs>
          <w:tab w:val="left" w:pos="1331"/>
          <w:tab w:val="left" w:pos="1332"/>
        </w:tabs>
        <w:spacing w:line="294" w:lineRule="exact"/>
        <w:rPr>
          <w:rFonts w:ascii="Arial" w:hAnsi="Arial" w:cs="Arial"/>
          <w:sz w:val="20"/>
          <w:szCs w:val="20"/>
        </w:rPr>
      </w:pPr>
      <w:r w:rsidRPr="003A3371">
        <w:rPr>
          <w:rFonts w:ascii="Arial" w:hAnsi="Arial" w:cs="Arial"/>
          <w:spacing w:val="-2"/>
          <w:sz w:val="20"/>
          <w:szCs w:val="20"/>
        </w:rPr>
        <w:t>109247</w:t>
      </w:r>
    </w:p>
    <w:p w14:paraId="12A28817" w14:textId="0E020D01" w:rsidR="00376A8B" w:rsidRPr="003A3371" w:rsidRDefault="00376A8B" w:rsidP="003A3371">
      <w:pPr>
        <w:pStyle w:val="ListParagraph"/>
        <w:numPr>
          <w:ilvl w:val="0"/>
          <w:numId w:val="17"/>
        </w:numPr>
        <w:tabs>
          <w:tab w:val="left" w:pos="1331"/>
          <w:tab w:val="left" w:pos="1332"/>
        </w:tabs>
        <w:spacing w:line="294" w:lineRule="exact"/>
        <w:rPr>
          <w:rFonts w:ascii="Arial" w:hAnsi="Arial" w:cs="Arial"/>
          <w:sz w:val="20"/>
          <w:szCs w:val="20"/>
        </w:rPr>
      </w:pPr>
      <w:r w:rsidRPr="003A3371">
        <w:rPr>
          <w:rFonts w:ascii="Arial" w:hAnsi="Arial" w:cs="Arial"/>
          <w:spacing w:val="-2"/>
          <w:sz w:val="20"/>
          <w:szCs w:val="20"/>
        </w:rPr>
        <w:t>146255</w:t>
      </w:r>
    </w:p>
    <w:p w14:paraId="1CDDC785" w14:textId="77777777" w:rsidR="003A3371" w:rsidRPr="003A3371" w:rsidRDefault="00376A8B" w:rsidP="003A3371">
      <w:pPr>
        <w:pStyle w:val="ListParagraph"/>
        <w:numPr>
          <w:ilvl w:val="1"/>
          <w:numId w:val="17"/>
        </w:numPr>
        <w:tabs>
          <w:tab w:val="left" w:pos="1331"/>
          <w:tab w:val="left" w:pos="1332"/>
        </w:tabs>
        <w:spacing w:line="283" w:lineRule="exact"/>
        <w:ind w:left="361" w:hanging="361"/>
        <w:rPr>
          <w:rFonts w:ascii="Arial" w:hAnsi="Arial" w:cs="Arial"/>
          <w:sz w:val="20"/>
          <w:szCs w:val="20"/>
        </w:rPr>
      </w:pPr>
      <w:r w:rsidRPr="002B6875">
        <w:rPr>
          <w:rFonts w:ascii="Arial" w:hAnsi="Arial" w:cs="Arial"/>
          <w:sz w:val="20"/>
          <w:szCs w:val="20"/>
        </w:rPr>
        <w:t>Missing</w:t>
      </w:r>
      <w:r w:rsidRPr="002B6875">
        <w:rPr>
          <w:rFonts w:ascii="Arial" w:hAnsi="Arial" w:cs="Arial"/>
          <w:spacing w:val="-3"/>
          <w:sz w:val="20"/>
          <w:szCs w:val="20"/>
        </w:rPr>
        <w:t xml:space="preserve"> </w:t>
      </w:r>
      <w:r w:rsidRPr="002B6875">
        <w:rPr>
          <w:rFonts w:ascii="Arial" w:hAnsi="Arial" w:cs="Arial"/>
          <w:sz w:val="20"/>
          <w:szCs w:val="20"/>
        </w:rPr>
        <w:t>from</w:t>
      </w:r>
      <w:r w:rsidRPr="002B6875">
        <w:rPr>
          <w:rFonts w:ascii="Arial" w:hAnsi="Arial" w:cs="Arial"/>
          <w:spacing w:val="-3"/>
          <w:sz w:val="20"/>
          <w:szCs w:val="20"/>
        </w:rPr>
        <w:t xml:space="preserve"> </w:t>
      </w:r>
      <w:r w:rsidRPr="002B6875">
        <w:rPr>
          <w:rFonts w:ascii="Arial" w:hAnsi="Arial" w:cs="Arial"/>
          <w:sz w:val="20"/>
          <w:szCs w:val="20"/>
        </w:rPr>
        <w:t>title</w:t>
      </w:r>
      <w:r w:rsidRPr="002B6875">
        <w:rPr>
          <w:rFonts w:ascii="Arial" w:hAnsi="Arial" w:cs="Arial"/>
          <w:spacing w:val="-2"/>
          <w:sz w:val="20"/>
          <w:szCs w:val="20"/>
        </w:rPr>
        <w:t xml:space="preserve"> </w:t>
      </w:r>
      <w:r w:rsidRPr="002B6875">
        <w:rPr>
          <w:rFonts w:ascii="Arial" w:hAnsi="Arial" w:cs="Arial"/>
          <w:sz w:val="20"/>
          <w:szCs w:val="20"/>
        </w:rPr>
        <w:t>V</w:t>
      </w:r>
      <w:r w:rsidRPr="002B6875">
        <w:rPr>
          <w:rFonts w:ascii="Arial" w:hAnsi="Arial" w:cs="Arial"/>
          <w:spacing w:val="-4"/>
          <w:sz w:val="20"/>
          <w:szCs w:val="20"/>
        </w:rPr>
        <w:t xml:space="preserve"> </w:t>
      </w:r>
      <w:r w:rsidRPr="002B6875">
        <w:rPr>
          <w:rFonts w:ascii="Arial" w:hAnsi="Arial" w:cs="Arial"/>
          <w:spacing w:val="-2"/>
          <w:sz w:val="20"/>
          <w:szCs w:val="20"/>
        </w:rPr>
        <w:t>permit</w:t>
      </w:r>
    </w:p>
    <w:p w14:paraId="4076A434" w14:textId="77777777" w:rsidR="003A3371" w:rsidRPr="003A3371" w:rsidRDefault="00376A8B" w:rsidP="003A3371">
      <w:pPr>
        <w:pStyle w:val="ListParagraph"/>
        <w:numPr>
          <w:ilvl w:val="0"/>
          <w:numId w:val="17"/>
        </w:numPr>
        <w:tabs>
          <w:tab w:val="left" w:pos="1331"/>
          <w:tab w:val="left" w:pos="1332"/>
        </w:tabs>
        <w:spacing w:line="283" w:lineRule="exact"/>
        <w:rPr>
          <w:rFonts w:ascii="Arial" w:hAnsi="Arial" w:cs="Arial"/>
          <w:sz w:val="20"/>
          <w:szCs w:val="20"/>
        </w:rPr>
      </w:pPr>
      <w:r w:rsidRPr="003A3371">
        <w:rPr>
          <w:rFonts w:ascii="Arial" w:hAnsi="Arial" w:cs="Arial"/>
          <w:sz w:val="20"/>
          <w:szCs w:val="20"/>
        </w:rPr>
        <w:t>164009 for</w:t>
      </w:r>
      <w:r w:rsidRPr="003A3371">
        <w:rPr>
          <w:rFonts w:ascii="Arial" w:hAnsi="Arial" w:cs="Arial"/>
          <w:spacing w:val="-1"/>
          <w:sz w:val="20"/>
          <w:szCs w:val="20"/>
        </w:rPr>
        <w:t xml:space="preserve"> </w:t>
      </w:r>
      <w:r w:rsidRPr="003A3371">
        <w:rPr>
          <w:rFonts w:ascii="Arial" w:hAnsi="Arial" w:cs="Arial"/>
          <w:sz w:val="20"/>
          <w:szCs w:val="20"/>
        </w:rPr>
        <w:t>106.478 for</w:t>
      </w:r>
      <w:r w:rsidRPr="003A3371">
        <w:rPr>
          <w:rFonts w:ascii="Arial" w:hAnsi="Arial" w:cs="Arial"/>
          <w:spacing w:val="1"/>
          <w:sz w:val="20"/>
          <w:szCs w:val="20"/>
        </w:rPr>
        <w:t xml:space="preserve"> </w:t>
      </w:r>
      <w:r w:rsidRPr="003A3371">
        <w:rPr>
          <w:rFonts w:ascii="Arial" w:hAnsi="Arial" w:cs="Arial"/>
          <w:spacing w:val="-2"/>
          <w:sz w:val="20"/>
          <w:szCs w:val="20"/>
        </w:rPr>
        <w:t>K306R1</w:t>
      </w:r>
    </w:p>
    <w:p w14:paraId="1CC85ABB" w14:textId="77777777" w:rsidR="003A3371" w:rsidRPr="003A3371" w:rsidRDefault="00376A8B" w:rsidP="003A3371">
      <w:pPr>
        <w:pStyle w:val="ListParagraph"/>
        <w:numPr>
          <w:ilvl w:val="0"/>
          <w:numId w:val="17"/>
        </w:numPr>
        <w:tabs>
          <w:tab w:val="left" w:pos="1331"/>
          <w:tab w:val="left" w:pos="1332"/>
        </w:tabs>
        <w:spacing w:line="283" w:lineRule="exact"/>
        <w:rPr>
          <w:rFonts w:ascii="Arial" w:hAnsi="Arial" w:cs="Arial"/>
          <w:sz w:val="20"/>
          <w:szCs w:val="20"/>
        </w:rPr>
      </w:pPr>
      <w:r w:rsidRPr="003A3371">
        <w:rPr>
          <w:rFonts w:ascii="Arial" w:hAnsi="Arial" w:cs="Arial"/>
          <w:sz w:val="20"/>
          <w:szCs w:val="20"/>
        </w:rPr>
        <w:t>167075</w:t>
      </w:r>
      <w:r w:rsidRPr="003A3371">
        <w:rPr>
          <w:rFonts w:ascii="Arial" w:hAnsi="Arial" w:cs="Arial"/>
          <w:spacing w:val="-2"/>
          <w:sz w:val="20"/>
          <w:szCs w:val="20"/>
        </w:rPr>
        <w:t xml:space="preserve"> </w:t>
      </w:r>
      <w:r w:rsidRPr="003A3371">
        <w:rPr>
          <w:rFonts w:ascii="Arial" w:hAnsi="Arial" w:cs="Arial"/>
          <w:sz w:val="20"/>
          <w:szCs w:val="20"/>
        </w:rPr>
        <w:t>for</w:t>
      </w:r>
      <w:r w:rsidRPr="003A3371">
        <w:rPr>
          <w:rFonts w:ascii="Arial" w:hAnsi="Arial" w:cs="Arial"/>
          <w:spacing w:val="-1"/>
          <w:sz w:val="20"/>
          <w:szCs w:val="20"/>
        </w:rPr>
        <w:t xml:space="preserve"> </w:t>
      </w:r>
      <w:r w:rsidRPr="003A3371">
        <w:rPr>
          <w:rFonts w:ascii="Arial" w:hAnsi="Arial" w:cs="Arial"/>
          <w:sz w:val="20"/>
          <w:szCs w:val="20"/>
        </w:rPr>
        <w:t>TOL910</w:t>
      </w:r>
      <w:r w:rsidRPr="003A3371">
        <w:rPr>
          <w:rFonts w:ascii="Arial" w:hAnsi="Arial" w:cs="Arial"/>
          <w:spacing w:val="-1"/>
          <w:sz w:val="20"/>
          <w:szCs w:val="20"/>
        </w:rPr>
        <w:t xml:space="preserve"> </w:t>
      </w:r>
      <w:r w:rsidRPr="003A3371">
        <w:rPr>
          <w:rFonts w:ascii="Arial" w:hAnsi="Arial" w:cs="Arial"/>
          <w:sz w:val="20"/>
          <w:szCs w:val="20"/>
        </w:rPr>
        <w:t>(106.261,</w:t>
      </w:r>
      <w:r w:rsidRPr="003A3371">
        <w:rPr>
          <w:rFonts w:ascii="Arial" w:hAnsi="Arial" w:cs="Arial"/>
          <w:spacing w:val="-2"/>
          <w:sz w:val="20"/>
          <w:szCs w:val="20"/>
        </w:rPr>
        <w:t xml:space="preserve"> </w:t>
      </w:r>
      <w:r w:rsidRPr="003A3371">
        <w:rPr>
          <w:rFonts w:ascii="Arial" w:hAnsi="Arial" w:cs="Arial"/>
          <w:sz w:val="20"/>
          <w:szCs w:val="20"/>
        </w:rPr>
        <w:t>106.478)</w:t>
      </w:r>
      <w:r w:rsidRPr="003A3371">
        <w:rPr>
          <w:rFonts w:ascii="Arial" w:hAnsi="Arial" w:cs="Arial"/>
          <w:spacing w:val="-2"/>
          <w:sz w:val="20"/>
          <w:szCs w:val="20"/>
        </w:rPr>
        <w:t xml:space="preserve"> </w:t>
      </w:r>
      <w:r w:rsidRPr="003A3371">
        <w:rPr>
          <w:rFonts w:ascii="Arial" w:hAnsi="Arial" w:cs="Arial"/>
          <w:sz w:val="20"/>
          <w:szCs w:val="20"/>
        </w:rPr>
        <w:t>and</w:t>
      </w:r>
      <w:r w:rsidRPr="003A3371">
        <w:rPr>
          <w:rFonts w:ascii="Arial" w:hAnsi="Arial" w:cs="Arial"/>
          <w:spacing w:val="-1"/>
          <w:sz w:val="20"/>
          <w:szCs w:val="20"/>
        </w:rPr>
        <w:t xml:space="preserve"> </w:t>
      </w:r>
      <w:r w:rsidRPr="003A3371">
        <w:rPr>
          <w:rFonts w:ascii="Arial" w:hAnsi="Arial" w:cs="Arial"/>
          <w:sz w:val="20"/>
          <w:szCs w:val="20"/>
        </w:rPr>
        <w:t>OP2FUG</w:t>
      </w:r>
      <w:r w:rsidRPr="003A3371">
        <w:rPr>
          <w:rFonts w:ascii="Arial" w:hAnsi="Arial" w:cs="Arial"/>
          <w:spacing w:val="-3"/>
          <w:sz w:val="20"/>
          <w:szCs w:val="20"/>
        </w:rPr>
        <w:t xml:space="preserve"> </w:t>
      </w:r>
      <w:r w:rsidRPr="003A3371">
        <w:rPr>
          <w:rFonts w:ascii="Arial" w:hAnsi="Arial" w:cs="Arial"/>
          <w:spacing w:val="-2"/>
          <w:sz w:val="20"/>
          <w:szCs w:val="20"/>
        </w:rPr>
        <w:t>(106.261)</w:t>
      </w:r>
    </w:p>
    <w:p w14:paraId="76AC0C01" w14:textId="77777777" w:rsidR="003A3371" w:rsidRPr="003A3371" w:rsidRDefault="00376A8B" w:rsidP="003A3371">
      <w:pPr>
        <w:pStyle w:val="ListParagraph"/>
        <w:numPr>
          <w:ilvl w:val="0"/>
          <w:numId w:val="17"/>
        </w:numPr>
        <w:tabs>
          <w:tab w:val="left" w:pos="1331"/>
          <w:tab w:val="left" w:pos="1332"/>
        </w:tabs>
        <w:spacing w:line="283" w:lineRule="exact"/>
        <w:rPr>
          <w:rFonts w:ascii="Arial" w:hAnsi="Arial" w:cs="Arial"/>
          <w:sz w:val="20"/>
          <w:szCs w:val="20"/>
        </w:rPr>
      </w:pPr>
      <w:r w:rsidRPr="003A3371">
        <w:rPr>
          <w:rFonts w:ascii="Arial" w:hAnsi="Arial" w:cs="Arial"/>
          <w:sz w:val="20"/>
          <w:szCs w:val="20"/>
        </w:rPr>
        <w:t>168056 for</w:t>
      </w:r>
      <w:r w:rsidRPr="003A3371">
        <w:rPr>
          <w:rFonts w:ascii="Arial" w:hAnsi="Arial" w:cs="Arial"/>
          <w:spacing w:val="-1"/>
          <w:sz w:val="20"/>
          <w:szCs w:val="20"/>
        </w:rPr>
        <w:t xml:space="preserve"> </w:t>
      </w:r>
      <w:r w:rsidRPr="003A3371">
        <w:rPr>
          <w:rFonts w:ascii="Arial" w:hAnsi="Arial" w:cs="Arial"/>
          <w:sz w:val="20"/>
          <w:szCs w:val="20"/>
        </w:rPr>
        <w:t>K307R1 for</w:t>
      </w:r>
      <w:r w:rsidRPr="003A3371">
        <w:rPr>
          <w:rFonts w:ascii="Arial" w:hAnsi="Arial" w:cs="Arial"/>
          <w:spacing w:val="-2"/>
          <w:sz w:val="20"/>
          <w:szCs w:val="20"/>
        </w:rPr>
        <w:t xml:space="preserve"> 106.478</w:t>
      </w:r>
    </w:p>
    <w:p w14:paraId="4F6C9CC0" w14:textId="77777777" w:rsidR="003A3371" w:rsidRPr="003A3371" w:rsidRDefault="00376A8B" w:rsidP="003A3371">
      <w:pPr>
        <w:pStyle w:val="ListParagraph"/>
        <w:numPr>
          <w:ilvl w:val="0"/>
          <w:numId w:val="17"/>
        </w:numPr>
        <w:tabs>
          <w:tab w:val="left" w:pos="1331"/>
          <w:tab w:val="left" w:pos="1332"/>
        </w:tabs>
        <w:spacing w:line="283" w:lineRule="exact"/>
        <w:rPr>
          <w:rFonts w:ascii="Arial" w:hAnsi="Arial" w:cs="Arial"/>
          <w:sz w:val="20"/>
          <w:szCs w:val="20"/>
        </w:rPr>
      </w:pPr>
      <w:r w:rsidRPr="003A3371">
        <w:rPr>
          <w:rFonts w:ascii="Arial" w:hAnsi="Arial" w:cs="Arial"/>
          <w:sz w:val="20"/>
          <w:szCs w:val="20"/>
        </w:rPr>
        <w:t>168460</w:t>
      </w:r>
      <w:r w:rsidRPr="003A3371">
        <w:rPr>
          <w:rFonts w:ascii="Arial" w:hAnsi="Arial" w:cs="Arial"/>
          <w:spacing w:val="-1"/>
          <w:sz w:val="20"/>
          <w:szCs w:val="20"/>
        </w:rPr>
        <w:t xml:space="preserve"> </w:t>
      </w:r>
      <w:r w:rsidRPr="003A3371">
        <w:rPr>
          <w:rFonts w:ascii="Arial" w:hAnsi="Arial" w:cs="Arial"/>
          <w:sz w:val="20"/>
          <w:szCs w:val="20"/>
        </w:rPr>
        <w:t>for</w:t>
      </w:r>
      <w:r w:rsidRPr="003A3371">
        <w:rPr>
          <w:rFonts w:ascii="Arial" w:hAnsi="Arial" w:cs="Arial"/>
          <w:spacing w:val="-2"/>
          <w:sz w:val="20"/>
          <w:szCs w:val="20"/>
        </w:rPr>
        <w:t xml:space="preserve"> </w:t>
      </w:r>
      <w:r w:rsidRPr="003A3371">
        <w:rPr>
          <w:rFonts w:ascii="Arial" w:hAnsi="Arial" w:cs="Arial"/>
          <w:sz w:val="20"/>
          <w:szCs w:val="20"/>
        </w:rPr>
        <w:t>TUT604</w:t>
      </w:r>
      <w:r w:rsidRPr="003A3371">
        <w:rPr>
          <w:rFonts w:ascii="Arial" w:hAnsi="Arial" w:cs="Arial"/>
          <w:spacing w:val="-1"/>
          <w:sz w:val="20"/>
          <w:szCs w:val="20"/>
        </w:rPr>
        <w:t xml:space="preserve"> </w:t>
      </w:r>
      <w:r w:rsidRPr="003A3371">
        <w:rPr>
          <w:rFonts w:ascii="Arial" w:hAnsi="Arial" w:cs="Arial"/>
          <w:sz w:val="20"/>
          <w:szCs w:val="20"/>
        </w:rPr>
        <w:t>and</w:t>
      </w:r>
      <w:r w:rsidRPr="003A3371">
        <w:rPr>
          <w:rFonts w:ascii="Arial" w:hAnsi="Arial" w:cs="Arial"/>
          <w:spacing w:val="1"/>
          <w:sz w:val="20"/>
          <w:szCs w:val="20"/>
        </w:rPr>
        <w:t xml:space="preserve"> </w:t>
      </w:r>
      <w:r w:rsidRPr="003A3371">
        <w:rPr>
          <w:rFonts w:ascii="Arial" w:hAnsi="Arial" w:cs="Arial"/>
          <w:sz w:val="20"/>
          <w:szCs w:val="20"/>
        </w:rPr>
        <w:t>TUT605</w:t>
      </w:r>
      <w:r w:rsidRPr="003A3371">
        <w:rPr>
          <w:rFonts w:ascii="Arial" w:hAnsi="Arial" w:cs="Arial"/>
          <w:spacing w:val="-2"/>
          <w:sz w:val="20"/>
          <w:szCs w:val="20"/>
        </w:rPr>
        <w:t xml:space="preserve"> </w:t>
      </w:r>
      <w:r w:rsidRPr="003A3371">
        <w:rPr>
          <w:rFonts w:ascii="Arial" w:hAnsi="Arial" w:cs="Arial"/>
          <w:sz w:val="20"/>
          <w:szCs w:val="20"/>
        </w:rPr>
        <w:t>for</w:t>
      </w:r>
      <w:r w:rsidRPr="003A3371">
        <w:rPr>
          <w:rFonts w:ascii="Arial" w:hAnsi="Arial" w:cs="Arial"/>
          <w:spacing w:val="-1"/>
          <w:sz w:val="20"/>
          <w:szCs w:val="20"/>
        </w:rPr>
        <w:t xml:space="preserve"> </w:t>
      </w:r>
      <w:r w:rsidRPr="003A3371">
        <w:rPr>
          <w:rFonts w:ascii="Arial" w:hAnsi="Arial" w:cs="Arial"/>
          <w:spacing w:val="-2"/>
          <w:sz w:val="20"/>
          <w:szCs w:val="20"/>
        </w:rPr>
        <w:t>16.26</w:t>
      </w:r>
      <w:r w:rsidR="003A3371" w:rsidRPr="003A3371">
        <w:rPr>
          <w:rFonts w:ascii="Arial" w:hAnsi="Arial" w:cs="Arial"/>
          <w:spacing w:val="-2"/>
          <w:sz w:val="20"/>
          <w:szCs w:val="20"/>
        </w:rPr>
        <w:t>1</w:t>
      </w:r>
    </w:p>
    <w:p w14:paraId="257DACAC" w14:textId="6DA43405" w:rsidR="00376A8B" w:rsidRPr="003A3371" w:rsidRDefault="00376A8B" w:rsidP="003A3371">
      <w:pPr>
        <w:pStyle w:val="ListParagraph"/>
        <w:numPr>
          <w:ilvl w:val="0"/>
          <w:numId w:val="17"/>
        </w:numPr>
        <w:tabs>
          <w:tab w:val="left" w:pos="1331"/>
          <w:tab w:val="left" w:pos="1332"/>
        </w:tabs>
        <w:spacing w:line="283" w:lineRule="exact"/>
        <w:rPr>
          <w:rFonts w:ascii="Arial" w:hAnsi="Arial" w:cs="Arial"/>
          <w:sz w:val="20"/>
          <w:szCs w:val="20"/>
        </w:rPr>
      </w:pPr>
      <w:r w:rsidRPr="003A3371">
        <w:rPr>
          <w:rFonts w:ascii="Arial" w:hAnsi="Arial" w:cs="Arial"/>
          <w:sz w:val="20"/>
          <w:szCs w:val="20"/>
        </w:rPr>
        <w:t>168727</w:t>
      </w:r>
      <w:r w:rsidRPr="003A3371">
        <w:rPr>
          <w:rFonts w:ascii="Arial" w:hAnsi="Arial" w:cs="Arial"/>
          <w:spacing w:val="-4"/>
          <w:sz w:val="20"/>
          <w:szCs w:val="20"/>
        </w:rPr>
        <w:t xml:space="preserve"> </w:t>
      </w:r>
      <w:r w:rsidRPr="003A3371">
        <w:rPr>
          <w:rFonts w:ascii="Arial" w:hAnsi="Arial" w:cs="Arial"/>
          <w:sz w:val="20"/>
          <w:szCs w:val="20"/>
        </w:rPr>
        <w:t>for</w:t>
      </w:r>
      <w:r w:rsidRPr="003A3371">
        <w:rPr>
          <w:rFonts w:ascii="Arial" w:hAnsi="Arial" w:cs="Arial"/>
          <w:spacing w:val="-4"/>
          <w:sz w:val="20"/>
          <w:szCs w:val="20"/>
        </w:rPr>
        <w:t xml:space="preserve"> </w:t>
      </w:r>
      <w:r w:rsidRPr="003A3371">
        <w:rPr>
          <w:rFonts w:ascii="Arial" w:hAnsi="Arial" w:cs="Arial"/>
          <w:sz w:val="20"/>
          <w:szCs w:val="20"/>
        </w:rPr>
        <w:t>HT2FUG,</w:t>
      </w:r>
      <w:r w:rsidRPr="003A3371">
        <w:rPr>
          <w:rFonts w:ascii="Arial" w:hAnsi="Arial" w:cs="Arial"/>
          <w:spacing w:val="-4"/>
          <w:sz w:val="20"/>
          <w:szCs w:val="20"/>
        </w:rPr>
        <w:t xml:space="preserve"> </w:t>
      </w:r>
      <w:r w:rsidRPr="003A3371">
        <w:rPr>
          <w:rFonts w:ascii="Arial" w:hAnsi="Arial" w:cs="Arial"/>
          <w:sz w:val="20"/>
          <w:szCs w:val="20"/>
        </w:rPr>
        <w:t>HT3FUG,</w:t>
      </w:r>
      <w:r w:rsidRPr="003A3371">
        <w:rPr>
          <w:rFonts w:ascii="Arial" w:hAnsi="Arial" w:cs="Arial"/>
          <w:spacing w:val="-2"/>
          <w:sz w:val="20"/>
          <w:szCs w:val="20"/>
        </w:rPr>
        <w:t xml:space="preserve"> </w:t>
      </w:r>
      <w:r w:rsidRPr="003A3371">
        <w:rPr>
          <w:rFonts w:ascii="Arial" w:hAnsi="Arial" w:cs="Arial"/>
          <w:sz w:val="20"/>
          <w:szCs w:val="20"/>
        </w:rPr>
        <w:t>and</w:t>
      </w:r>
      <w:r w:rsidRPr="003A3371">
        <w:rPr>
          <w:rFonts w:ascii="Arial" w:hAnsi="Arial" w:cs="Arial"/>
          <w:spacing w:val="-4"/>
          <w:sz w:val="20"/>
          <w:szCs w:val="20"/>
        </w:rPr>
        <w:t xml:space="preserve"> </w:t>
      </w:r>
      <w:r w:rsidRPr="003A3371">
        <w:rPr>
          <w:rFonts w:ascii="Arial" w:hAnsi="Arial" w:cs="Arial"/>
          <w:sz w:val="20"/>
          <w:szCs w:val="20"/>
        </w:rPr>
        <w:t>OP2FUG</w:t>
      </w:r>
      <w:r w:rsidRPr="003A3371">
        <w:rPr>
          <w:rFonts w:ascii="Arial" w:hAnsi="Arial" w:cs="Arial"/>
          <w:spacing w:val="-3"/>
          <w:sz w:val="20"/>
          <w:szCs w:val="20"/>
        </w:rPr>
        <w:t xml:space="preserve"> </w:t>
      </w:r>
      <w:r w:rsidRPr="003A3371">
        <w:rPr>
          <w:rFonts w:ascii="Arial" w:hAnsi="Arial" w:cs="Arial"/>
          <w:sz w:val="20"/>
          <w:szCs w:val="20"/>
        </w:rPr>
        <w:t>for</w:t>
      </w:r>
      <w:r w:rsidRPr="003A3371">
        <w:rPr>
          <w:rFonts w:ascii="Arial" w:hAnsi="Arial" w:cs="Arial"/>
          <w:spacing w:val="-4"/>
          <w:sz w:val="20"/>
          <w:szCs w:val="20"/>
        </w:rPr>
        <w:t xml:space="preserve"> </w:t>
      </w:r>
      <w:r w:rsidRPr="003A3371">
        <w:rPr>
          <w:rFonts w:ascii="Arial" w:hAnsi="Arial" w:cs="Arial"/>
          <w:sz w:val="20"/>
          <w:szCs w:val="20"/>
        </w:rPr>
        <w:t>106.261</w:t>
      </w:r>
      <w:r w:rsidRPr="003A3371">
        <w:rPr>
          <w:rFonts w:ascii="Arial" w:hAnsi="Arial" w:cs="Arial"/>
          <w:spacing w:val="-3"/>
          <w:sz w:val="20"/>
          <w:szCs w:val="20"/>
        </w:rPr>
        <w:t xml:space="preserve"> </w:t>
      </w:r>
      <w:r w:rsidRPr="003A3371">
        <w:rPr>
          <w:rFonts w:ascii="Arial" w:hAnsi="Arial" w:cs="Arial"/>
          <w:sz w:val="20"/>
          <w:szCs w:val="20"/>
        </w:rPr>
        <w:t>and</w:t>
      </w:r>
      <w:r w:rsidRPr="003A3371">
        <w:rPr>
          <w:rFonts w:ascii="Arial" w:hAnsi="Arial" w:cs="Arial"/>
          <w:spacing w:val="-4"/>
          <w:sz w:val="20"/>
          <w:szCs w:val="20"/>
        </w:rPr>
        <w:t xml:space="preserve"> </w:t>
      </w:r>
      <w:r w:rsidRPr="003A3371">
        <w:rPr>
          <w:rFonts w:ascii="Arial" w:hAnsi="Arial" w:cs="Arial"/>
          <w:spacing w:val="-2"/>
          <w:sz w:val="20"/>
          <w:szCs w:val="20"/>
        </w:rPr>
        <w:t>106.262</w:t>
      </w:r>
    </w:p>
    <w:p w14:paraId="61560086" w14:textId="77777777" w:rsidR="00376A8B" w:rsidRPr="002B6875" w:rsidRDefault="00376A8B" w:rsidP="0095602A">
      <w:pPr>
        <w:pStyle w:val="BodyText"/>
        <w:rPr>
          <w:rFonts w:ascii="Arial" w:hAnsi="Arial" w:cs="Arial"/>
          <w:sz w:val="20"/>
          <w:szCs w:val="20"/>
        </w:rPr>
      </w:pPr>
    </w:p>
    <w:p w14:paraId="3B5EFDCE" w14:textId="77777777" w:rsidR="00376A8B" w:rsidRPr="002B6875" w:rsidRDefault="00376A8B" w:rsidP="0095602A">
      <w:pPr>
        <w:pStyle w:val="BodyText"/>
        <w:rPr>
          <w:rFonts w:ascii="Arial" w:hAnsi="Arial" w:cs="Arial"/>
          <w:sz w:val="20"/>
          <w:szCs w:val="20"/>
        </w:rPr>
      </w:pPr>
      <w:r w:rsidRPr="002B6875">
        <w:rPr>
          <w:rFonts w:ascii="Arial" w:hAnsi="Arial" w:cs="Arial"/>
          <w:sz w:val="20"/>
          <w:szCs w:val="20"/>
        </w:rPr>
        <w:t>Because the title V permit omits direct reference to certain source-specific requirements (e.g., certified emission limits) derived from registered PBRs, it is not clear that the Shell Chemical Plant permit currently includes or incorporates all applicable requirements for the facility, as required by the</w:t>
      </w:r>
      <w:r w:rsidRPr="002B6875">
        <w:rPr>
          <w:rFonts w:ascii="Arial" w:hAnsi="Arial" w:cs="Arial"/>
          <w:spacing w:val="-4"/>
          <w:sz w:val="20"/>
          <w:szCs w:val="20"/>
        </w:rPr>
        <w:t xml:space="preserve"> </w:t>
      </w:r>
      <w:r w:rsidRPr="002B6875">
        <w:rPr>
          <w:rFonts w:ascii="Arial" w:hAnsi="Arial" w:cs="Arial"/>
          <w:sz w:val="20"/>
          <w:szCs w:val="20"/>
        </w:rPr>
        <w:t>CAA,</w:t>
      </w:r>
      <w:r w:rsidRPr="002B6875">
        <w:rPr>
          <w:rFonts w:ascii="Arial" w:hAnsi="Arial" w:cs="Arial"/>
          <w:spacing w:val="-4"/>
          <w:sz w:val="20"/>
          <w:szCs w:val="20"/>
        </w:rPr>
        <w:t xml:space="preserve"> </w:t>
      </w:r>
      <w:r w:rsidRPr="002B6875">
        <w:rPr>
          <w:rFonts w:ascii="Arial" w:hAnsi="Arial" w:cs="Arial"/>
          <w:sz w:val="20"/>
          <w:szCs w:val="20"/>
        </w:rPr>
        <w:t>the</w:t>
      </w:r>
      <w:r w:rsidRPr="002B6875">
        <w:rPr>
          <w:rFonts w:ascii="Arial" w:hAnsi="Arial" w:cs="Arial"/>
          <w:spacing w:val="-4"/>
          <w:sz w:val="20"/>
          <w:szCs w:val="20"/>
        </w:rPr>
        <w:t xml:space="preserve"> </w:t>
      </w:r>
      <w:r w:rsidRPr="002B6875">
        <w:rPr>
          <w:rFonts w:ascii="Arial" w:hAnsi="Arial" w:cs="Arial"/>
          <w:sz w:val="20"/>
          <w:szCs w:val="20"/>
        </w:rPr>
        <w:t>EPA's</w:t>
      </w:r>
      <w:r w:rsidRPr="002B6875">
        <w:rPr>
          <w:rFonts w:ascii="Arial" w:hAnsi="Arial" w:cs="Arial"/>
          <w:spacing w:val="-4"/>
          <w:sz w:val="20"/>
          <w:szCs w:val="20"/>
        </w:rPr>
        <w:t xml:space="preserve"> </w:t>
      </w:r>
      <w:r w:rsidRPr="002B6875">
        <w:rPr>
          <w:rFonts w:ascii="Arial" w:hAnsi="Arial" w:cs="Arial"/>
          <w:sz w:val="20"/>
          <w:szCs w:val="20"/>
        </w:rPr>
        <w:t>regulations,</w:t>
      </w:r>
      <w:r w:rsidRPr="002B6875">
        <w:rPr>
          <w:rFonts w:ascii="Arial" w:hAnsi="Arial" w:cs="Arial"/>
          <w:spacing w:val="-4"/>
          <w:sz w:val="20"/>
          <w:szCs w:val="20"/>
        </w:rPr>
        <w:t xml:space="preserve"> </w:t>
      </w:r>
      <w:r w:rsidRPr="002B6875">
        <w:rPr>
          <w:rFonts w:ascii="Arial" w:hAnsi="Arial" w:cs="Arial"/>
          <w:sz w:val="20"/>
          <w:szCs w:val="20"/>
        </w:rPr>
        <w:t>TCEQ's</w:t>
      </w:r>
      <w:r w:rsidRPr="002B6875">
        <w:rPr>
          <w:rFonts w:ascii="Arial" w:hAnsi="Arial" w:cs="Arial"/>
          <w:spacing w:val="-4"/>
          <w:sz w:val="20"/>
          <w:szCs w:val="20"/>
        </w:rPr>
        <w:t xml:space="preserve"> </w:t>
      </w:r>
      <w:r w:rsidRPr="002B6875">
        <w:rPr>
          <w:rFonts w:ascii="Arial" w:hAnsi="Arial" w:cs="Arial"/>
          <w:sz w:val="20"/>
          <w:szCs w:val="20"/>
        </w:rPr>
        <w:t>regulations,</w:t>
      </w:r>
      <w:r w:rsidRPr="002B6875">
        <w:rPr>
          <w:rFonts w:ascii="Arial" w:hAnsi="Arial" w:cs="Arial"/>
          <w:spacing w:val="-4"/>
          <w:sz w:val="20"/>
          <w:szCs w:val="20"/>
        </w:rPr>
        <w:t xml:space="preserve"> </w:t>
      </w:r>
      <w:r w:rsidRPr="002B6875">
        <w:rPr>
          <w:rFonts w:ascii="Arial" w:hAnsi="Arial" w:cs="Arial"/>
          <w:sz w:val="20"/>
          <w:szCs w:val="20"/>
        </w:rPr>
        <w:t>the</w:t>
      </w:r>
      <w:r w:rsidRPr="002B6875">
        <w:rPr>
          <w:rFonts w:ascii="Arial" w:hAnsi="Arial" w:cs="Arial"/>
          <w:spacing w:val="-4"/>
          <w:sz w:val="20"/>
          <w:szCs w:val="20"/>
        </w:rPr>
        <w:t xml:space="preserve"> </w:t>
      </w:r>
      <w:r w:rsidRPr="002B6875">
        <w:rPr>
          <w:rFonts w:ascii="Arial" w:hAnsi="Arial" w:cs="Arial"/>
          <w:sz w:val="20"/>
          <w:szCs w:val="20"/>
        </w:rPr>
        <w:t>agreements</w:t>
      </w:r>
      <w:r w:rsidRPr="002B6875">
        <w:rPr>
          <w:rFonts w:ascii="Arial" w:hAnsi="Arial" w:cs="Arial"/>
          <w:spacing w:val="-4"/>
          <w:sz w:val="20"/>
          <w:szCs w:val="20"/>
        </w:rPr>
        <w:t xml:space="preserve"> </w:t>
      </w:r>
      <w:r w:rsidRPr="002B6875">
        <w:rPr>
          <w:rFonts w:ascii="Arial" w:hAnsi="Arial" w:cs="Arial"/>
          <w:sz w:val="20"/>
          <w:szCs w:val="20"/>
        </w:rPr>
        <w:t>underlying</w:t>
      </w:r>
      <w:r w:rsidRPr="002B6875">
        <w:rPr>
          <w:rFonts w:ascii="Arial" w:hAnsi="Arial" w:cs="Arial"/>
          <w:spacing w:val="-4"/>
          <w:sz w:val="20"/>
          <w:szCs w:val="20"/>
        </w:rPr>
        <w:t xml:space="preserve"> </w:t>
      </w:r>
      <w:r w:rsidRPr="002B6875">
        <w:rPr>
          <w:rFonts w:ascii="Arial" w:hAnsi="Arial" w:cs="Arial"/>
          <w:sz w:val="20"/>
          <w:szCs w:val="20"/>
        </w:rPr>
        <w:t>the</w:t>
      </w:r>
      <w:r w:rsidRPr="002B6875">
        <w:rPr>
          <w:rFonts w:ascii="Arial" w:hAnsi="Arial" w:cs="Arial"/>
          <w:spacing w:val="-5"/>
          <w:sz w:val="20"/>
          <w:szCs w:val="20"/>
        </w:rPr>
        <w:t xml:space="preserve"> </w:t>
      </w:r>
      <w:r w:rsidRPr="002B6875">
        <w:rPr>
          <w:rFonts w:ascii="Arial" w:hAnsi="Arial" w:cs="Arial"/>
          <w:sz w:val="20"/>
          <w:szCs w:val="20"/>
        </w:rPr>
        <w:t>EPA’s</w:t>
      </w:r>
      <w:r w:rsidRPr="002B6875">
        <w:rPr>
          <w:rFonts w:ascii="Arial" w:hAnsi="Arial" w:cs="Arial"/>
          <w:spacing w:val="-4"/>
          <w:sz w:val="20"/>
          <w:szCs w:val="20"/>
        </w:rPr>
        <w:t xml:space="preserve"> </w:t>
      </w:r>
      <w:r w:rsidRPr="002B6875">
        <w:rPr>
          <w:rFonts w:ascii="Arial" w:hAnsi="Arial" w:cs="Arial"/>
          <w:sz w:val="20"/>
          <w:szCs w:val="20"/>
        </w:rPr>
        <w:t xml:space="preserve">approval of IBR in Texas, and the EPA’s longstanding position concerning IBR. Pursuant to 40 CFR § 70.8(c)(1), EPA objects to the issuance of the Shell Chemical Plant </w:t>
      </w:r>
      <w:proofErr w:type="gramStart"/>
      <w:r w:rsidRPr="002B6875">
        <w:rPr>
          <w:rFonts w:ascii="Arial" w:hAnsi="Arial" w:cs="Arial"/>
          <w:sz w:val="20"/>
          <w:szCs w:val="20"/>
        </w:rPr>
        <w:t>title</w:t>
      </w:r>
      <w:proofErr w:type="gramEnd"/>
      <w:r w:rsidRPr="002B6875">
        <w:rPr>
          <w:rFonts w:ascii="Arial" w:hAnsi="Arial" w:cs="Arial"/>
          <w:sz w:val="20"/>
          <w:szCs w:val="20"/>
        </w:rPr>
        <w:t xml:space="preserve"> V permit since it is not in compliance with the requirements of CAA § 504(a) and 40 CFR § 70.6(a)(1) &amp; (3).</w:t>
      </w:r>
    </w:p>
    <w:p w14:paraId="463B9B9B" w14:textId="77777777" w:rsidR="00376A8B" w:rsidRPr="002B6875" w:rsidRDefault="00376A8B" w:rsidP="0095602A">
      <w:pPr>
        <w:pStyle w:val="BodyText"/>
        <w:rPr>
          <w:rFonts w:ascii="Arial" w:hAnsi="Arial" w:cs="Arial"/>
          <w:sz w:val="20"/>
          <w:szCs w:val="20"/>
        </w:rPr>
      </w:pPr>
    </w:p>
    <w:p w14:paraId="02E9ED5B" w14:textId="77CD65FE" w:rsidR="00376A8B" w:rsidRPr="002B6875" w:rsidRDefault="00376A8B" w:rsidP="0095602A">
      <w:pPr>
        <w:pStyle w:val="ListParagraph"/>
        <w:tabs>
          <w:tab w:val="left" w:pos="701"/>
        </w:tabs>
        <w:ind w:left="0" w:firstLine="0"/>
        <w:rPr>
          <w:rFonts w:ascii="Arial" w:hAnsi="Arial" w:cs="Arial"/>
          <w:sz w:val="20"/>
          <w:szCs w:val="20"/>
        </w:rPr>
      </w:pPr>
      <w:r w:rsidRPr="002B6875">
        <w:rPr>
          <w:rFonts w:ascii="Arial" w:hAnsi="Arial" w:cs="Arial"/>
          <w:sz w:val="20"/>
          <w:szCs w:val="20"/>
        </w:rPr>
        <w:t xml:space="preserve">In response to this objection, </w:t>
      </w:r>
      <w:r w:rsidRPr="00897EBE">
        <w:rPr>
          <w:rFonts w:ascii="Arial" w:hAnsi="Arial" w:cs="Arial"/>
          <w:sz w:val="20"/>
          <w:szCs w:val="20"/>
        </w:rPr>
        <w:t>TCEQ should review the listed PBR registrations to determine if they are applicable to the Shell Chemical Plant authorized by title V permit O1668</w:t>
      </w:r>
      <w:r w:rsidRPr="002B6875">
        <w:rPr>
          <w:rFonts w:ascii="Arial" w:hAnsi="Arial" w:cs="Arial"/>
          <w:sz w:val="20"/>
          <w:szCs w:val="20"/>
        </w:rPr>
        <w:t>. If so, the title V permit and/or PBR Supplemental Table should be revised to include all registered PBRs. EPA understands that the Shell Refinery and Shell Chemical Plant previously operated under a common Regulated Entity Reference Number (RN100211879), but the refinery now operates under a different</w:t>
      </w:r>
      <w:r w:rsidRPr="002B6875">
        <w:rPr>
          <w:rFonts w:ascii="Arial" w:hAnsi="Arial" w:cs="Arial"/>
          <w:spacing w:val="-3"/>
          <w:sz w:val="20"/>
          <w:szCs w:val="20"/>
        </w:rPr>
        <w:t xml:space="preserve"> </w:t>
      </w:r>
      <w:r w:rsidRPr="002B6875">
        <w:rPr>
          <w:rFonts w:ascii="Arial" w:hAnsi="Arial" w:cs="Arial"/>
          <w:sz w:val="20"/>
          <w:szCs w:val="20"/>
        </w:rPr>
        <w:t>RN</w:t>
      </w:r>
      <w:r w:rsidRPr="002B6875">
        <w:rPr>
          <w:rFonts w:ascii="Arial" w:hAnsi="Arial" w:cs="Arial"/>
          <w:spacing w:val="-3"/>
          <w:sz w:val="20"/>
          <w:szCs w:val="20"/>
        </w:rPr>
        <w:t xml:space="preserve"> </w:t>
      </w:r>
      <w:r w:rsidRPr="002B6875">
        <w:rPr>
          <w:rFonts w:ascii="Arial" w:hAnsi="Arial" w:cs="Arial"/>
          <w:sz w:val="20"/>
          <w:szCs w:val="20"/>
        </w:rPr>
        <w:t>number</w:t>
      </w:r>
      <w:r w:rsidRPr="002B6875">
        <w:rPr>
          <w:rFonts w:ascii="Arial" w:hAnsi="Arial" w:cs="Arial"/>
          <w:spacing w:val="-4"/>
          <w:sz w:val="20"/>
          <w:szCs w:val="20"/>
        </w:rPr>
        <w:t xml:space="preserve"> </w:t>
      </w:r>
      <w:r w:rsidRPr="002B6875">
        <w:rPr>
          <w:rFonts w:ascii="Arial" w:hAnsi="Arial" w:cs="Arial"/>
          <w:sz w:val="20"/>
          <w:szCs w:val="20"/>
        </w:rPr>
        <w:t>since</w:t>
      </w:r>
      <w:r w:rsidRPr="002B6875">
        <w:rPr>
          <w:rFonts w:ascii="Arial" w:hAnsi="Arial" w:cs="Arial"/>
          <w:spacing w:val="-4"/>
          <w:sz w:val="20"/>
          <w:szCs w:val="20"/>
        </w:rPr>
        <w:t xml:space="preserve"> </w:t>
      </w:r>
      <w:r w:rsidRPr="002B6875">
        <w:rPr>
          <w:rFonts w:ascii="Arial" w:hAnsi="Arial" w:cs="Arial"/>
          <w:sz w:val="20"/>
          <w:szCs w:val="20"/>
        </w:rPr>
        <w:t>the</w:t>
      </w:r>
      <w:r w:rsidRPr="002B6875">
        <w:rPr>
          <w:rFonts w:ascii="Arial" w:hAnsi="Arial" w:cs="Arial"/>
          <w:spacing w:val="-3"/>
          <w:sz w:val="20"/>
          <w:szCs w:val="20"/>
        </w:rPr>
        <w:t xml:space="preserve"> </w:t>
      </w:r>
      <w:r w:rsidRPr="002B6875">
        <w:rPr>
          <w:rFonts w:ascii="Arial" w:hAnsi="Arial" w:cs="Arial"/>
          <w:sz w:val="20"/>
          <w:szCs w:val="20"/>
        </w:rPr>
        <w:t>company</w:t>
      </w:r>
      <w:r w:rsidRPr="002B6875">
        <w:rPr>
          <w:rFonts w:ascii="Arial" w:hAnsi="Arial" w:cs="Arial"/>
          <w:spacing w:val="-3"/>
          <w:sz w:val="20"/>
          <w:szCs w:val="20"/>
        </w:rPr>
        <w:t xml:space="preserve"> </w:t>
      </w:r>
      <w:r w:rsidRPr="002B6875">
        <w:rPr>
          <w:rFonts w:ascii="Arial" w:hAnsi="Arial" w:cs="Arial"/>
          <w:sz w:val="20"/>
          <w:szCs w:val="20"/>
        </w:rPr>
        <w:t>and</w:t>
      </w:r>
      <w:r w:rsidRPr="002B6875">
        <w:rPr>
          <w:rFonts w:ascii="Arial" w:hAnsi="Arial" w:cs="Arial"/>
          <w:spacing w:val="-3"/>
          <w:sz w:val="20"/>
          <w:szCs w:val="20"/>
        </w:rPr>
        <w:t xml:space="preserve"> </w:t>
      </w:r>
      <w:r w:rsidRPr="002B6875">
        <w:rPr>
          <w:rFonts w:ascii="Arial" w:hAnsi="Arial" w:cs="Arial"/>
          <w:sz w:val="20"/>
          <w:szCs w:val="20"/>
        </w:rPr>
        <w:t>TCEQ</w:t>
      </w:r>
      <w:r w:rsidRPr="002B6875">
        <w:rPr>
          <w:rFonts w:ascii="Arial" w:hAnsi="Arial" w:cs="Arial"/>
          <w:spacing w:val="-3"/>
          <w:sz w:val="20"/>
          <w:szCs w:val="20"/>
        </w:rPr>
        <w:t xml:space="preserve"> </w:t>
      </w:r>
      <w:r w:rsidRPr="002B6875">
        <w:rPr>
          <w:rFonts w:ascii="Arial" w:hAnsi="Arial" w:cs="Arial"/>
          <w:sz w:val="20"/>
          <w:szCs w:val="20"/>
        </w:rPr>
        <w:t>have</w:t>
      </w:r>
      <w:r w:rsidRPr="002B6875">
        <w:rPr>
          <w:rFonts w:ascii="Arial" w:hAnsi="Arial" w:cs="Arial"/>
          <w:spacing w:val="-4"/>
          <w:sz w:val="20"/>
          <w:szCs w:val="20"/>
        </w:rPr>
        <w:t xml:space="preserve"> </w:t>
      </w:r>
      <w:r w:rsidRPr="002B6875">
        <w:rPr>
          <w:rFonts w:ascii="Arial" w:hAnsi="Arial" w:cs="Arial"/>
          <w:sz w:val="20"/>
          <w:szCs w:val="20"/>
        </w:rPr>
        <w:t>worked</w:t>
      </w:r>
      <w:r w:rsidRPr="002B6875">
        <w:rPr>
          <w:rFonts w:ascii="Arial" w:hAnsi="Arial" w:cs="Arial"/>
          <w:spacing w:val="-3"/>
          <w:sz w:val="20"/>
          <w:szCs w:val="20"/>
        </w:rPr>
        <w:t xml:space="preserve"> </w:t>
      </w:r>
      <w:r w:rsidRPr="002B6875">
        <w:rPr>
          <w:rFonts w:ascii="Arial" w:hAnsi="Arial" w:cs="Arial"/>
          <w:sz w:val="20"/>
          <w:szCs w:val="20"/>
        </w:rPr>
        <w:t>to</w:t>
      </w:r>
      <w:r w:rsidRPr="002B6875">
        <w:rPr>
          <w:rFonts w:ascii="Arial" w:hAnsi="Arial" w:cs="Arial"/>
          <w:spacing w:val="-3"/>
          <w:sz w:val="20"/>
          <w:szCs w:val="20"/>
        </w:rPr>
        <w:t xml:space="preserve"> </w:t>
      </w:r>
      <w:r w:rsidRPr="002B6875">
        <w:rPr>
          <w:rFonts w:ascii="Arial" w:hAnsi="Arial" w:cs="Arial"/>
          <w:sz w:val="20"/>
          <w:szCs w:val="20"/>
        </w:rPr>
        <w:t>separate</w:t>
      </w:r>
      <w:r w:rsidRPr="002B6875">
        <w:rPr>
          <w:rFonts w:ascii="Arial" w:hAnsi="Arial" w:cs="Arial"/>
          <w:spacing w:val="-4"/>
          <w:sz w:val="20"/>
          <w:szCs w:val="20"/>
        </w:rPr>
        <w:t xml:space="preserve"> </w:t>
      </w:r>
      <w:r w:rsidRPr="002B6875">
        <w:rPr>
          <w:rFonts w:ascii="Arial" w:hAnsi="Arial" w:cs="Arial"/>
          <w:sz w:val="20"/>
          <w:szCs w:val="20"/>
        </w:rPr>
        <w:t>their</w:t>
      </w:r>
      <w:r w:rsidRPr="002B6875">
        <w:rPr>
          <w:rFonts w:ascii="Arial" w:hAnsi="Arial" w:cs="Arial"/>
          <w:spacing w:val="-3"/>
          <w:sz w:val="20"/>
          <w:szCs w:val="20"/>
        </w:rPr>
        <w:t xml:space="preserve"> </w:t>
      </w:r>
      <w:r w:rsidRPr="002B6875">
        <w:rPr>
          <w:rFonts w:ascii="Arial" w:hAnsi="Arial" w:cs="Arial"/>
          <w:sz w:val="20"/>
          <w:szCs w:val="20"/>
        </w:rPr>
        <w:t>operating</w:t>
      </w:r>
      <w:r w:rsidRPr="002B6875">
        <w:rPr>
          <w:rFonts w:ascii="Arial" w:hAnsi="Arial" w:cs="Arial"/>
          <w:spacing w:val="-3"/>
          <w:sz w:val="20"/>
          <w:szCs w:val="20"/>
        </w:rPr>
        <w:t xml:space="preserve"> </w:t>
      </w:r>
      <w:r w:rsidRPr="002B6875">
        <w:rPr>
          <w:rFonts w:ascii="Arial" w:hAnsi="Arial" w:cs="Arial"/>
          <w:sz w:val="20"/>
          <w:szCs w:val="20"/>
        </w:rPr>
        <w:t xml:space="preserve">permits. To the extent that any of the </w:t>
      </w:r>
      <w:proofErr w:type="gramStart"/>
      <w:r w:rsidRPr="002B6875">
        <w:rPr>
          <w:rFonts w:ascii="Arial" w:hAnsi="Arial" w:cs="Arial"/>
          <w:sz w:val="20"/>
          <w:szCs w:val="20"/>
        </w:rPr>
        <w:t>aforementioned PBR</w:t>
      </w:r>
      <w:proofErr w:type="gramEnd"/>
      <w:r w:rsidRPr="002B6875">
        <w:rPr>
          <w:rFonts w:ascii="Arial" w:hAnsi="Arial" w:cs="Arial"/>
          <w:sz w:val="20"/>
          <w:szCs w:val="20"/>
        </w:rPr>
        <w:t xml:space="preserve"> registrations apply solely to units authorized by the Shell Refinery under title V </w:t>
      </w:r>
      <w:r w:rsidRPr="002B6875">
        <w:rPr>
          <w:rFonts w:ascii="Arial" w:hAnsi="Arial" w:cs="Arial"/>
          <w:sz w:val="20"/>
          <w:szCs w:val="20"/>
        </w:rPr>
        <w:lastRenderedPageBreak/>
        <w:t>permit O1669, please ensure that those PBR registrations are included in the O1669 permit or associated PBR Supplemental Table for that title V permit.</w:t>
      </w:r>
    </w:p>
    <w:p w14:paraId="6F34B589" w14:textId="77777777" w:rsidR="00376A8B" w:rsidRPr="002B6875" w:rsidRDefault="00376A8B" w:rsidP="0095602A">
      <w:pPr>
        <w:rPr>
          <w:rStyle w:val="Strong"/>
          <w:rFonts w:cs="Arial"/>
          <w:szCs w:val="20"/>
        </w:rPr>
      </w:pPr>
    </w:p>
    <w:p w14:paraId="673A7D2A" w14:textId="77777777" w:rsidR="00857D69" w:rsidRDefault="00376A8B" w:rsidP="0095602A">
      <w:pPr>
        <w:rPr>
          <w:rFonts w:cs="Arial"/>
          <w:szCs w:val="20"/>
        </w:rPr>
      </w:pPr>
      <w:r w:rsidRPr="002B6875">
        <w:rPr>
          <w:rStyle w:val="Strong"/>
          <w:rFonts w:cs="Arial"/>
          <w:szCs w:val="20"/>
        </w:rPr>
        <w:t>TCEQ Response</w:t>
      </w:r>
      <w:r w:rsidR="00F13E5C">
        <w:rPr>
          <w:rStyle w:val="Strong"/>
          <w:rFonts w:cs="Arial"/>
          <w:szCs w:val="20"/>
        </w:rPr>
        <w:t xml:space="preserve"> to Objection 3</w:t>
      </w:r>
      <w:r w:rsidRPr="002B6875">
        <w:rPr>
          <w:rStyle w:val="Strong"/>
          <w:rFonts w:cs="Arial"/>
          <w:szCs w:val="20"/>
        </w:rPr>
        <w:t>:</w:t>
      </w:r>
      <w:r w:rsidRPr="002B6875">
        <w:rPr>
          <w:rFonts w:cs="Arial"/>
          <w:szCs w:val="20"/>
        </w:rPr>
        <w:t xml:space="preserve"> </w:t>
      </w:r>
      <w:r w:rsidR="00857D69">
        <w:rPr>
          <w:rFonts w:cs="Arial"/>
          <w:szCs w:val="20"/>
        </w:rPr>
        <w:t>As noted by EPA,</w:t>
      </w:r>
      <w:r w:rsidR="00857D69" w:rsidRPr="002B6875">
        <w:rPr>
          <w:rFonts w:cs="Arial"/>
          <w:szCs w:val="20"/>
        </w:rPr>
        <w:t xml:space="preserve"> the Shell Refinery and Shell Chemical Plant previously operated under a common Regulated Entity Reference Number (RN100211879), but the refinery now operates under a different</w:t>
      </w:r>
      <w:r w:rsidR="00857D69" w:rsidRPr="002B6875">
        <w:rPr>
          <w:rFonts w:cs="Arial"/>
          <w:spacing w:val="-3"/>
          <w:szCs w:val="20"/>
        </w:rPr>
        <w:t xml:space="preserve"> </w:t>
      </w:r>
      <w:r w:rsidR="00857D69" w:rsidRPr="002B6875">
        <w:rPr>
          <w:rFonts w:cs="Arial"/>
          <w:szCs w:val="20"/>
        </w:rPr>
        <w:t>RN</w:t>
      </w:r>
      <w:r w:rsidR="00857D69" w:rsidRPr="002B6875">
        <w:rPr>
          <w:rFonts w:cs="Arial"/>
          <w:spacing w:val="-3"/>
          <w:szCs w:val="20"/>
        </w:rPr>
        <w:t xml:space="preserve"> </w:t>
      </w:r>
      <w:r w:rsidR="00857D69" w:rsidRPr="002B6875">
        <w:rPr>
          <w:rFonts w:cs="Arial"/>
          <w:szCs w:val="20"/>
        </w:rPr>
        <w:t>number</w:t>
      </w:r>
      <w:r w:rsidR="00857D69" w:rsidRPr="002B6875">
        <w:rPr>
          <w:rFonts w:cs="Arial"/>
          <w:spacing w:val="-4"/>
          <w:szCs w:val="20"/>
        </w:rPr>
        <w:t xml:space="preserve"> </w:t>
      </w:r>
      <w:r w:rsidR="00857D69" w:rsidRPr="002B6875">
        <w:rPr>
          <w:rFonts w:cs="Arial"/>
          <w:szCs w:val="20"/>
        </w:rPr>
        <w:t>since</w:t>
      </w:r>
      <w:r w:rsidR="00857D69" w:rsidRPr="002B6875">
        <w:rPr>
          <w:rFonts w:cs="Arial"/>
          <w:spacing w:val="-4"/>
          <w:szCs w:val="20"/>
        </w:rPr>
        <w:t xml:space="preserve"> </w:t>
      </w:r>
      <w:r w:rsidR="00857D69" w:rsidRPr="002B6875">
        <w:rPr>
          <w:rFonts w:cs="Arial"/>
          <w:szCs w:val="20"/>
        </w:rPr>
        <w:t>the</w:t>
      </w:r>
      <w:r w:rsidR="00857D69" w:rsidRPr="002B6875">
        <w:rPr>
          <w:rFonts w:cs="Arial"/>
          <w:spacing w:val="-3"/>
          <w:szCs w:val="20"/>
        </w:rPr>
        <w:t xml:space="preserve"> </w:t>
      </w:r>
      <w:r w:rsidR="00857D69" w:rsidRPr="002B6875">
        <w:rPr>
          <w:rFonts w:cs="Arial"/>
          <w:szCs w:val="20"/>
        </w:rPr>
        <w:t>company</w:t>
      </w:r>
      <w:r w:rsidR="00857D69" w:rsidRPr="002B6875">
        <w:rPr>
          <w:rFonts w:cs="Arial"/>
          <w:spacing w:val="-3"/>
          <w:szCs w:val="20"/>
        </w:rPr>
        <w:t xml:space="preserve"> </w:t>
      </w:r>
      <w:r w:rsidR="00857D69" w:rsidRPr="002B6875">
        <w:rPr>
          <w:rFonts w:cs="Arial"/>
          <w:szCs w:val="20"/>
        </w:rPr>
        <w:t>and</w:t>
      </w:r>
      <w:r w:rsidR="00857D69" w:rsidRPr="002B6875">
        <w:rPr>
          <w:rFonts w:cs="Arial"/>
          <w:spacing w:val="-3"/>
          <w:szCs w:val="20"/>
        </w:rPr>
        <w:t xml:space="preserve"> </w:t>
      </w:r>
      <w:r w:rsidR="00857D69" w:rsidRPr="002B6875">
        <w:rPr>
          <w:rFonts w:cs="Arial"/>
          <w:szCs w:val="20"/>
        </w:rPr>
        <w:t>TCEQ</w:t>
      </w:r>
      <w:r w:rsidR="00857D69" w:rsidRPr="002B6875">
        <w:rPr>
          <w:rFonts w:cs="Arial"/>
          <w:spacing w:val="-3"/>
          <w:szCs w:val="20"/>
        </w:rPr>
        <w:t xml:space="preserve"> </w:t>
      </w:r>
      <w:r w:rsidR="00857D69" w:rsidRPr="002B6875">
        <w:rPr>
          <w:rFonts w:cs="Arial"/>
          <w:szCs w:val="20"/>
        </w:rPr>
        <w:t>have</w:t>
      </w:r>
      <w:r w:rsidR="00857D69" w:rsidRPr="002B6875">
        <w:rPr>
          <w:rFonts w:cs="Arial"/>
          <w:spacing w:val="-4"/>
          <w:szCs w:val="20"/>
        </w:rPr>
        <w:t xml:space="preserve"> </w:t>
      </w:r>
      <w:r w:rsidR="00857D69" w:rsidRPr="002B6875">
        <w:rPr>
          <w:rFonts w:cs="Arial"/>
          <w:szCs w:val="20"/>
        </w:rPr>
        <w:t>worked</w:t>
      </w:r>
      <w:r w:rsidR="00857D69" w:rsidRPr="002B6875">
        <w:rPr>
          <w:rFonts w:cs="Arial"/>
          <w:spacing w:val="-3"/>
          <w:szCs w:val="20"/>
        </w:rPr>
        <w:t xml:space="preserve"> </w:t>
      </w:r>
      <w:r w:rsidR="00857D69" w:rsidRPr="002B6875">
        <w:rPr>
          <w:rFonts w:cs="Arial"/>
          <w:szCs w:val="20"/>
        </w:rPr>
        <w:t>to</w:t>
      </w:r>
      <w:r w:rsidR="00857D69" w:rsidRPr="002B6875">
        <w:rPr>
          <w:rFonts w:cs="Arial"/>
          <w:spacing w:val="-3"/>
          <w:szCs w:val="20"/>
        </w:rPr>
        <w:t xml:space="preserve"> </w:t>
      </w:r>
      <w:r w:rsidR="00857D69" w:rsidRPr="002B6875">
        <w:rPr>
          <w:rFonts w:cs="Arial"/>
          <w:szCs w:val="20"/>
        </w:rPr>
        <w:t>separate</w:t>
      </w:r>
      <w:r w:rsidR="00857D69" w:rsidRPr="002B6875">
        <w:rPr>
          <w:rFonts w:cs="Arial"/>
          <w:spacing w:val="-4"/>
          <w:szCs w:val="20"/>
        </w:rPr>
        <w:t xml:space="preserve"> </w:t>
      </w:r>
      <w:r w:rsidR="00857D69" w:rsidRPr="002B6875">
        <w:rPr>
          <w:rFonts w:cs="Arial"/>
          <w:szCs w:val="20"/>
        </w:rPr>
        <w:t>their</w:t>
      </w:r>
      <w:r w:rsidR="00857D69" w:rsidRPr="002B6875">
        <w:rPr>
          <w:rFonts w:cs="Arial"/>
          <w:spacing w:val="-3"/>
          <w:szCs w:val="20"/>
        </w:rPr>
        <w:t xml:space="preserve"> </w:t>
      </w:r>
      <w:r w:rsidR="00857D69" w:rsidRPr="002B6875">
        <w:rPr>
          <w:rFonts w:cs="Arial"/>
          <w:szCs w:val="20"/>
        </w:rPr>
        <w:t>operating</w:t>
      </w:r>
      <w:r w:rsidR="00857D69" w:rsidRPr="002B6875">
        <w:rPr>
          <w:rFonts w:cs="Arial"/>
          <w:spacing w:val="-3"/>
          <w:szCs w:val="20"/>
        </w:rPr>
        <w:t xml:space="preserve"> </w:t>
      </w:r>
      <w:r w:rsidR="00857D69" w:rsidRPr="002B6875">
        <w:rPr>
          <w:rFonts w:cs="Arial"/>
          <w:szCs w:val="20"/>
        </w:rPr>
        <w:t xml:space="preserve">permits. </w:t>
      </w:r>
      <w:r w:rsidR="00134290">
        <w:rPr>
          <w:rFonts w:cs="Arial"/>
          <w:szCs w:val="20"/>
        </w:rPr>
        <w:t>Applicant</w:t>
      </w:r>
      <w:r w:rsidR="00225524">
        <w:rPr>
          <w:rFonts w:cs="Arial"/>
          <w:szCs w:val="20"/>
        </w:rPr>
        <w:t xml:space="preserve"> had submitted a minor revision in May 2022 to incorporate updated preconstruction authorizations</w:t>
      </w:r>
      <w:r w:rsidR="00262880">
        <w:rPr>
          <w:rFonts w:cs="Arial"/>
          <w:szCs w:val="20"/>
        </w:rPr>
        <w:t xml:space="preserve"> resulting from the divestment from Deer Park Refinery (Permit O1669)</w:t>
      </w:r>
      <w:r w:rsidR="00225524">
        <w:rPr>
          <w:rFonts w:cs="Arial"/>
          <w:szCs w:val="20"/>
        </w:rPr>
        <w:t xml:space="preserve">.  That minor revision project is now incorporated in this renewal project, and all preconstruction authorizations </w:t>
      </w:r>
      <w:r w:rsidR="00B91898">
        <w:rPr>
          <w:rFonts w:cs="Arial"/>
          <w:szCs w:val="20"/>
        </w:rPr>
        <w:t>have been</w:t>
      </w:r>
      <w:r w:rsidR="00225524">
        <w:rPr>
          <w:rFonts w:cs="Arial"/>
          <w:szCs w:val="20"/>
        </w:rPr>
        <w:t xml:space="preserve"> updated</w:t>
      </w:r>
      <w:r w:rsidR="00B91898">
        <w:rPr>
          <w:rFonts w:cs="Arial"/>
          <w:szCs w:val="20"/>
        </w:rPr>
        <w:t xml:space="preserve"> in the proposed permit</w:t>
      </w:r>
      <w:r w:rsidR="00857D69">
        <w:rPr>
          <w:rFonts w:cs="Arial"/>
          <w:szCs w:val="20"/>
        </w:rPr>
        <w:t xml:space="preserve"> (</w:t>
      </w:r>
      <w:r w:rsidR="00857D69" w:rsidRPr="00D8588E">
        <w:rPr>
          <w:rFonts w:cs="Arial"/>
          <w:szCs w:val="20"/>
        </w:rPr>
        <w:t>New Source Review Authorization References</w:t>
      </w:r>
      <w:r w:rsidR="00857D69">
        <w:rPr>
          <w:rFonts w:cs="Arial"/>
          <w:szCs w:val="20"/>
        </w:rPr>
        <w:t xml:space="preserve"> table at page 475)</w:t>
      </w:r>
      <w:r w:rsidR="00B91898">
        <w:rPr>
          <w:rFonts w:cs="Arial"/>
          <w:szCs w:val="20"/>
        </w:rPr>
        <w:t xml:space="preserve">. </w:t>
      </w:r>
    </w:p>
    <w:p w14:paraId="4886F1EF" w14:textId="77777777" w:rsidR="00857D69" w:rsidRDefault="00857D69" w:rsidP="0095602A">
      <w:pPr>
        <w:rPr>
          <w:rFonts w:cs="Arial"/>
          <w:szCs w:val="20"/>
        </w:rPr>
      </w:pPr>
    </w:p>
    <w:p w14:paraId="22316D37" w14:textId="3F43A559" w:rsidR="00134290" w:rsidRPr="002B6875" w:rsidRDefault="00D772FD" w:rsidP="0095602A">
      <w:pPr>
        <w:rPr>
          <w:rFonts w:cs="Arial"/>
          <w:szCs w:val="20"/>
        </w:rPr>
      </w:pPr>
      <w:r>
        <w:rPr>
          <w:rFonts w:cs="Arial"/>
          <w:szCs w:val="20"/>
        </w:rPr>
        <w:t>U</w:t>
      </w:r>
      <w:r w:rsidRPr="00D772FD">
        <w:rPr>
          <w:rFonts w:cs="Arial"/>
          <w:szCs w:val="20"/>
        </w:rPr>
        <w:t xml:space="preserve">pdated preconstruction authorizations resulting from the divestment </w:t>
      </w:r>
      <w:r>
        <w:rPr>
          <w:rFonts w:cs="Arial"/>
          <w:szCs w:val="20"/>
        </w:rPr>
        <w:t>also included a</w:t>
      </w:r>
      <w:r w:rsidR="00097D7E">
        <w:rPr>
          <w:rFonts w:cs="Arial"/>
          <w:szCs w:val="20"/>
        </w:rPr>
        <w:t xml:space="preserve"> revised</w:t>
      </w:r>
      <w:r w:rsidR="00B91898" w:rsidRPr="006136F6">
        <w:rPr>
          <w:rFonts w:cs="Arial"/>
          <w:szCs w:val="20"/>
        </w:rPr>
        <w:t xml:space="preserve"> PBR Supplemental Table (OP-PBRSUP) </w:t>
      </w:r>
      <w:bookmarkStart w:id="0" w:name="_Hlk158872843"/>
      <w:r w:rsidR="00097D7E">
        <w:rPr>
          <w:rFonts w:cs="Arial"/>
          <w:szCs w:val="20"/>
        </w:rPr>
        <w:t>dated January 31, 2023</w:t>
      </w:r>
      <w:r>
        <w:rPr>
          <w:rFonts w:cs="Arial"/>
          <w:szCs w:val="20"/>
        </w:rPr>
        <w:t>,</w:t>
      </w:r>
      <w:r w:rsidR="00097D7E">
        <w:rPr>
          <w:rFonts w:cs="Arial"/>
          <w:szCs w:val="20"/>
        </w:rPr>
        <w:t xml:space="preserve"> </w:t>
      </w:r>
      <w:bookmarkEnd w:id="0"/>
      <w:r>
        <w:rPr>
          <w:rFonts w:cs="Arial"/>
          <w:szCs w:val="20"/>
        </w:rPr>
        <w:t xml:space="preserve">which </w:t>
      </w:r>
      <w:r w:rsidR="00B91898">
        <w:rPr>
          <w:rFonts w:cs="Arial"/>
          <w:szCs w:val="20"/>
        </w:rPr>
        <w:t xml:space="preserve">is included in the application file for </w:t>
      </w:r>
      <w:r w:rsidR="00134290">
        <w:rPr>
          <w:rFonts w:cs="Arial"/>
          <w:szCs w:val="20"/>
        </w:rPr>
        <w:t>FOP O1668/</w:t>
      </w:r>
      <w:r w:rsidR="00B91898">
        <w:rPr>
          <w:rFonts w:cs="Arial"/>
          <w:szCs w:val="20"/>
        </w:rPr>
        <w:t>project 28179.</w:t>
      </w:r>
      <w:r w:rsidR="00134290">
        <w:rPr>
          <w:rFonts w:cs="Arial"/>
          <w:szCs w:val="20"/>
        </w:rPr>
        <w:t xml:space="preserve"> </w:t>
      </w:r>
      <w:r w:rsidR="00134290" w:rsidRPr="00134290">
        <w:rPr>
          <w:rFonts w:cs="Arial"/>
          <w:szCs w:val="20"/>
        </w:rPr>
        <w:t>Missing PBR registration numbers 164009, 167075, 168056, 168460, and 168727</w:t>
      </w:r>
      <w:r w:rsidR="00134290">
        <w:rPr>
          <w:rFonts w:cs="Arial"/>
          <w:szCs w:val="20"/>
        </w:rPr>
        <w:t xml:space="preserve"> have been added to the OP-PBRSUP table dated January 31, 2023</w:t>
      </w:r>
      <w:r>
        <w:rPr>
          <w:rFonts w:cs="Arial"/>
          <w:szCs w:val="20"/>
        </w:rPr>
        <w:t>,</w:t>
      </w:r>
      <w:r w:rsidR="00134290">
        <w:rPr>
          <w:rFonts w:cs="Arial"/>
          <w:szCs w:val="20"/>
        </w:rPr>
        <w:t xml:space="preserve"> and the proposed permit (</w:t>
      </w:r>
      <w:r w:rsidR="00134290" w:rsidRPr="00134290">
        <w:rPr>
          <w:rFonts w:cs="Arial"/>
          <w:szCs w:val="20"/>
        </w:rPr>
        <w:t>New Source Review Authorization References by Emissions Unit</w:t>
      </w:r>
      <w:r w:rsidR="00134290">
        <w:rPr>
          <w:rFonts w:cs="Arial"/>
          <w:szCs w:val="20"/>
        </w:rPr>
        <w:t xml:space="preserve"> at pages 477 through 494).</w:t>
      </w:r>
    </w:p>
    <w:p w14:paraId="4A24A89F" w14:textId="77777777" w:rsidR="00376A8B" w:rsidRPr="002B6875" w:rsidRDefault="00376A8B" w:rsidP="0095602A">
      <w:pPr>
        <w:rPr>
          <w:rFonts w:cs="Arial"/>
          <w:szCs w:val="20"/>
        </w:rPr>
      </w:pPr>
    </w:p>
    <w:p w14:paraId="1FAE6041" w14:textId="38D45F24" w:rsidR="00376A8B" w:rsidRPr="0088531E" w:rsidRDefault="00376A8B" w:rsidP="0088531E">
      <w:pPr>
        <w:rPr>
          <w:rFonts w:cs="Arial"/>
          <w:szCs w:val="20"/>
        </w:rPr>
      </w:pPr>
      <w:r w:rsidRPr="002B6875">
        <w:rPr>
          <w:rStyle w:val="Strong"/>
          <w:rFonts w:cs="Arial"/>
          <w:szCs w:val="20"/>
        </w:rPr>
        <w:t>EPA Objection</w:t>
      </w:r>
      <w:r w:rsidR="0088531E">
        <w:rPr>
          <w:rStyle w:val="Strong"/>
          <w:rFonts w:cs="Arial"/>
          <w:szCs w:val="20"/>
        </w:rPr>
        <w:t xml:space="preserve"> 4</w:t>
      </w:r>
      <w:r w:rsidRPr="002B6875">
        <w:rPr>
          <w:rStyle w:val="Strong"/>
          <w:rFonts w:cs="Arial"/>
          <w:szCs w:val="20"/>
        </w:rPr>
        <w:t>:</w:t>
      </w:r>
      <w:r w:rsidRPr="002B6875">
        <w:rPr>
          <w:rFonts w:cs="Arial"/>
          <w:szCs w:val="20"/>
        </w:rPr>
        <w:t xml:space="preserve"> </w:t>
      </w:r>
      <w:r w:rsidRPr="0088531E">
        <w:rPr>
          <w:rFonts w:cs="Arial"/>
          <w:b/>
          <w:szCs w:val="20"/>
        </w:rPr>
        <w:t xml:space="preserve">Objection for Failure to Include Adequate Monitoring for PBRs. </w:t>
      </w:r>
      <w:r w:rsidRPr="0088531E">
        <w:rPr>
          <w:rFonts w:cs="Arial"/>
          <w:szCs w:val="20"/>
        </w:rPr>
        <w:t>EPA finds that the draft Response</w:t>
      </w:r>
      <w:r w:rsidRPr="0088531E">
        <w:rPr>
          <w:rFonts w:cs="Arial"/>
          <w:spacing w:val="-5"/>
          <w:szCs w:val="20"/>
        </w:rPr>
        <w:t xml:space="preserve"> </w:t>
      </w:r>
      <w:r w:rsidRPr="0088531E">
        <w:rPr>
          <w:rFonts w:cs="Arial"/>
          <w:szCs w:val="20"/>
        </w:rPr>
        <w:t>to</w:t>
      </w:r>
      <w:r w:rsidRPr="0088531E">
        <w:rPr>
          <w:rFonts w:cs="Arial"/>
          <w:spacing w:val="-4"/>
          <w:szCs w:val="20"/>
        </w:rPr>
        <w:t xml:space="preserve"> </w:t>
      </w:r>
      <w:r w:rsidRPr="0088531E">
        <w:rPr>
          <w:rFonts w:cs="Arial"/>
          <w:szCs w:val="20"/>
        </w:rPr>
        <w:t>Comments</w:t>
      </w:r>
      <w:r w:rsidRPr="0088531E">
        <w:rPr>
          <w:rFonts w:cs="Arial"/>
          <w:spacing w:val="-3"/>
          <w:szCs w:val="20"/>
        </w:rPr>
        <w:t xml:space="preserve"> </w:t>
      </w:r>
      <w:r w:rsidRPr="0088531E">
        <w:rPr>
          <w:rFonts w:cs="Arial"/>
          <w:szCs w:val="20"/>
        </w:rPr>
        <w:t>(RTC)</w:t>
      </w:r>
      <w:r w:rsidRPr="0088531E">
        <w:rPr>
          <w:rFonts w:cs="Arial"/>
          <w:spacing w:val="-5"/>
          <w:szCs w:val="20"/>
        </w:rPr>
        <w:t xml:space="preserve"> </w:t>
      </w:r>
      <w:r w:rsidRPr="0088531E">
        <w:rPr>
          <w:rFonts w:cs="Arial"/>
          <w:szCs w:val="20"/>
        </w:rPr>
        <w:t>and</w:t>
      </w:r>
      <w:r w:rsidRPr="0088531E">
        <w:rPr>
          <w:rFonts w:cs="Arial"/>
          <w:spacing w:val="-4"/>
          <w:szCs w:val="20"/>
        </w:rPr>
        <w:t xml:space="preserve"> </w:t>
      </w:r>
      <w:r w:rsidRPr="0088531E">
        <w:rPr>
          <w:rFonts w:cs="Arial"/>
          <w:szCs w:val="20"/>
        </w:rPr>
        <w:t>permit</w:t>
      </w:r>
      <w:r w:rsidRPr="0088531E">
        <w:rPr>
          <w:rFonts w:cs="Arial"/>
          <w:spacing w:val="-4"/>
          <w:szCs w:val="20"/>
        </w:rPr>
        <w:t xml:space="preserve"> </w:t>
      </w:r>
      <w:r w:rsidRPr="0088531E">
        <w:rPr>
          <w:rFonts w:cs="Arial"/>
          <w:szCs w:val="20"/>
        </w:rPr>
        <w:t>could</w:t>
      </w:r>
      <w:r w:rsidRPr="0088531E">
        <w:rPr>
          <w:rFonts w:cs="Arial"/>
          <w:spacing w:val="-4"/>
          <w:szCs w:val="20"/>
        </w:rPr>
        <w:t xml:space="preserve"> </w:t>
      </w:r>
      <w:r w:rsidRPr="0088531E">
        <w:rPr>
          <w:rFonts w:cs="Arial"/>
          <w:szCs w:val="20"/>
        </w:rPr>
        <w:t>benefit</w:t>
      </w:r>
      <w:r w:rsidRPr="0088531E">
        <w:rPr>
          <w:rFonts w:cs="Arial"/>
          <w:spacing w:val="-4"/>
          <w:szCs w:val="20"/>
        </w:rPr>
        <w:t xml:space="preserve"> </w:t>
      </w:r>
      <w:r w:rsidRPr="0088531E">
        <w:rPr>
          <w:rFonts w:cs="Arial"/>
          <w:szCs w:val="20"/>
        </w:rPr>
        <w:t>from</w:t>
      </w:r>
      <w:r w:rsidRPr="0088531E">
        <w:rPr>
          <w:rFonts w:cs="Arial"/>
          <w:spacing w:val="-4"/>
          <w:szCs w:val="20"/>
        </w:rPr>
        <w:t xml:space="preserve"> </w:t>
      </w:r>
      <w:r w:rsidRPr="0088531E">
        <w:rPr>
          <w:rFonts w:cs="Arial"/>
          <w:szCs w:val="20"/>
        </w:rPr>
        <w:t>more</w:t>
      </w:r>
      <w:r w:rsidRPr="0088531E">
        <w:rPr>
          <w:rFonts w:cs="Arial"/>
          <w:spacing w:val="-5"/>
          <w:szCs w:val="20"/>
        </w:rPr>
        <w:t xml:space="preserve"> </w:t>
      </w:r>
      <w:r w:rsidRPr="0088531E">
        <w:rPr>
          <w:rFonts w:cs="Arial"/>
          <w:szCs w:val="20"/>
        </w:rPr>
        <w:t>detailed</w:t>
      </w:r>
      <w:r w:rsidRPr="0088531E">
        <w:rPr>
          <w:rFonts w:cs="Arial"/>
          <w:spacing w:val="-3"/>
          <w:szCs w:val="20"/>
        </w:rPr>
        <w:t xml:space="preserve"> </w:t>
      </w:r>
      <w:r w:rsidRPr="0088531E">
        <w:rPr>
          <w:rFonts w:cs="Arial"/>
          <w:szCs w:val="20"/>
        </w:rPr>
        <w:t>monitoring</w:t>
      </w:r>
      <w:r w:rsidRPr="0088531E">
        <w:rPr>
          <w:rFonts w:cs="Arial"/>
          <w:spacing w:val="-4"/>
          <w:szCs w:val="20"/>
        </w:rPr>
        <w:t xml:space="preserve"> </w:t>
      </w:r>
      <w:r w:rsidRPr="0088531E">
        <w:rPr>
          <w:rFonts w:cs="Arial"/>
          <w:szCs w:val="20"/>
        </w:rPr>
        <w:t>information in the PBR Supplemental Table. The goal of this supplemental table is to explicitly incorporate monitoring/recordkeeping requirements and reduce ambiguity with respect to how emissions are calculated and how compliance is determined. When TCEQ relies on Table D to incorporate additional monitoring requirements, the monitoring and recordkeeping terms must be sufficient to assure compliance with emission limitations and operational requirements. When records are identified as being maintained, it would be practical to include a frequency for the recordkeeping. See below for a few relevant examples of units that need more detailed information - this list of examples is not comprehensive:</w:t>
      </w:r>
    </w:p>
    <w:p w14:paraId="7FAF67DD" w14:textId="77777777" w:rsidR="00376A8B" w:rsidRPr="002B6875" w:rsidRDefault="00376A8B" w:rsidP="0095602A">
      <w:pPr>
        <w:pStyle w:val="BodyText"/>
        <w:rPr>
          <w:rFonts w:ascii="Arial" w:hAnsi="Arial" w:cs="Arial"/>
          <w:sz w:val="20"/>
          <w:szCs w:val="20"/>
        </w:rPr>
      </w:pPr>
    </w:p>
    <w:p w14:paraId="795FFC7B" w14:textId="77777777" w:rsidR="00376A8B" w:rsidRPr="002B6875" w:rsidRDefault="00376A8B" w:rsidP="0095602A">
      <w:pPr>
        <w:pStyle w:val="ListParagraph"/>
        <w:numPr>
          <w:ilvl w:val="1"/>
          <w:numId w:val="20"/>
        </w:numPr>
        <w:tabs>
          <w:tab w:val="left" w:pos="1420"/>
          <w:tab w:val="left" w:pos="1421"/>
        </w:tabs>
        <w:ind w:left="360"/>
        <w:rPr>
          <w:rFonts w:ascii="Arial" w:hAnsi="Arial" w:cs="Arial"/>
          <w:sz w:val="20"/>
          <w:szCs w:val="20"/>
        </w:rPr>
      </w:pPr>
      <w:bookmarkStart w:id="1" w:name="_Hlk159332208"/>
      <w:r w:rsidRPr="002B6875">
        <w:rPr>
          <w:rFonts w:ascii="Arial" w:hAnsi="Arial" w:cs="Arial"/>
          <w:sz w:val="20"/>
          <w:szCs w:val="20"/>
        </w:rPr>
        <w:t xml:space="preserve">Unit V392 – This unit is subject to 40 CFR Part 63 Subparts </w:t>
      </w:r>
      <w:r w:rsidRPr="00857D69">
        <w:rPr>
          <w:rFonts w:ascii="Arial" w:hAnsi="Arial" w:cs="Arial"/>
          <w:sz w:val="20"/>
          <w:szCs w:val="20"/>
        </w:rPr>
        <w:t>F, G, and H</w:t>
      </w:r>
      <w:r w:rsidRPr="002B6875">
        <w:rPr>
          <w:rFonts w:ascii="Arial" w:hAnsi="Arial" w:cs="Arial"/>
          <w:sz w:val="20"/>
          <w:szCs w:val="20"/>
        </w:rPr>
        <w:t xml:space="preserve"> according to the PBR</w:t>
      </w:r>
      <w:r w:rsidRPr="002B6875">
        <w:rPr>
          <w:rFonts w:ascii="Arial" w:hAnsi="Arial" w:cs="Arial"/>
          <w:spacing w:val="-3"/>
          <w:sz w:val="20"/>
          <w:szCs w:val="20"/>
        </w:rPr>
        <w:t xml:space="preserve"> </w:t>
      </w:r>
      <w:r w:rsidRPr="002B6875">
        <w:rPr>
          <w:rFonts w:ascii="Arial" w:hAnsi="Arial" w:cs="Arial"/>
          <w:sz w:val="20"/>
          <w:szCs w:val="20"/>
        </w:rPr>
        <w:t>registration</w:t>
      </w:r>
      <w:r w:rsidRPr="002B6875">
        <w:rPr>
          <w:rFonts w:ascii="Arial" w:hAnsi="Arial" w:cs="Arial"/>
          <w:spacing w:val="-4"/>
          <w:sz w:val="20"/>
          <w:szCs w:val="20"/>
        </w:rPr>
        <w:t xml:space="preserve"> </w:t>
      </w:r>
      <w:r w:rsidRPr="002B6875">
        <w:rPr>
          <w:rFonts w:ascii="Arial" w:hAnsi="Arial" w:cs="Arial"/>
          <w:sz w:val="20"/>
          <w:szCs w:val="20"/>
        </w:rPr>
        <w:t>application.</w:t>
      </w:r>
      <w:r w:rsidRPr="002B6875">
        <w:rPr>
          <w:rFonts w:ascii="Arial" w:hAnsi="Arial" w:cs="Arial"/>
          <w:spacing w:val="-4"/>
          <w:sz w:val="20"/>
          <w:szCs w:val="20"/>
        </w:rPr>
        <w:t xml:space="preserve"> </w:t>
      </w:r>
      <w:r w:rsidRPr="002B6875">
        <w:rPr>
          <w:rFonts w:ascii="Arial" w:hAnsi="Arial" w:cs="Arial"/>
          <w:sz w:val="20"/>
          <w:szCs w:val="20"/>
        </w:rPr>
        <w:t>The</w:t>
      </w:r>
      <w:r w:rsidRPr="002B6875">
        <w:rPr>
          <w:rFonts w:ascii="Arial" w:hAnsi="Arial" w:cs="Arial"/>
          <w:spacing w:val="-6"/>
          <w:sz w:val="20"/>
          <w:szCs w:val="20"/>
        </w:rPr>
        <w:t xml:space="preserve"> </w:t>
      </w:r>
      <w:r w:rsidRPr="002B6875">
        <w:rPr>
          <w:rFonts w:ascii="Arial" w:hAnsi="Arial" w:cs="Arial"/>
          <w:sz w:val="20"/>
          <w:szCs w:val="20"/>
        </w:rPr>
        <w:t>monitoring</w:t>
      </w:r>
      <w:r w:rsidRPr="002B6875">
        <w:rPr>
          <w:rFonts w:ascii="Arial" w:hAnsi="Arial" w:cs="Arial"/>
          <w:spacing w:val="-4"/>
          <w:sz w:val="20"/>
          <w:szCs w:val="20"/>
        </w:rPr>
        <w:t xml:space="preserve"> </w:t>
      </w:r>
      <w:r w:rsidRPr="002B6875">
        <w:rPr>
          <w:rFonts w:ascii="Arial" w:hAnsi="Arial" w:cs="Arial"/>
          <w:sz w:val="20"/>
          <w:szCs w:val="20"/>
        </w:rPr>
        <w:t>listed</w:t>
      </w:r>
      <w:r w:rsidRPr="002B6875">
        <w:rPr>
          <w:rFonts w:ascii="Arial" w:hAnsi="Arial" w:cs="Arial"/>
          <w:spacing w:val="-3"/>
          <w:sz w:val="20"/>
          <w:szCs w:val="20"/>
        </w:rPr>
        <w:t xml:space="preserve"> </w:t>
      </w:r>
      <w:r w:rsidRPr="002B6875">
        <w:rPr>
          <w:rFonts w:ascii="Arial" w:hAnsi="Arial" w:cs="Arial"/>
          <w:sz w:val="20"/>
          <w:szCs w:val="20"/>
        </w:rPr>
        <w:t>in</w:t>
      </w:r>
      <w:r w:rsidRPr="002B6875">
        <w:rPr>
          <w:rFonts w:ascii="Arial" w:hAnsi="Arial" w:cs="Arial"/>
          <w:spacing w:val="-3"/>
          <w:sz w:val="20"/>
          <w:szCs w:val="20"/>
        </w:rPr>
        <w:t xml:space="preserve"> </w:t>
      </w:r>
      <w:r w:rsidRPr="002B6875">
        <w:rPr>
          <w:rFonts w:ascii="Arial" w:hAnsi="Arial" w:cs="Arial"/>
          <w:sz w:val="20"/>
          <w:szCs w:val="20"/>
        </w:rPr>
        <w:t>the</w:t>
      </w:r>
      <w:r w:rsidRPr="002B6875">
        <w:rPr>
          <w:rFonts w:ascii="Arial" w:hAnsi="Arial" w:cs="Arial"/>
          <w:spacing w:val="-4"/>
          <w:sz w:val="20"/>
          <w:szCs w:val="20"/>
        </w:rPr>
        <w:t xml:space="preserve"> </w:t>
      </w:r>
      <w:r w:rsidRPr="002B6875">
        <w:rPr>
          <w:rFonts w:ascii="Arial" w:hAnsi="Arial" w:cs="Arial"/>
          <w:sz w:val="20"/>
          <w:szCs w:val="20"/>
        </w:rPr>
        <w:t>PBR</w:t>
      </w:r>
      <w:r w:rsidRPr="002B6875">
        <w:rPr>
          <w:rFonts w:ascii="Arial" w:hAnsi="Arial" w:cs="Arial"/>
          <w:spacing w:val="-3"/>
          <w:sz w:val="20"/>
          <w:szCs w:val="20"/>
        </w:rPr>
        <w:t xml:space="preserve"> </w:t>
      </w:r>
      <w:r w:rsidRPr="002B6875">
        <w:rPr>
          <w:rFonts w:ascii="Arial" w:hAnsi="Arial" w:cs="Arial"/>
          <w:sz w:val="20"/>
          <w:szCs w:val="20"/>
        </w:rPr>
        <w:t>supplemental</w:t>
      </w:r>
      <w:r w:rsidRPr="002B6875">
        <w:rPr>
          <w:rFonts w:ascii="Arial" w:hAnsi="Arial" w:cs="Arial"/>
          <w:spacing w:val="-3"/>
          <w:sz w:val="20"/>
          <w:szCs w:val="20"/>
        </w:rPr>
        <w:t xml:space="preserve"> </w:t>
      </w:r>
      <w:r w:rsidRPr="002B6875">
        <w:rPr>
          <w:rFonts w:ascii="Arial" w:hAnsi="Arial" w:cs="Arial"/>
          <w:sz w:val="20"/>
          <w:szCs w:val="20"/>
        </w:rPr>
        <w:t>table</w:t>
      </w:r>
      <w:r w:rsidRPr="002B6875">
        <w:rPr>
          <w:rFonts w:ascii="Arial" w:hAnsi="Arial" w:cs="Arial"/>
          <w:spacing w:val="-3"/>
          <w:sz w:val="20"/>
          <w:szCs w:val="20"/>
        </w:rPr>
        <w:t xml:space="preserve"> </w:t>
      </w:r>
      <w:r w:rsidRPr="002B6875">
        <w:rPr>
          <w:rFonts w:ascii="Arial" w:hAnsi="Arial" w:cs="Arial"/>
          <w:sz w:val="20"/>
          <w:szCs w:val="20"/>
        </w:rPr>
        <w:t>is</w:t>
      </w:r>
      <w:r w:rsidRPr="002B6875">
        <w:rPr>
          <w:rFonts w:ascii="Arial" w:hAnsi="Arial" w:cs="Arial"/>
          <w:spacing w:val="-3"/>
          <w:sz w:val="20"/>
          <w:szCs w:val="20"/>
        </w:rPr>
        <w:t xml:space="preserve"> </w:t>
      </w:r>
      <w:r w:rsidRPr="002B6875">
        <w:rPr>
          <w:rFonts w:ascii="Arial" w:hAnsi="Arial" w:cs="Arial"/>
          <w:sz w:val="20"/>
          <w:szCs w:val="20"/>
        </w:rPr>
        <w:t>not</w:t>
      </w:r>
      <w:r w:rsidRPr="002B6875">
        <w:rPr>
          <w:rFonts w:ascii="Arial" w:hAnsi="Arial" w:cs="Arial"/>
          <w:spacing w:val="-3"/>
          <w:sz w:val="20"/>
          <w:szCs w:val="20"/>
        </w:rPr>
        <w:t xml:space="preserve"> </w:t>
      </w:r>
      <w:r w:rsidRPr="002B6875">
        <w:rPr>
          <w:rFonts w:ascii="Arial" w:hAnsi="Arial" w:cs="Arial"/>
          <w:sz w:val="20"/>
          <w:szCs w:val="20"/>
        </w:rPr>
        <w:t>very descriptive</w:t>
      </w:r>
      <w:r w:rsidRPr="002B6875">
        <w:rPr>
          <w:rFonts w:ascii="Arial" w:hAnsi="Arial" w:cs="Arial"/>
          <w:spacing w:val="-1"/>
          <w:sz w:val="20"/>
          <w:szCs w:val="20"/>
        </w:rPr>
        <w:t xml:space="preserve"> </w:t>
      </w:r>
      <w:r w:rsidRPr="002B6875">
        <w:rPr>
          <w:rFonts w:ascii="Arial" w:hAnsi="Arial" w:cs="Arial"/>
          <w:sz w:val="20"/>
          <w:szCs w:val="20"/>
        </w:rPr>
        <w:t>and the Applicable Requirements Summary table in the title V permit only shows applicable requirements for 30 TAC Chapter 115 and 40 CFR Part 63 Subpart G</w:t>
      </w:r>
      <w:bookmarkEnd w:id="1"/>
      <w:r w:rsidRPr="002B6875">
        <w:rPr>
          <w:rFonts w:ascii="Arial" w:hAnsi="Arial" w:cs="Arial"/>
          <w:sz w:val="20"/>
          <w:szCs w:val="20"/>
        </w:rPr>
        <w:t>.</w:t>
      </w:r>
    </w:p>
    <w:p w14:paraId="35C1E81D" w14:textId="59825E14" w:rsidR="00376A8B" w:rsidRPr="002B6875" w:rsidRDefault="00376A8B" w:rsidP="0095602A">
      <w:pPr>
        <w:pStyle w:val="ListParagraph"/>
        <w:numPr>
          <w:ilvl w:val="1"/>
          <w:numId w:val="20"/>
        </w:numPr>
        <w:tabs>
          <w:tab w:val="left" w:pos="1420"/>
          <w:tab w:val="left" w:pos="1421"/>
        </w:tabs>
        <w:ind w:left="360"/>
        <w:rPr>
          <w:rFonts w:ascii="Arial" w:hAnsi="Arial" w:cs="Arial"/>
          <w:sz w:val="20"/>
          <w:szCs w:val="20"/>
        </w:rPr>
      </w:pPr>
      <w:r w:rsidRPr="002B6875">
        <w:rPr>
          <w:rFonts w:ascii="Arial" w:hAnsi="Arial" w:cs="Arial"/>
          <w:sz w:val="20"/>
          <w:szCs w:val="20"/>
        </w:rPr>
        <w:t>Unit</w:t>
      </w:r>
      <w:r w:rsidRPr="002B6875">
        <w:rPr>
          <w:rFonts w:ascii="Arial" w:hAnsi="Arial" w:cs="Arial"/>
          <w:spacing w:val="-5"/>
          <w:sz w:val="20"/>
          <w:szCs w:val="20"/>
        </w:rPr>
        <w:t xml:space="preserve"> </w:t>
      </w:r>
      <w:r w:rsidRPr="002B6875">
        <w:rPr>
          <w:rFonts w:ascii="Arial" w:hAnsi="Arial" w:cs="Arial"/>
          <w:sz w:val="20"/>
          <w:szCs w:val="20"/>
        </w:rPr>
        <w:t>ACNLOAD</w:t>
      </w:r>
      <w:r w:rsidRPr="002B6875">
        <w:rPr>
          <w:rFonts w:ascii="Arial" w:hAnsi="Arial" w:cs="Arial"/>
          <w:spacing w:val="-2"/>
          <w:sz w:val="20"/>
          <w:szCs w:val="20"/>
        </w:rPr>
        <w:t xml:space="preserve"> </w:t>
      </w:r>
      <w:r w:rsidRPr="002B6875">
        <w:rPr>
          <w:rFonts w:ascii="Arial" w:hAnsi="Arial" w:cs="Arial"/>
          <w:sz w:val="20"/>
          <w:szCs w:val="20"/>
        </w:rPr>
        <w:t>–</w:t>
      </w:r>
      <w:r w:rsidRPr="002B6875">
        <w:rPr>
          <w:rFonts w:ascii="Arial" w:hAnsi="Arial" w:cs="Arial"/>
          <w:spacing w:val="-2"/>
          <w:sz w:val="20"/>
          <w:szCs w:val="20"/>
        </w:rPr>
        <w:t xml:space="preserve"> </w:t>
      </w:r>
      <w:r w:rsidRPr="002B6875">
        <w:rPr>
          <w:rFonts w:ascii="Arial" w:hAnsi="Arial" w:cs="Arial"/>
          <w:sz w:val="20"/>
          <w:szCs w:val="20"/>
        </w:rPr>
        <w:t>This unit</w:t>
      </w:r>
      <w:r w:rsidRPr="002B6875">
        <w:rPr>
          <w:rFonts w:ascii="Arial" w:hAnsi="Arial" w:cs="Arial"/>
          <w:spacing w:val="-2"/>
          <w:sz w:val="20"/>
          <w:szCs w:val="20"/>
        </w:rPr>
        <w:t xml:space="preserve"> </w:t>
      </w:r>
      <w:r w:rsidRPr="002B6875">
        <w:rPr>
          <w:rFonts w:ascii="Arial" w:hAnsi="Arial" w:cs="Arial"/>
          <w:sz w:val="20"/>
          <w:szCs w:val="20"/>
        </w:rPr>
        <w:t>shows</w:t>
      </w:r>
      <w:r w:rsidRPr="002B6875">
        <w:rPr>
          <w:rFonts w:ascii="Arial" w:hAnsi="Arial" w:cs="Arial"/>
          <w:spacing w:val="-2"/>
          <w:sz w:val="20"/>
          <w:szCs w:val="20"/>
        </w:rPr>
        <w:t xml:space="preserve"> </w:t>
      </w:r>
      <w:r w:rsidRPr="002B6875">
        <w:rPr>
          <w:rFonts w:ascii="Arial" w:hAnsi="Arial" w:cs="Arial"/>
          <w:sz w:val="20"/>
          <w:szCs w:val="20"/>
        </w:rPr>
        <w:t>it</w:t>
      </w:r>
      <w:r w:rsidRPr="002B6875">
        <w:rPr>
          <w:rFonts w:ascii="Arial" w:hAnsi="Arial" w:cs="Arial"/>
          <w:spacing w:val="-2"/>
          <w:sz w:val="20"/>
          <w:szCs w:val="20"/>
        </w:rPr>
        <w:t xml:space="preserve"> </w:t>
      </w:r>
      <w:r w:rsidRPr="002B6875">
        <w:rPr>
          <w:rFonts w:ascii="Arial" w:hAnsi="Arial" w:cs="Arial"/>
          <w:sz w:val="20"/>
          <w:szCs w:val="20"/>
        </w:rPr>
        <w:t>is</w:t>
      </w:r>
      <w:r w:rsidRPr="002B6875">
        <w:rPr>
          <w:rFonts w:ascii="Arial" w:hAnsi="Arial" w:cs="Arial"/>
          <w:spacing w:val="-2"/>
          <w:sz w:val="20"/>
          <w:szCs w:val="20"/>
        </w:rPr>
        <w:t xml:space="preserve"> </w:t>
      </w:r>
      <w:r w:rsidRPr="002B6875">
        <w:rPr>
          <w:rFonts w:ascii="Arial" w:hAnsi="Arial" w:cs="Arial"/>
          <w:sz w:val="20"/>
          <w:szCs w:val="20"/>
        </w:rPr>
        <w:t>subject</w:t>
      </w:r>
      <w:r w:rsidRPr="002B6875">
        <w:rPr>
          <w:rFonts w:ascii="Arial" w:hAnsi="Arial" w:cs="Arial"/>
          <w:spacing w:val="-2"/>
          <w:sz w:val="20"/>
          <w:szCs w:val="20"/>
        </w:rPr>
        <w:t xml:space="preserve"> </w:t>
      </w:r>
      <w:r w:rsidRPr="002B6875">
        <w:rPr>
          <w:rFonts w:ascii="Arial" w:hAnsi="Arial" w:cs="Arial"/>
          <w:sz w:val="20"/>
          <w:szCs w:val="20"/>
        </w:rPr>
        <w:t>to</w:t>
      </w:r>
      <w:r w:rsidRPr="002B6875">
        <w:rPr>
          <w:rFonts w:ascii="Arial" w:hAnsi="Arial" w:cs="Arial"/>
          <w:spacing w:val="-5"/>
          <w:sz w:val="20"/>
          <w:szCs w:val="20"/>
        </w:rPr>
        <w:t xml:space="preserve"> </w:t>
      </w:r>
      <w:r w:rsidRPr="002B6875">
        <w:rPr>
          <w:rFonts w:ascii="Arial" w:hAnsi="Arial" w:cs="Arial"/>
          <w:sz w:val="20"/>
          <w:szCs w:val="20"/>
        </w:rPr>
        <w:t>40</w:t>
      </w:r>
      <w:r w:rsidRPr="002B6875">
        <w:rPr>
          <w:rFonts w:ascii="Arial" w:hAnsi="Arial" w:cs="Arial"/>
          <w:spacing w:val="-2"/>
          <w:sz w:val="20"/>
          <w:szCs w:val="20"/>
        </w:rPr>
        <w:t xml:space="preserve"> </w:t>
      </w:r>
      <w:r w:rsidRPr="002B6875">
        <w:rPr>
          <w:rFonts w:ascii="Arial" w:hAnsi="Arial" w:cs="Arial"/>
          <w:sz w:val="20"/>
          <w:szCs w:val="20"/>
        </w:rPr>
        <w:t>CFR</w:t>
      </w:r>
      <w:r w:rsidRPr="002B6875">
        <w:rPr>
          <w:rFonts w:ascii="Arial" w:hAnsi="Arial" w:cs="Arial"/>
          <w:spacing w:val="-2"/>
          <w:sz w:val="20"/>
          <w:szCs w:val="20"/>
        </w:rPr>
        <w:t xml:space="preserve"> </w:t>
      </w:r>
      <w:r w:rsidRPr="002B6875">
        <w:rPr>
          <w:rFonts w:ascii="Arial" w:hAnsi="Arial" w:cs="Arial"/>
          <w:sz w:val="20"/>
          <w:szCs w:val="20"/>
        </w:rPr>
        <w:t>Part</w:t>
      </w:r>
      <w:r w:rsidRPr="002B6875">
        <w:rPr>
          <w:rFonts w:ascii="Arial" w:hAnsi="Arial" w:cs="Arial"/>
          <w:spacing w:val="-2"/>
          <w:sz w:val="20"/>
          <w:szCs w:val="20"/>
        </w:rPr>
        <w:t xml:space="preserve"> </w:t>
      </w:r>
      <w:r w:rsidRPr="002B6875">
        <w:rPr>
          <w:rFonts w:ascii="Arial" w:hAnsi="Arial" w:cs="Arial"/>
          <w:sz w:val="20"/>
          <w:szCs w:val="20"/>
        </w:rPr>
        <w:t>63</w:t>
      </w:r>
      <w:r w:rsidRPr="002B6875">
        <w:rPr>
          <w:rFonts w:ascii="Arial" w:hAnsi="Arial" w:cs="Arial"/>
          <w:spacing w:val="-2"/>
          <w:sz w:val="20"/>
          <w:szCs w:val="20"/>
        </w:rPr>
        <w:t xml:space="preserve"> </w:t>
      </w:r>
      <w:r w:rsidRPr="002B6875">
        <w:rPr>
          <w:rFonts w:ascii="Arial" w:hAnsi="Arial" w:cs="Arial"/>
          <w:sz w:val="20"/>
          <w:szCs w:val="20"/>
        </w:rPr>
        <w:t>Subpart</w:t>
      </w:r>
      <w:r w:rsidRPr="002B6875">
        <w:rPr>
          <w:rFonts w:ascii="Arial" w:hAnsi="Arial" w:cs="Arial"/>
          <w:spacing w:val="-2"/>
          <w:sz w:val="20"/>
          <w:szCs w:val="20"/>
        </w:rPr>
        <w:t xml:space="preserve"> </w:t>
      </w:r>
      <w:r w:rsidRPr="002B6875">
        <w:rPr>
          <w:rFonts w:ascii="Arial" w:hAnsi="Arial" w:cs="Arial"/>
          <w:sz w:val="20"/>
          <w:szCs w:val="20"/>
        </w:rPr>
        <w:t>G</w:t>
      </w:r>
      <w:r w:rsidRPr="002B6875">
        <w:rPr>
          <w:rFonts w:ascii="Arial" w:hAnsi="Arial" w:cs="Arial"/>
          <w:spacing w:val="-3"/>
          <w:sz w:val="20"/>
          <w:szCs w:val="20"/>
        </w:rPr>
        <w:t xml:space="preserve"> </w:t>
      </w:r>
      <w:r w:rsidRPr="002B6875">
        <w:rPr>
          <w:rFonts w:ascii="Arial" w:hAnsi="Arial" w:cs="Arial"/>
          <w:sz w:val="20"/>
          <w:szCs w:val="20"/>
        </w:rPr>
        <w:t>according</w:t>
      </w:r>
      <w:r w:rsidRPr="002B6875">
        <w:rPr>
          <w:rFonts w:ascii="Arial" w:hAnsi="Arial" w:cs="Arial"/>
          <w:spacing w:val="-2"/>
          <w:sz w:val="20"/>
          <w:szCs w:val="20"/>
        </w:rPr>
        <w:t xml:space="preserve"> </w:t>
      </w:r>
      <w:r w:rsidRPr="002B6875">
        <w:rPr>
          <w:rFonts w:ascii="Arial" w:hAnsi="Arial" w:cs="Arial"/>
          <w:spacing w:val="-5"/>
          <w:sz w:val="20"/>
          <w:szCs w:val="20"/>
        </w:rPr>
        <w:t xml:space="preserve">to </w:t>
      </w:r>
      <w:r w:rsidRPr="002B6875">
        <w:rPr>
          <w:rFonts w:ascii="Arial" w:hAnsi="Arial" w:cs="Arial"/>
          <w:sz w:val="20"/>
          <w:szCs w:val="20"/>
        </w:rPr>
        <w:t>the PBR registration application. The PBR supplemental table only states “loading dates, volumes</w:t>
      </w:r>
      <w:r w:rsidRPr="002B6875">
        <w:rPr>
          <w:rFonts w:ascii="Arial" w:hAnsi="Arial" w:cs="Arial"/>
          <w:spacing w:val="-4"/>
          <w:sz w:val="20"/>
          <w:szCs w:val="20"/>
        </w:rPr>
        <w:t xml:space="preserve"> </w:t>
      </w:r>
      <w:r w:rsidRPr="002B6875">
        <w:rPr>
          <w:rFonts w:ascii="Arial" w:hAnsi="Arial" w:cs="Arial"/>
          <w:sz w:val="20"/>
          <w:szCs w:val="20"/>
        </w:rPr>
        <w:t>will</w:t>
      </w:r>
      <w:r w:rsidRPr="002B6875">
        <w:rPr>
          <w:rFonts w:ascii="Arial" w:hAnsi="Arial" w:cs="Arial"/>
          <w:spacing w:val="-3"/>
          <w:sz w:val="20"/>
          <w:szCs w:val="20"/>
        </w:rPr>
        <w:t xml:space="preserve"> </w:t>
      </w:r>
      <w:r w:rsidRPr="002B6875">
        <w:rPr>
          <w:rFonts w:ascii="Arial" w:hAnsi="Arial" w:cs="Arial"/>
          <w:sz w:val="20"/>
          <w:szCs w:val="20"/>
        </w:rPr>
        <w:t>be</w:t>
      </w:r>
      <w:r w:rsidRPr="002B6875">
        <w:rPr>
          <w:rFonts w:ascii="Arial" w:hAnsi="Arial" w:cs="Arial"/>
          <w:spacing w:val="-4"/>
          <w:sz w:val="20"/>
          <w:szCs w:val="20"/>
        </w:rPr>
        <w:t xml:space="preserve"> </w:t>
      </w:r>
      <w:r w:rsidRPr="002B6875">
        <w:rPr>
          <w:rFonts w:ascii="Arial" w:hAnsi="Arial" w:cs="Arial"/>
          <w:sz w:val="20"/>
          <w:szCs w:val="20"/>
        </w:rPr>
        <w:t>monitored”.</w:t>
      </w:r>
      <w:r w:rsidRPr="002B6875">
        <w:rPr>
          <w:rFonts w:ascii="Arial" w:hAnsi="Arial" w:cs="Arial"/>
          <w:spacing w:val="-3"/>
          <w:sz w:val="20"/>
          <w:szCs w:val="20"/>
        </w:rPr>
        <w:t xml:space="preserve"> </w:t>
      </w:r>
      <w:r w:rsidRPr="002B6875">
        <w:rPr>
          <w:rFonts w:ascii="Arial" w:hAnsi="Arial" w:cs="Arial"/>
          <w:sz w:val="20"/>
          <w:szCs w:val="20"/>
        </w:rPr>
        <w:t>The</w:t>
      </w:r>
      <w:r w:rsidRPr="002B6875">
        <w:rPr>
          <w:rFonts w:ascii="Arial" w:hAnsi="Arial" w:cs="Arial"/>
          <w:spacing w:val="-5"/>
          <w:sz w:val="20"/>
          <w:szCs w:val="20"/>
        </w:rPr>
        <w:t xml:space="preserve"> </w:t>
      </w:r>
      <w:r w:rsidRPr="002B6875">
        <w:rPr>
          <w:rFonts w:ascii="Arial" w:hAnsi="Arial" w:cs="Arial"/>
          <w:sz w:val="20"/>
          <w:szCs w:val="20"/>
        </w:rPr>
        <w:t>PBR</w:t>
      </w:r>
      <w:r w:rsidRPr="002B6875">
        <w:rPr>
          <w:rFonts w:ascii="Arial" w:hAnsi="Arial" w:cs="Arial"/>
          <w:spacing w:val="-3"/>
          <w:sz w:val="20"/>
          <w:szCs w:val="20"/>
        </w:rPr>
        <w:t xml:space="preserve"> </w:t>
      </w:r>
      <w:r w:rsidRPr="002B6875">
        <w:rPr>
          <w:rFonts w:ascii="Arial" w:hAnsi="Arial" w:cs="Arial"/>
          <w:sz w:val="20"/>
          <w:szCs w:val="20"/>
        </w:rPr>
        <w:t>registration</w:t>
      </w:r>
      <w:r w:rsidRPr="002B6875">
        <w:rPr>
          <w:rFonts w:ascii="Arial" w:hAnsi="Arial" w:cs="Arial"/>
          <w:spacing w:val="-3"/>
          <w:sz w:val="20"/>
          <w:szCs w:val="20"/>
        </w:rPr>
        <w:t xml:space="preserve"> </w:t>
      </w:r>
      <w:r w:rsidRPr="002B6875">
        <w:rPr>
          <w:rFonts w:ascii="Arial" w:hAnsi="Arial" w:cs="Arial"/>
          <w:sz w:val="20"/>
          <w:szCs w:val="20"/>
        </w:rPr>
        <w:t>contained</w:t>
      </w:r>
      <w:r w:rsidRPr="002B6875">
        <w:rPr>
          <w:rFonts w:ascii="Arial" w:hAnsi="Arial" w:cs="Arial"/>
          <w:spacing w:val="-3"/>
          <w:sz w:val="20"/>
          <w:szCs w:val="20"/>
        </w:rPr>
        <w:t xml:space="preserve"> </w:t>
      </w:r>
      <w:r w:rsidRPr="002B6875">
        <w:rPr>
          <w:rFonts w:ascii="Arial" w:hAnsi="Arial" w:cs="Arial"/>
          <w:sz w:val="20"/>
          <w:szCs w:val="20"/>
        </w:rPr>
        <w:t>more</w:t>
      </w:r>
      <w:r w:rsidRPr="002B6875">
        <w:rPr>
          <w:rFonts w:ascii="Arial" w:hAnsi="Arial" w:cs="Arial"/>
          <w:spacing w:val="-5"/>
          <w:sz w:val="20"/>
          <w:szCs w:val="20"/>
        </w:rPr>
        <w:t xml:space="preserve"> </w:t>
      </w:r>
      <w:r w:rsidRPr="002B6875">
        <w:rPr>
          <w:rFonts w:ascii="Arial" w:hAnsi="Arial" w:cs="Arial"/>
          <w:sz w:val="20"/>
          <w:szCs w:val="20"/>
        </w:rPr>
        <w:t>information</w:t>
      </w:r>
      <w:r w:rsidRPr="002B6875">
        <w:rPr>
          <w:rFonts w:ascii="Arial" w:hAnsi="Arial" w:cs="Arial"/>
          <w:spacing w:val="-3"/>
          <w:sz w:val="20"/>
          <w:szCs w:val="20"/>
        </w:rPr>
        <w:t xml:space="preserve"> </w:t>
      </w:r>
      <w:r w:rsidRPr="002B6875">
        <w:rPr>
          <w:rFonts w:ascii="Arial" w:hAnsi="Arial" w:cs="Arial"/>
          <w:sz w:val="20"/>
          <w:szCs w:val="20"/>
        </w:rPr>
        <w:t>on</w:t>
      </w:r>
      <w:r w:rsidRPr="002B6875">
        <w:rPr>
          <w:rFonts w:ascii="Arial" w:hAnsi="Arial" w:cs="Arial"/>
          <w:spacing w:val="-3"/>
          <w:sz w:val="20"/>
          <w:szCs w:val="20"/>
        </w:rPr>
        <w:t xml:space="preserve"> </w:t>
      </w:r>
      <w:r w:rsidRPr="002B6875">
        <w:rPr>
          <w:rFonts w:ascii="Arial" w:hAnsi="Arial" w:cs="Arial"/>
          <w:sz w:val="20"/>
          <w:szCs w:val="20"/>
        </w:rPr>
        <w:t>how</w:t>
      </w:r>
      <w:r w:rsidRPr="002B6875">
        <w:rPr>
          <w:rFonts w:ascii="Arial" w:hAnsi="Arial" w:cs="Arial"/>
          <w:spacing w:val="-3"/>
          <w:sz w:val="20"/>
          <w:szCs w:val="20"/>
        </w:rPr>
        <w:t xml:space="preserve"> </w:t>
      </w:r>
      <w:r w:rsidRPr="002B6875">
        <w:rPr>
          <w:rFonts w:ascii="Arial" w:hAnsi="Arial" w:cs="Arial"/>
          <w:sz w:val="20"/>
          <w:szCs w:val="20"/>
        </w:rPr>
        <w:t>the emissions were to be calculated which included that the vapors are collected and sent to a flare for control and that emissions were estimated using chapter 5 of AP-42 for VOC emissions and the NOx and CO were calculated using AP-42 emission factors for steam assisted flares, In addition, the title V permit contains additional monitoring requirements under 30 TAC Chapter 115.</w:t>
      </w:r>
    </w:p>
    <w:p w14:paraId="2F8D0FD9" w14:textId="479F89CB" w:rsidR="00376A8B" w:rsidRPr="00270890" w:rsidRDefault="00376A8B" w:rsidP="0095602A">
      <w:pPr>
        <w:pStyle w:val="ListParagraph"/>
        <w:numPr>
          <w:ilvl w:val="1"/>
          <w:numId w:val="17"/>
        </w:numPr>
        <w:tabs>
          <w:tab w:val="left" w:pos="1420"/>
          <w:tab w:val="left" w:pos="1421"/>
        </w:tabs>
        <w:ind w:left="360"/>
        <w:rPr>
          <w:rFonts w:ascii="Arial" w:hAnsi="Arial" w:cs="Arial"/>
          <w:sz w:val="20"/>
          <w:szCs w:val="20"/>
        </w:rPr>
      </w:pPr>
      <w:r w:rsidRPr="002B6875">
        <w:rPr>
          <w:rFonts w:ascii="Arial" w:hAnsi="Arial" w:cs="Arial"/>
          <w:sz w:val="20"/>
          <w:szCs w:val="20"/>
        </w:rPr>
        <w:t>Various</w:t>
      </w:r>
      <w:r w:rsidRPr="002B6875">
        <w:rPr>
          <w:rFonts w:ascii="Arial" w:hAnsi="Arial" w:cs="Arial"/>
          <w:spacing w:val="-4"/>
          <w:sz w:val="20"/>
          <w:szCs w:val="20"/>
        </w:rPr>
        <w:t xml:space="preserve"> </w:t>
      </w:r>
      <w:r w:rsidRPr="002B6875">
        <w:rPr>
          <w:rFonts w:ascii="Arial" w:hAnsi="Arial" w:cs="Arial"/>
          <w:sz w:val="20"/>
          <w:szCs w:val="20"/>
        </w:rPr>
        <w:t>tanks</w:t>
      </w:r>
      <w:r w:rsidRPr="002B6875">
        <w:rPr>
          <w:rFonts w:ascii="Arial" w:hAnsi="Arial" w:cs="Arial"/>
          <w:spacing w:val="-4"/>
          <w:sz w:val="20"/>
          <w:szCs w:val="20"/>
        </w:rPr>
        <w:t xml:space="preserve"> </w:t>
      </w:r>
      <w:r w:rsidRPr="002B6875">
        <w:rPr>
          <w:rFonts w:ascii="Arial" w:hAnsi="Arial" w:cs="Arial"/>
          <w:sz w:val="20"/>
          <w:szCs w:val="20"/>
        </w:rPr>
        <w:t>subject</w:t>
      </w:r>
      <w:r w:rsidRPr="002B6875">
        <w:rPr>
          <w:rFonts w:ascii="Arial" w:hAnsi="Arial" w:cs="Arial"/>
          <w:spacing w:val="-4"/>
          <w:sz w:val="20"/>
          <w:szCs w:val="20"/>
        </w:rPr>
        <w:t xml:space="preserve"> </w:t>
      </w:r>
      <w:r w:rsidRPr="002B6875">
        <w:rPr>
          <w:rFonts w:ascii="Arial" w:hAnsi="Arial" w:cs="Arial"/>
          <w:sz w:val="20"/>
          <w:szCs w:val="20"/>
        </w:rPr>
        <w:t>to</w:t>
      </w:r>
      <w:r w:rsidRPr="002B6875">
        <w:rPr>
          <w:rFonts w:ascii="Arial" w:hAnsi="Arial" w:cs="Arial"/>
          <w:spacing w:val="-2"/>
          <w:sz w:val="20"/>
          <w:szCs w:val="20"/>
        </w:rPr>
        <w:t xml:space="preserve"> </w:t>
      </w:r>
      <w:r w:rsidRPr="002B6875">
        <w:rPr>
          <w:rFonts w:ascii="Arial" w:hAnsi="Arial" w:cs="Arial"/>
          <w:sz w:val="20"/>
          <w:szCs w:val="20"/>
        </w:rPr>
        <w:t>106.472,</w:t>
      </w:r>
      <w:r w:rsidRPr="002B6875">
        <w:rPr>
          <w:rFonts w:ascii="Arial" w:hAnsi="Arial" w:cs="Arial"/>
          <w:spacing w:val="-3"/>
          <w:sz w:val="20"/>
          <w:szCs w:val="20"/>
        </w:rPr>
        <w:t xml:space="preserve"> </w:t>
      </w:r>
      <w:r w:rsidRPr="002B6875">
        <w:rPr>
          <w:rFonts w:ascii="Arial" w:hAnsi="Arial" w:cs="Arial"/>
          <w:sz w:val="20"/>
          <w:szCs w:val="20"/>
        </w:rPr>
        <w:t>106.473,</w:t>
      </w:r>
      <w:r w:rsidRPr="002B6875">
        <w:rPr>
          <w:rFonts w:ascii="Arial" w:hAnsi="Arial" w:cs="Arial"/>
          <w:spacing w:val="-4"/>
          <w:sz w:val="20"/>
          <w:szCs w:val="20"/>
        </w:rPr>
        <w:t xml:space="preserve"> </w:t>
      </w:r>
      <w:r w:rsidRPr="002B6875">
        <w:rPr>
          <w:rFonts w:ascii="Arial" w:hAnsi="Arial" w:cs="Arial"/>
          <w:sz w:val="20"/>
          <w:szCs w:val="20"/>
        </w:rPr>
        <w:t>106.476,</w:t>
      </w:r>
      <w:r w:rsidRPr="002B6875">
        <w:rPr>
          <w:rFonts w:ascii="Arial" w:hAnsi="Arial" w:cs="Arial"/>
          <w:spacing w:val="-4"/>
          <w:sz w:val="20"/>
          <w:szCs w:val="20"/>
        </w:rPr>
        <w:t xml:space="preserve"> </w:t>
      </w:r>
      <w:r w:rsidRPr="002B6875">
        <w:rPr>
          <w:rFonts w:ascii="Arial" w:hAnsi="Arial" w:cs="Arial"/>
          <w:sz w:val="20"/>
          <w:szCs w:val="20"/>
        </w:rPr>
        <w:t>106.478,</w:t>
      </w:r>
      <w:r w:rsidRPr="002B6875">
        <w:rPr>
          <w:rFonts w:ascii="Arial" w:hAnsi="Arial" w:cs="Arial"/>
          <w:spacing w:val="-4"/>
          <w:sz w:val="20"/>
          <w:szCs w:val="20"/>
        </w:rPr>
        <w:t xml:space="preserve"> </w:t>
      </w:r>
      <w:r w:rsidRPr="002B6875">
        <w:rPr>
          <w:rFonts w:ascii="Arial" w:hAnsi="Arial" w:cs="Arial"/>
          <w:sz w:val="20"/>
          <w:szCs w:val="20"/>
        </w:rPr>
        <w:t>16.261,</w:t>
      </w:r>
      <w:r w:rsidRPr="002B6875">
        <w:rPr>
          <w:rFonts w:ascii="Arial" w:hAnsi="Arial" w:cs="Arial"/>
          <w:spacing w:val="-4"/>
          <w:sz w:val="20"/>
          <w:szCs w:val="20"/>
        </w:rPr>
        <w:t xml:space="preserve"> </w:t>
      </w:r>
      <w:r w:rsidRPr="002B6875">
        <w:rPr>
          <w:rFonts w:ascii="Arial" w:hAnsi="Arial" w:cs="Arial"/>
          <w:sz w:val="20"/>
          <w:szCs w:val="20"/>
        </w:rPr>
        <w:t>and</w:t>
      </w:r>
      <w:r w:rsidRPr="002B6875">
        <w:rPr>
          <w:rFonts w:ascii="Arial" w:hAnsi="Arial" w:cs="Arial"/>
          <w:spacing w:val="-4"/>
          <w:sz w:val="20"/>
          <w:szCs w:val="20"/>
        </w:rPr>
        <w:t xml:space="preserve"> </w:t>
      </w:r>
      <w:r w:rsidRPr="002B6875">
        <w:rPr>
          <w:rFonts w:ascii="Arial" w:hAnsi="Arial" w:cs="Arial"/>
          <w:sz w:val="20"/>
          <w:szCs w:val="20"/>
        </w:rPr>
        <w:t>106.262</w:t>
      </w:r>
      <w:r w:rsidRPr="002B6875">
        <w:rPr>
          <w:rFonts w:ascii="Arial" w:hAnsi="Arial" w:cs="Arial"/>
          <w:spacing w:val="-4"/>
          <w:sz w:val="20"/>
          <w:szCs w:val="20"/>
        </w:rPr>
        <w:t xml:space="preserve"> </w:t>
      </w:r>
      <w:r w:rsidRPr="002B6875">
        <w:rPr>
          <w:rFonts w:ascii="Arial" w:hAnsi="Arial" w:cs="Arial"/>
          <w:sz w:val="20"/>
          <w:szCs w:val="20"/>
        </w:rPr>
        <w:t>–</w:t>
      </w:r>
      <w:r w:rsidRPr="002B6875">
        <w:rPr>
          <w:rFonts w:ascii="Arial" w:hAnsi="Arial" w:cs="Arial"/>
          <w:spacing w:val="-4"/>
          <w:sz w:val="20"/>
          <w:szCs w:val="20"/>
        </w:rPr>
        <w:t xml:space="preserve"> </w:t>
      </w:r>
      <w:r w:rsidRPr="002B6875">
        <w:rPr>
          <w:rFonts w:ascii="Arial" w:hAnsi="Arial" w:cs="Arial"/>
          <w:sz w:val="20"/>
          <w:szCs w:val="20"/>
        </w:rPr>
        <w:t>Many tanks listed “Monitor tank throughput and material stored”. It is preferable that it be stated</w:t>
      </w:r>
      <w:r w:rsidR="00270890">
        <w:rPr>
          <w:rFonts w:ascii="Arial" w:hAnsi="Arial" w:cs="Arial"/>
          <w:sz w:val="20"/>
          <w:szCs w:val="20"/>
        </w:rPr>
        <w:t xml:space="preserve"> </w:t>
      </w:r>
      <w:r w:rsidRPr="00270890">
        <w:rPr>
          <w:rFonts w:ascii="Arial" w:hAnsi="Arial" w:cs="Arial"/>
          <w:sz w:val="20"/>
          <w:szCs w:val="20"/>
        </w:rPr>
        <w:t>that</w:t>
      </w:r>
      <w:r w:rsidRPr="00270890">
        <w:rPr>
          <w:rFonts w:ascii="Arial" w:hAnsi="Arial" w:cs="Arial"/>
          <w:spacing w:val="-3"/>
          <w:sz w:val="20"/>
          <w:szCs w:val="20"/>
        </w:rPr>
        <w:t xml:space="preserve"> </w:t>
      </w:r>
      <w:r w:rsidRPr="00270890">
        <w:rPr>
          <w:rFonts w:ascii="Arial" w:hAnsi="Arial" w:cs="Arial"/>
          <w:sz w:val="20"/>
          <w:szCs w:val="20"/>
        </w:rPr>
        <w:t>this</w:t>
      </w:r>
      <w:r w:rsidRPr="00270890">
        <w:rPr>
          <w:rFonts w:ascii="Arial" w:hAnsi="Arial" w:cs="Arial"/>
          <w:spacing w:val="-3"/>
          <w:sz w:val="20"/>
          <w:szCs w:val="20"/>
        </w:rPr>
        <w:t xml:space="preserve"> </w:t>
      </w:r>
      <w:r w:rsidRPr="00270890">
        <w:rPr>
          <w:rFonts w:ascii="Arial" w:hAnsi="Arial" w:cs="Arial"/>
          <w:sz w:val="20"/>
          <w:szCs w:val="20"/>
        </w:rPr>
        <w:t>information</w:t>
      </w:r>
      <w:r w:rsidRPr="00270890">
        <w:rPr>
          <w:rFonts w:ascii="Arial" w:hAnsi="Arial" w:cs="Arial"/>
          <w:spacing w:val="-3"/>
          <w:sz w:val="20"/>
          <w:szCs w:val="20"/>
        </w:rPr>
        <w:t xml:space="preserve"> </w:t>
      </w:r>
      <w:r w:rsidRPr="00270890">
        <w:rPr>
          <w:rFonts w:ascii="Arial" w:hAnsi="Arial" w:cs="Arial"/>
          <w:sz w:val="20"/>
          <w:szCs w:val="20"/>
        </w:rPr>
        <w:t>will</w:t>
      </w:r>
      <w:r w:rsidRPr="00270890">
        <w:rPr>
          <w:rFonts w:ascii="Arial" w:hAnsi="Arial" w:cs="Arial"/>
          <w:spacing w:val="-4"/>
          <w:sz w:val="20"/>
          <w:szCs w:val="20"/>
        </w:rPr>
        <w:t xml:space="preserve"> </w:t>
      </w:r>
      <w:r w:rsidRPr="00270890">
        <w:rPr>
          <w:rFonts w:ascii="Arial" w:hAnsi="Arial" w:cs="Arial"/>
          <w:sz w:val="20"/>
          <w:szCs w:val="20"/>
        </w:rPr>
        <w:t>be</w:t>
      </w:r>
      <w:r w:rsidRPr="00270890">
        <w:rPr>
          <w:rFonts w:ascii="Arial" w:hAnsi="Arial" w:cs="Arial"/>
          <w:spacing w:val="-3"/>
          <w:sz w:val="20"/>
          <w:szCs w:val="20"/>
        </w:rPr>
        <w:t xml:space="preserve"> </w:t>
      </w:r>
      <w:r w:rsidRPr="00270890">
        <w:rPr>
          <w:rFonts w:ascii="Arial" w:hAnsi="Arial" w:cs="Arial"/>
          <w:sz w:val="20"/>
          <w:szCs w:val="20"/>
        </w:rPr>
        <w:t>recorded</w:t>
      </w:r>
      <w:r w:rsidRPr="00270890">
        <w:rPr>
          <w:rFonts w:ascii="Arial" w:hAnsi="Arial" w:cs="Arial"/>
          <w:spacing w:val="-3"/>
          <w:sz w:val="20"/>
          <w:szCs w:val="20"/>
        </w:rPr>
        <w:t xml:space="preserve"> </w:t>
      </w:r>
      <w:proofErr w:type="gramStart"/>
      <w:r w:rsidRPr="00270890">
        <w:rPr>
          <w:rFonts w:ascii="Arial" w:hAnsi="Arial" w:cs="Arial"/>
          <w:sz w:val="20"/>
          <w:szCs w:val="20"/>
        </w:rPr>
        <w:t>on</w:t>
      </w:r>
      <w:r w:rsidRPr="00270890">
        <w:rPr>
          <w:rFonts w:ascii="Arial" w:hAnsi="Arial" w:cs="Arial"/>
          <w:spacing w:val="-1"/>
          <w:sz w:val="20"/>
          <w:szCs w:val="20"/>
        </w:rPr>
        <w:t xml:space="preserve"> </w:t>
      </w:r>
      <w:r w:rsidRPr="00270890">
        <w:rPr>
          <w:rFonts w:ascii="Arial" w:hAnsi="Arial" w:cs="Arial"/>
          <w:sz w:val="20"/>
          <w:szCs w:val="20"/>
        </w:rPr>
        <w:t>a</w:t>
      </w:r>
      <w:r w:rsidRPr="00270890">
        <w:rPr>
          <w:rFonts w:ascii="Arial" w:hAnsi="Arial" w:cs="Arial"/>
          <w:spacing w:val="-3"/>
          <w:sz w:val="20"/>
          <w:szCs w:val="20"/>
        </w:rPr>
        <w:t xml:space="preserve"> </w:t>
      </w:r>
      <w:r w:rsidRPr="00270890">
        <w:rPr>
          <w:rFonts w:ascii="Arial" w:hAnsi="Arial" w:cs="Arial"/>
          <w:sz w:val="20"/>
          <w:szCs w:val="20"/>
        </w:rPr>
        <w:t>monthly</w:t>
      </w:r>
      <w:r w:rsidRPr="00270890">
        <w:rPr>
          <w:rFonts w:ascii="Arial" w:hAnsi="Arial" w:cs="Arial"/>
          <w:spacing w:val="-3"/>
          <w:sz w:val="20"/>
          <w:szCs w:val="20"/>
        </w:rPr>
        <w:t xml:space="preserve"> </w:t>
      </w:r>
      <w:r w:rsidRPr="00270890">
        <w:rPr>
          <w:rFonts w:ascii="Arial" w:hAnsi="Arial" w:cs="Arial"/>
          <w:sz w:val="20"/>
          <w:szCs w:val="20"/>
        </w:rPr>
        <w:t>basis</w:t>
      </w:r>
      <w:proofErr w:type="gramEnd"/>
      <w:r w:rsidRPr="00270890">
        <w:rPr>
          <w:rFonts w:ascii="Arial" w:hAnsi="Arial" w:cs="Arial"/>
          <w:spacing w:val="-3"/>
          <w:sz w:val="20"/>
          <w:szCs w:val="20"/>
        </w:rPr>
        <w:t xml:space="preserve"> </w:t>
      </w:r>
      <w:r w:rsidRPr="00270890">
        <w:rPr>
          <w:rFonts w:ascii="Arial" w:hAnsi="Arial" w:cs="Arial"/>
          <w:sz w:val="20"/>
          <w:szCs w:val="20"/>
        </w:rPr>
        <w:t>and</w:t>
      </w:r>
      <w:r w:rsidRPr="00270890">
        <w:rPr>
          <w:rFonts w:ascii="Arial" w:hAnsi="Arial" w:cs="Arial"/>
          <w:spacing w:val="-3"/>
          <w:sz w:val="20"/>
          <w:szCs w:val="20"/>
        </w:rPr>
        <w:t xml:space="preserve"> </w:t>
      </w:r>
      <w:r w:rsidRPr="00270890">
        <w:rPr>
          <w:rFonts w:ascii="Arial" w:hAnsi="Arial" w:cs="Arial"/>
          <w:sz w:val="20"/>
          <w:szCs w:val="20"/>
        </w:rPr>
        <w:t>that</w:t>
      </w:r>
      <w:r w:rsidRPr="00270890">
        <w:rPr>
          <w:rFonts w:ascii="Arial" w:hAnsi="Arial" w:cs="Arial"/>
          <w:spacing w:val="-3"/>
          <w:sz w:val="20"/>
          <w:szCs w:val="20"/>
        </w:rPr>
        <w:t xml:space="preserve"> </w:t>
      </w:r>
      <w:r w:rsidRPr="00270890">
        <w:rPr>
          <w:rFonts w:ascii="Arial" w:hAnsi="Arial" w:cs="Arial"/>
          <w:sz w:val="20"/>
          <w:szCs w:val="20"/>
        </w:rPr>
        <w:t>calculation</w:t>
      </w:r>
      <w:r w:rsidRPr="00270890">
        <w:rPr>
          <w:rFonts w:ascii="Arial" w:hAnsi="Arial" w:cs="Arial"/>
          <w:spacing w:val="-3"/>
          <w:sz w:val="20"/>
          <w:szCs w:val="20"/>
        </w:rPr>
        <w:t xml:space="preserve"> </w:t>
      </w:r>
      <w:r w:rsidRPr="00270890">
        <w:rPr>
          <w:rFonts w:ascii="Arial" w:hAnsi="Arial" w:cs="Arial"/>
          <w:sz w:val="20"/>
          <w:szCs w:val="20"/>
        </w:rPr>
        <w:t>of</w:t>
      </w:r>
      <w:r w:rsidRPr="00270890">
        <w:rPr>
          <w:rFonts w:ascii="Arial" w:hAnsi="Arial" w:cs="Arial"/>
          <w:spacing w:val="-3"/>
          <w:sz w:val="20"/>
          <w:szCs w:val="20"/>
        </w:rPr>
        <w:t xml:space="preserve"> </w:t>
      </w:r>
      <w:r w:rsidRPr="00270890">
        <w:rPr>
          <w:rFonts w:ascii="Arial" w:hAnsi="Arial" w:cs="Arial"/>
          <w:sz w:val="20"/>
          <w:szCs w:val="20"/>
        </w:rPr>
        <w:t>a</w:t>
      </w:r>
      <w:r w:rsidRPr="00270890">
        <w:rPr>
          <w:rFonts w:ascii="Arial" w:hAnsi="Arial" w:cs="Arial"/>
          <w:spacing w:val="-3"/>
          <w:sz w:val="20"/>
          <w:szCs w:val="20"/>
        </w:rPr>
        <w:t xml:space="preserve"> </w:t>
      </w:r>
      <w:r w:rsidRPr="00270890">
        <w:rPr>
          <w:rFonts w:ascii="Arial" w:hAnsi="Arial" w:cs="Arial"/>
          <w:sz w:val="20"/>
          <w:szCs w:val="20"/>
        </w:rPr>
        <w:t>rolling</w:t>
      </w:r>
      <w:r w:rsidRPr="00270890">
        <w:rPr>
          <w:rFonts w:ascii="Arial" w:hAnsi="Arial" w:cs="Arial"/>
          <w:spacing w:val="-3"/>
          <w:sz w:val="20"/>
          <w:szCs w:val="20"/>
        </w:rPr>
        <w:t xml:space="preserve"> </w:t>
      </w:r>
      <w:r w:rsidRPr="00270890">
        <w:rPr>
          <w:rFonts w:ascii="Arial" w:hAnsi="Arial" w:cs="Arial"/>
          <w:sz w:val="20"/>
          <w:szCs w:val="20"/>
        </w:rPr>
        <w:t>12- month total for emissions is calculated using whatever calculation methodology has been chosen by the company (AP-42 or other reference material)</w:t>
      </w:r>
    </w:p>
    <w:p w14:paraId="5DFFAC78" w14:textId="77777777" w:rsidR="007B1FF1" w:rsidRDefault="007B1FF1" w:rsidP="0095602A">
      <w:pPr>
        <w:pStyle w:val="BodyText"/>
        <w:rPr>
          <w:rFonts w:ascii="Arial" w:hAnsi="Arial" w:cs="Arial"/>
          <w:sz w:val="20"/>
          <w:szCs w:val="20"/>
        </w:rPr>
      </w:pPr>
    </w:p>
    <w:p w14:paraId="1DFFE1E8" w14:textId="748BB624" w:rsidR="00270890" w:rsidRDefault="00B209ED" w:rsidP="00270890">
      <w:pPr>
        <w:rPr>
          <w:rFonts w:cs="Arial"/>
          <w:color w:val="42423F"/>
          <w:w w:val="105"/>
          <w:szCs w:val="20"/>
        </w:rPr>
      </w:pPr>
      <w:r w:rsidRPr="002B6875">
        <w:rPr>
          <w:rStyle w:val="Strong"/>
          <w:rFonts w:cs="Arial"/>
          <w:szCs w:val="20"/>
        </w:rPr>
        <w:t>TCEQ Response</w:t>
      </w:r>
      <w:r w:rsidR="00F13E5C">
        <w:rPr>
          <w:rStyle w:val="Strong"/>
          <w:rFonts w:cs="Arial"/>
          <w:szCs w:val="20"/>
        </w:rPr>
        <w:t xml:space="preserve"> to Objection 4</w:t>
      </w:r>
      <w:r w:rsidRPr="002B6875">
        <w:rPr>
          <w:rStyle w:val="Strong"/>
          <w:rFonts w:cs="Arial"/>
          <w:szCs w:val="20"/>
        </w:rPr>
        <w:t>:</w:t>
      </w:r>
      <w:r w:rsidRPr="002B6875">
        <w:rPr>
          <w:rFonts w:cs="Arial"/>
          <w:szCs w:val="20"/>
        </w:rPr>
        <w:t xml:space="preserve"> </w:t>
      </w:r>
      <w:r w:rsidR="00270890" w:rsidRPr="006136F6">
        <w:rPr>
          <w:rFonts w:cs="Arial"/>
          <w:color w:val="42423F"/>
          <w:w w:val="105"/>
          <w:szCs w:val="20"/>
        </w:rPr>
        <w:t>The Title V permit and Statement of Basis were updated to include identifiable</w:t>
      </w:r>
      <w:r w:rsidR="00270890" w:rsidRPr="006136F6">
        <w:rPr>
          <w:rFonts w:cs="Arial"/>
          <w:color w:val="42423F"/>
          <w:spacing w:val="1"/>
          <w:w w:val="105"/>
          <w:szCs w:val="20"/>
        </w:rPr>
        <w:t xml:space="preserve"> </w:t>
      </w:r>
      <w:r w:rsidR="00270890" w:rsidRPr="006136F6">
        <w:rPr>
          <w:rFonts w:cs="Arial"/>
          <w:color w:val="42423F"/>
          <w:spacing w:val="-1"/>
          <w:w w:val="105"/>
          <w:szCs w:val="20"/>
        </w:rPr>
        <w:t>monitoring,</w:t>
      </w:r>
      <w:r w:rsidR="00270890" w:rsidRPr="006136F6">
        <w:rPr>
          <w:rFonts w:cs="Arial"/>
          <w:color w:val="42423F"/>
          <w:spacing w:val="13"/>
          <w:w w:val="105"/>
          <w:szCs w:val="20"/>
        </w:rPr>
        <w:t xml:space="preserve"> </w:t>
      </w:r>
      <w:r w:rsidR="00270890" w:rsidRPr="006136F6">
        <w:rPr>
          <w:rFonts w:cs="Arial"/>
          <w:color w:val="42423F"/>
          <w:spacing w:val="-1"/>
          <w:w w:val="105"/>
          <w:szCs w:val="20"/>
        </w:rPr>
        <w:t>recordkeeping,</w:t>
      </w:r>
      <w:r w:rsidR="00270890" w:rsidRPr="006136F6">
        <w:rPr>
          <w:rFonts w:cs="Arial"/>
          <w:color w:val="42423F"/>
          <w:spacing w:val="-23"/>
          <w:w w:val="105"/>
          <w:szCs w:val="20"/>
        </w:rPr>
        <w:t xml:space="preserve"> </w:t>
      </w:r>
      <w:r w:rsidR="00270890" w:rsidRPr="006136F6">
        <w:rPr>
          <w:rFonts w:cs="Arial"/>
          <w:color w:val="42423F"/>
          <w:w w:val="105"/>
          <w:szCs w:val="20"/>
        </w:rPr>
        <w:t>and</w:t>
      </w:r>
      <w:r w:rsidR="00270890" w:rsidRPr="006136F6">
        <w:rPr>
          <w:rFonts w:cs="Arial"/>
          <w:color w:val="42423F"/>
          <w:spacing w:val="3"/>
          <w:w w:val="105"/>
          <w:szCs w:val="20"/>
        </w:rPr>
        <w:t xml:space="preserve"> </w:t>
      </w:r>
      <w:r w:rsidR="00270890" w:rsidRPr="006136F6">
        <w:rPr>
          <w:rFonts w:cs="Arial"/>
          <w:color w:val="42423F"/>
          <w:w w:val="105"/>
          <w:szCs w:val="20"/>
        </w:rPr>
        <w:t>reporting</w:t>
      </w:r>
      <w:r w:rsidR="00270890" w:rsidRPr="006136F6">
        <w:rPr>
          <w:rFonts w:cs="Arial"/>
          <w:color w:val="42423F"/>
          <w:spacing w:val="4"/>
          <w:w w:val="105"/>
          <w:szCs w:val="20"/>
        </w:rPr>
        <w:t xml:space="preserve"> </w:t>
      </w:r>
      <w:r w:rsidR="00270890" w:rsidRPr="006136F6">
        <w:rPr>
          <w:rFonts w:cs="Arial"/>
          <w:color w:val="42423F"/>
          <w:w w:val="105"/>
          <w:szCs w:val="20"/>
        </w:rPr>
        <w:t>necessary</w:t>
      </w:r>
      <w:r w:rsidR="00270890" w:rsidRPr="006136F6">
        <w:rPr>
          <w:rFonts w:cs="Arial"/>
          <w:color w:val="42423F"/>
          <w:spacing w:val="17"/>
          <w:w w:val="105"/>
          <w:szCs w:val="20"/>
        </w:rPr>
        <w:t xml:space="preserve"> </w:t>
      </w:r>
      <w:r w:rsidR="00270890" w:rsidRPr="006136F6">
        <w:rPr>
          <w:rFonts w:cs="Arial"/>
          <w:color w:val="42423F"/>
          <w:w w:val="105"/>
          <w:szCs w:val="20"/>
        </w:rPr>
        <w:t>to</w:t>
      </w:r>
      <w:r w:rsidR="00270890" w:rsidRPr="006136F6">
        <w:rPr>
          <w:rFonts w:cs="Arial"/>
          <w:color w:val="42423F"/>
          <w:spacing w:val="4"/>
          <w:w w:val="105"/>
          <w:szCs w:val="20"/>
        </w:rPr>
        <w:t xml:space="preserve"> </w:t>
      </w:r>
      <w:r w:rsidR="00270890" w:rsidRPr="006136F6">
        <w:rPr>
          <w:rFonts w:cs="Arial"/>
          <w:color w:val="42423F"/>
          <w:w w:val="105"/>
          <w:szCs w:val="20"/>
        </w:rPr>
        <w:t>assure</w:t>
      </w:r>
      <w:r w:rsidR="00270890" w:rsidRPr="006136F6">
        <w:rPr>
          <w:rFonts w:cs="Arial"/>
          <w:color w:val="42423F"/>
          <w:spacing w:val="-5"/>
          <w:w w:val="105"/>
          <w:szCs w:val="20"/>
        </w:rPr>
        <w:t xml:space="preserve"> </w:t>
      </w:r>
      <w:r w:rsidR="00270890" w:rsidRPr="006136F6">
        <w:rPr>
          <w:rFonts w:cs="Arial"/>
          <w:color w:val="42423F"/>
          <w:w w:val="105"/>
          <w:szCs w:val="20"/>
        </w:rPr>
        <w:t>compliance</w:t>
      </w:r>
      <w:r w:rsidR="00270890" w:rsidRPr="006136F6">
        <w:rPr>
          <w:rFonts w:cs="Arial"/>
          <w:color w:val="42423F"/>
          <w:spacing w:val="17"/>
          <w:w w:val="105"/>
          <w:szCs w:val="20"/>
        </w:rPr>
        <w:t xml:space="preserve"> </w:t>
      </w:r>
      <w:r w:rsidR="00270890" w:rsidRPr="006136F6">
        <w:rPr>
          <w:rFonts w:cs="Arial"/>
          <w:color w:val="42423F"/>
          <w:w w:val="105"/>
          <w:szCs w:val="20"/>
        </w:rPr>
        <w:t>with</w:t>
      </w:r>
      <w:r w:rsidR="00270890" w:rsidRPr="006136F6">
        <w:rPr>
          <w:rFonts w:cs="Arial"/>
          <w:color w:val="42423F"/>
          <w:spacing w:val="-4"/>
          <w:w w:val="105"/>
          <w:szCs w:val="20"/>
        </w:rPr>
        <w:t xml:space="preserve"> </w:t>
      </w:r>
      <w:r w:rsidR="00270890" w:rsidRPr="006136F6">
        <w:rPr>
          <w:rFonts w:cs="Arial"/>
          <w:color w:val="42423F"/>
          <w:w w:val="105"/>
          <w:szCs w:val="20"/>
        </w:rPr>
        <w:t>the</w:t>
      </w:r>
      <w:r w:rsidR="00270890" w:rsidRPr="006136F6">
        <w:rPr>
          <w:rFonts w:cs="Arial"/>
          <w:color w:val="42423F"/>
          <w:spacing w:val="-8"/>
          <w:w w:val="105"/>
          <w:szCs w:val="20"/>
        </w:rPr>
        <w:t xml:space="preserve"> </w:t>
      </w:r>
      <w:r w:rsidR="00270890" w:rsidRPr="006136F6">
        <w:rPr>
          <w:rFonts w:cs="Arial"/>
          <w:color w:val="42423F"/>
          <w:w w:val="105"/>
          <w:szCs w:val="20"/>
        </w:rPr>
        <w:t>emission</w:t>
      </w:r>
      <w:r w:rsidR="00270890" w:rsidRPr="006136F6">
        <w:rPr>
          <w:rFonts w:cs="Arial"/>
          <w:color w:val="42423F"/>
          <w:spacing w:val="1"/>
          <w:w w:val="105"/>
          <w:szCs w:val="20"/>
        </w:rPr>
        <w:t xml:space="preserve"> </w:t>
      </w:r>
      <w:r w:rsidR="00270890" w:rsidRPr="006136F6">
        <w:rPr>
          <w:rFonts w:cs="Arial"/>
          <w:color w:val="42423F"/>
          <w:w w:val="105"/>
          <w:szCs w:val="20"/>
        </w:rPr>
        <w:t>limits</w:t>
      </w:r>
      <w:r w:rsidR="00270890" w:rsidRPr="006136F6">
        <w:rPr>
          <w:rFonts w:cs="Arial"/>
          <w:color w:val="42423F"/>
          <w:spacing w:val="-8"/>
          <w:w w:val="105"/>
          <w:szCs w:val="20"/>
        </w:rPr>
        <w:t xml:space="preserve"> </w:t>
      </w:r>
      <w:r w:rsidR="00270890" w:rsidRPr="006136F6">
        <w:rPr>
          <w:rFonts w:cs="Arial"/>
          <w:color w:val="42423F"/>
          <w:w w:val="105"/>
          <w:szCs w:val="20"/>
        </w:rPr>
        <w:t>and</w:t>
      </w:r>
      <w:r w:rsidR="00270890" w:rsidRPr="006136F6">
        <w:rPr>
          <w:rFonts w:cs="Arial"/>
          <w:color w:val="42423F"/>
          <w:spacing w:val="-3"/>
          <w:w w:val="105"/>
          <w:szCs w:val="20"/>
        </w:rPr>
        <w:t xml:space="preserve"> </w:t>
      </w:r>
      <w:r w:rsidR="00270890" w:rsidRPr="006136F6">
        <w:rPr>
          <w:rFonts w:cs="Arial"/>
          <w:color w:val="42423F"/>
          <w:w w:val="105"/>
          <w:szCs w:val="20"/>
        </w:rPr>
        <w:t>standards</w:t>
      </w:r>
      <w:r w:rsidR="00270890" w:rsidRPr="006136F6">
        <w:rPr>
          <w:rFonts w:cs="Arial"/>
          <w:color w:val="42423F"/>
          <w:spacing w:val="11"/>
          <w:w w:val="105"/>
          <w:szCs w:val="20"/>
        </w:rPr>
        <w:t xml:space="preserve"> </w:t>
      </w:r>
      <w:r w:rsidR="00270890" w:rsidRPr="006136F6">
        <w:rPr>
          <w:rFonts w:cs="Arial"/>
          <w:color w:val="42423F"/>
          <w:w w:val="105"/>
          <w:szCs w:val="20"/>
        </w:rPr>
        <w:t>in</w:t>
      </w:r>
      <w:r w:rsidR="00270890" w:rsidRPr="006136F6">
        <w:rPr>
          <w:rFonts w:cs="Arial"/>
          <w:color w:val="42423F"/>
          <w:spacing w:val="-8"/>
          <w:w w:val="105"/>
          <w:szCs w:val="20"/>
        </w:rPr>
        <w:t xml:space="preserve"> </w:t>
      </w:r>
      <w:r w:rsidR="00270890" w:rsidRPr="006136F6">
        <w:rPr>
          <w:rFonts w:cs="Arial"/>
          <w:color w:val="42423F"/>
          <w:w w:val="105"/>
          <w:szCs w:val="20"/>
        </w:rPr>
        <w:t>the</w:t>
      </w:r>
      <w:r w:rsidR="00270890" w:rsidRPr="006136F6">
        <w:rPr>
          <w:rFonts w:cs="Arial"/>
          <w:color w:val="42423F"/>
          <w:spacing w:val="-3"/>
          <w:w w:val="105"/>
          <w:szCs w:val="20"/>
        </w:rPr>
        <w:t xml:space="preserve"> </w:t>
      </w:r>
      <w:r w:rsidR="00270890" w:rsidRPr="006136F6">
        <w:rPr>
          <w:rFonts w:cs="Arial"/>
          <w:color w:val="42423F"/>
          <w:w w:val="105"/>
          <w:szCs w:val="20"/>
        </w:rPr>
        <w:t>PBRs as follows:</w:t>
      </w:r>
    </w:p>
    <w:p w14:paraId="2FE83913" w14:textId="77777777" w:rsidR="00DD7767" w:rsidRPr="006136F6" w:rsidRDefault="00DD7767" w:rsidP="00270890">
      <w:pPr>
        <w:rPr>
          <w:rFonts w:cs="Arial"/>
          <w:color w:val="42423F"/>
          <w:w w:val="105"/>
          <w:szCs w:val="20"/>
        </w:rPr>
      </w:pPr>
    </w:p>
    <w:p w14:paraId="7C8A3D38" w14:textId="72579C3B" w:rsidR="00270890" w:rsidRDefault="00270890" w:rsidP="004D1FC7">
      <w:pPr>
        <w:pStyle w:val="ListParagraph"/>
        <w:numPr>
          <w:ilvl w:val="0"/>
          <w:numId w:val="26"/>
        </w:numPr>
        <w:rPr>
          <w:rFonts w:ascii="Arial" w:hAnsi="Arial" w:cs="Arial"/>
          <w:sz w:val="20"/>
          <w:szCs w:val="20"/>
        </w:rPr>
      </w:pPr>
      <w:r w:rsidRPr="006136F6">
        <w:rPr>
          <w:rFonts w:ascii="Arial" w:hAnsi="Arial" w:cs="Arial"/>
          <w:sz w:val="20"/>
          <w:szCs w:val="20"/>
        </w:rPr>
        <w:t xml:space="preserve">The PBR Supplemental Table (OP-PBRSUP) </w:t>
      </w:r>
      <w:r w:rsidR="00857D69" w:rsidRPr="00857D69">
        <w:rPr>
          <w:rFonts w:ascii="Arial" w:hAnsi="Arial" w:cs="Arial"/>
          <w:sz w:val="20"/>
          <w:szCs w:val="20"/>
        </w:rPr>
        <w:t>dated January 31, 2023</w:t>
      </w:r>
      <w:r w:rsidR="00D772FD">
        <w:rPr>
          <w:rFonts w:ascii="Arial" w:hAnsi="Arial" w:cs="Arial"/>
          <w:sz w:val="20"/>
          <w:szCs w:val="20"/>
        </w:rPr>
        <w:t>,</w:t>
      </w:r>
      <w:r w:rsidR="00857D69" w:rsidRPr="00857D69">
        <w:rPr>
          <w:rFonts w:ascii="Arial" w:hAnsi="Arial" w:cs="Arial"/>
          <w:sz w:val="20"/>
          <w:szCs w:val="20"/>
        </w:rPr>
        <w:t xml:space="preserve"> </w:t>
      </w:r>
      <w:r w:rsidRPr="006136F6">
        <w:rPr>
          <w:rFonts w:ascii="Arial" w:hAnsi="Arial" w:cs="Arial"/>
          <w:sz w:val="20"/>
          <w:szCs w:val="20"/>
        </w:rPr>
        <w:t xml:space="preserve">which is included in a Title V application becomes part of the permit record. A reference to the PBR Supplemental Table was </w:t>
      </w:r>
      <w:r w:rsidRPr="006136F6">
        <w:rPr>
          <w:rFonts w:ascii="Arial" w:hAnsi="Arial" w:cs="Arial"/>
          <w:sz w:val="20"/>
          <w:szCs w:val="20"/>
        </w:rPr>
        <w:lastRenderedPageBreak/>
        <w:t xml:space="preserve">added in the Special Term and Condition </w:t>
      </w:r>
      <w:r w:rsidR="00DD7767">
        <w:rPr>
          <w:rFonts w:ascii="Arial" w:hAnsi="Arial" w:cs="Arial"/>
          <w:sz w:val="20"/>
          <w:szCs w:val="20"/>
        </w:rPr>
        <w:t xml:space="preserve">25 </w:t>
      </w:r>
      <w:r w:rsidRPr="006136F6">
        <w:rPr>
          <w:rFonts w:ascii="Arial" w:hAnsi="Arial" w:cs="Arial"/>
          <w:sz w:val="20"/>
          <w:szCs w:val="20"/>
        </w:rPr>
        <w:t xml:space="preserve">in the proposed permit to include the text “(including the terms and conditions which include monitoring, recordkeeping, and reporting identified in registered PBRs and permits by rule identified in the PBR Supplemental Tables dated </w:t>
      </w:r>
      <w:r w:rsidR="00DD7767">
        <w:rPr>
          <w:rFonts w:ascii="Arial" w:hAnsi="Arial" w:cs="Arial"/>
          <w:sz w:val="20"/>
          <w:szCs w:val="20"/>
        </w:rPr>
        <w:t>January 31, 2023</w:t>
      </w:r>
      <w:r w:rsidR="00CB5F91">
        <w:rPr>
          <w:rFonts w:ascii="Arial" w:hAnsi="Arial" w:cs="Arial"/>
          <w:sz w:val="20"/>
          <w:szCs w:val="20"/>
        </w:rPr>
        <w:t>,</w:t>
      </w:r>
      <w:r w:rsidR="00DD7767">
        <w:rPr>
          <w:rFonts w:ascii="Arial" w:hAnsi="Arial" w:cs="Arial"/>
          <w:sz w:val="20"/>
          <w:szCs w:val="20"/>
        </w:rPr>
        <w:t xml:space="preserve"> </w:t>
      </w:r>
      <w:r w:rsidRPr="006136F6">
        <w:rPr>
          <w:rFonts w:ascii="Arial" w:hAnsi="Arial" w:cs="Arial"/>
          <w:sz w:val="20"/>
          <w:szCs w:val="20"/>
        </w:rPr>
        <w:t xml:space="preserve">in the application for project </w:t>
      </w:r>
      <w:r>
        <w:rPr>
          <w:rFonts w:ascii="Arial" w:hAnsi="Arial" w:cs="Arial"/>
          <w:sz w:val="20"/>
          <w:szCs w:val="20"/>
        </w:rPr>
        <w:t>28179</w:t>
      </w:r>
      <w:r w:rsidRPr="006136F6">
        <w:rPr>
          <w:rFonts w:ascii="Arial" w:hAnsi="Arial" w:cs="Arial"/>
          <w:sz w:val="20"/>
          <w:szCs w:val="20"/>
        </w:rPr>
        <w:t>)”</w:t>
      </w:r>
      <w:r w:rsidR="004D1FC7">
        <w:rPr>
          <w:rFonts w:ascii="Arial" w:hAnsi="Arial" w:cs="Arial"/>
          <w:sz w:val="20"/>
          <w:szCs w:val="20"/>
        </w:rPr>
        <w:t>.</w:t>
      </w:r>
    </w:p>
    <w:p w14:paraId="6F0DCB52" w14:textId="043BDDF1" w:rsidR="004D1FC7" w:rsidRPr="004D1FC7" w:rsidRDefault="004D1FC7" w:rsidP="004D1FC7">
      <w:pPr>
        <w:pStyle w:val="ListParagraph"/>
        <w:numPr>
          <w:ilvl w:val="0"/>
          <w:numId w:val="26"/>
        </w:numPr>
        <w:rPr>
          <w:rFonts w:ascii="Arial" w:hAnsi="Arial" w:cs="Arial"/>
          <w:sz w:val="20"/>
          <w:szCs w:val="20"/>
        </w:rPr>
      </w:pPr>
      <w:r w:rsidRPr="004D1FC7">
        <w:rPr>
          <w:rFonts w:ascii="Arial" w:hAnsi="Arial" w:cs="Arial"/>
          <w:sz w:val="20"/>
          <w:szCs w:val="20"/>
        </w:rPr>
        <w:t xml:space="preserve">New Source Review Authorization References by Emissions Unit table in the proposed permit (pages </w:t>
      </w:r>
      <w:r>
        <w:rPr>
          <w:rFonts w:ascii="Arial" w:hAnsi="Arial" w:cs="Arial"/>
          <w:sz w:val="20"/>
          <w:szCs w:val="20"/>
        </w:rPr>
        <w:t>477</w:t>
      </w:r>
      <w:r w:rsidRPr="004D1FC7">
        <w:rPr>
          <w:rFonts w:ascii="Arial" w:hAnsi="Arial" w:cs="Arial"/>
          <w:sz w:val="20"/>
          <w:szCs w:val="20"/>
        </w:rPr>
        <w:t>-</w:t>
      </w:r>
      <w:r>
        <w:rPr>
          <w:rFonts w:ascii="Arial" w:hAnsi="Arial" w:cs="Arial"/>
          <w:sz w:val="20"/>
          <w:szCs w:val="20"/>
        </w:rPr>
        <w:t>494</w:t>
      </w:r>
      <w:r w:rsidRPr="004D1FC7">
        <w:rPr>
          <w:rFonts w:ascii="Arial" w:hAnsi="Arial" w:cs="Arial"/>
          <w:sz w:val="20"/>
          <w:szCs w:val="20"/>
        </w:rPr>
        <w:t>) has been updated to include the emission units listed in the OP-PBRSUP table</w:t>
      </w:r>
      <w:r>
        <w:rPr>
          <w:rFonts w:ascii="Arial" w:hAnsi="Arial" w:cs="Arial"/>
          <w:sz w:val="20"/>
          <w:szCs w:val="20"/>
        </w:rPr>
        <w:t>.</w:t>
      </w:r>
    </w:p>
    <w:p w14:paraId="23096143" w14:textId="2263D6F1" w:rsidR="004D1FC7" w:rsidRPr="006136F6" w:rsidRDefault="004D1FC7" w:rsidP="004D1FC7">
      <w:pPr>
        <w:pStyle w:val="ListParagraph"/>
        <w:numPr>
          <w:ilvl w:val="0"/>
          <w:numId w:val="26"/>
        </w:numPr>
        <w:rPr>
          <w:rFonts w:ascii="Arial" w:hAnsi="Arial" w:cs="Arial"/>
          <w:sz w:val="20"/>
          <w:szCs w:val="20"/>
        </w:rPr>
      </w:pPr>
      <w:r w:rsidRPr="004D1FC7">
        <w:rPr>
          <w:rFonts w:ascii="Arial" w:hAnsi="Arial" w:cs="Arial"/>
          <w:sz w:val="20"/>
          <w:szCs w:val="20"/>
        </w:rPr>
        <w:t>New Source Review Authorization table (New Source Review Authorization References table at page 475)</w:t>
      </w:r>
      <w:r>
        <w:rPr>
          <w:rFonts w:ascii="Arial" w:hAnsi="Arial" w:cs="Arial"/>
          <w:sz w:val="20"/>
          <w:szCs w:val="20"/>
        </w:rPr>
        <w:t xml:space="preserve"> </w:t>
      </w:r>
      <w:r w:rsidRPr="004D1FC7">
        <w:rPr>
          <w:rFonts w:ascii="Arial" w:hAnsi="Arial" w:cs="Arial"/>
          <w:sz w:val="20"/>
          <w:szCs w:val="20"/>
        </w:rPr>
        <w:t xml:space="preserve">was updated to list NSR Permit Numbers </w:t>
      </w:r>
      <w:r>
        <w:rPr>
          <w:rFonts w:ascii="Arial" w:hAnsi="Arial" w:cs="Arial"/>
          <w:sz w:val="20"/>
          <w:szCs w:val="20"/>
        </w:rPr>
        <w:t>3179 and 3219</w:t>
      </w:r>
      <w:r w:rsidRPr="004D1FC7">
        <w:rPr>
          <w:rFonts w:ascii="Arial" w:hAnsi="Arial" w:cs="Arial"/>
          <w:sz w:val="20"/>
          <w:szCs w:val="20"/>
        </w:rPr>
        <w:t xml:space="preserve">, effective </w:t>
      </w:r>
      <w:r>
        <w:rPr>
          <w:rFonts w:ascii="Arial" w:hAnsi="Arial" w:cs="Arial"/>
          <w:sz w:val="20"/>
          <w:szCs w:val="20"/>
        </w:rPr>
        <w:t>02/07/2024.</w:t>
      </w:r>
    </w:p>
    <w:p w14:paraId="5E5B9988" w14:textId="1D7DEB32" w:rsidR="00270890" w:rsidRPr="006136F6" w:rsidRDefault="00270890" w:rsidP="004D1FC7">
      <w:pPr>
        <w:numPr>
          <w:ilvl w:val="0"/>
          <w:numId w:val="26"/>
        </w:numPr>
        <w:contextualSpacing/>
        <w:rPr>
          <w:rFonts w:cs="Arial"/>
          <w:szCs w:val="20"/>
        </w:rPr>
      </w:pPr>
      <w:r w:rsidRPr="006136F6">
        <w:rPr>
          <w:rFonts w:cs="Arial"/>
          <w:szCs w:val="20"/>
        </w:rPr>
        <w:t xml:space="preserve">The statement of basis (SOB) was updated to revise the insignificant activities list and add a reference to the PBR Supplemental Table, and the Special Term and Condition </w:t>
      </w:r>
      <w:r w:rsidR="00DD7767">
        <w:rPr>
          <w:rFonts w:cs="Arial"/>
          <w:szCs w:val="20"/>
        </w:rPr>
        <w:t>25</w:t>
      </w:r>
      <w:r w:rsidRPr="006136F6">
        <w:rPr>
          <w:rFonts w:cs="Arial"/>
          <w:szCs w:val="20"/>
        </w:rPr>
        <w:t xml:space="preserve"> listed in the FOP</w:t>
      </w:r>
      <w:r w:rsidR="004D1FC7">
        <w:rPr>
          <w:rFonts w:cs="Arial"/>
          <w:szCs w:val="20"/>
        </w:rPr>
        <w:t>.</w:t>
      </w:r>
    </w:p>
    <w:p w14:paraId="7B1DF0E9" w14:textId="77777777" w:rsidR="00270890" w:rsidRDefault="00270890" w:rsidP="004D1FC7">
      <w:pPr>
        <w:pStyle w:val="ListParagraph"/>
        <w:numPr>
          <w:ilvl w:val="0"/>
          <w:numId w:val="26"/>
        </w:numPr>
        <w:rPr>
          <w:rFonts w:ascii="Arial" w:hAnsi="Arial" w:cs="Arial"/>
          <w:sz w:val="20"/>
          <w:szCs w:val="20"/>
        </w:rPr>
      </w:pPr>
      <w:r w:rsidRPr="006136F6">
        <w:rPr>
          <w:rFonts w:ascii="Arial" w:hAnsi="Arial" w:cs="Arial"/>
          <w:sz w:val="20"/>
          <w:szCs w:val="20"/>
        </w:rPr>
        <w:t>The SOB was updated to identify insignificant activities and emission units not required to be addressed in the operating permit application.</w:t>
      </w:r>
    </w:p>
    <w:p w14:paraId="325037FF" w14:textId="1417B627" w:rsidR="00A13CB4" w:rsidRDefault="00A13CB4" w:rsidP="004D1FC7">
      <w:pPr>
        <w:pStyle w:val="ListParagraph"/>
        <w:numPr>
          <w:ilvl w:val="0"/>
          <w:numId w:val="26"/>
        </w:numPr>
        <w:rPr>
          <w:rFonts w:ascii="Arial" w:hAnsi="Arial" w:cs="Arial"/>
          <w:sz w:val="20"/>
          <w:szCs w:val="20"/>
        </w:rPr>
      </w:pPr>
      <w:r>
        <w:rPr>
          <w:rFonts w:ascii="Arial" w:hAnsi="Arial" w:cs="Arial"/>
          <w:sz w:val="20"/>
          <w:szCs w:val="20"/>
        </w:rPr>
        <w:t xml:space="preserve">Regarding </w:t>
      </w:r>
      <w:r w:rsidRPr="00A13CB4">
        <w:rPr>
          <w:rFonts w:ascii="Arial" w:hAnsi="Arial" w:cs="Arial"/>
          <w:sz w:val="20"/>
          <w:szCs w:val="20"/>
        </w:rPr>
        <w:t xml:space="preserve">V392 </w:t>
      </w:r>
      <w:r>
        <w:rPr>
          <w:rFonts w:ascii="Arial" w:hAnsi="Arial" w:cs="Arial"/>
          <w:sz w:val="20"/>
          <w:szCs w:val="20"/>
        </w:rPr>
        <w:t>being</w:t>
      </w:r>
      <w:r w:rsidRPr="00A13CB4">
        <w:rPr>
          <w:rFonts w:ascii="Arial" w:hAnsi="Arial" w:cs="Arial"/>
          <w:sz w:val="20"/>
          <w:szCs w:val="20"/>
        </w:rPr>
        <w:t xml:space="preserve"> subject to 40 CFR Part 63 Subparts F, G, and H according to the PBR registration application</w:t>
      </w:r>
      <w:r>
        <w:rPr>
          <w:rFonts w:ascii="Arial" w:hAnsi="Arial" w:cs="Arial"/>
          <w:sz w:val="20"/>
          <w:szCs w:val="20"/>
        </w:rPr>
        <w:t xml:space="preserve">, whereas </w:t>
      </w:r>
      <w:r w:rsidRPr="00A13CB4">
        <w:rPr>
          <w:rFonts w:ascii="Arial" w:hAnsi="Arial" w:cs="Arial"/>
          <w:sz w:val="20"/>
          <w:szCs w:val="20"/>
        </w:rPr>
        <w:t xml:space="preserve">the Applicable Requirements Summary </w:t>
      </w:r>
      <w:r>
        <w:rPr>
          <w:rFonts w:ascii="Arial" w:hAnsi="Arial" w:cs="Arial"/>
          <w:sz w:val="20"/>
          <w:szCs w:val="20"/>
        </w:rPr>
        <w:t xml:space="preserve">(ARS) </w:t>
      </w:r>
      <w:r w:rsidRPr="00A13CB4">
        <w:rPr>
          <w:rFonts w:ascii="Arial" w:hAnsi="Arial" w:cs="Arial"/>
          <w:sz w:val="20"/>
          <w:szCs w:val="20"/>
        </w:rPr>
        <w:t>table in the title V permit only show</w:t>
      </w:r>
      <w:r>
        <w:rPr>
          <w:rFonts w:ascii="Arial" w:hAnsi="Arial" w:cs="Arial"/>
          <w:sz w:val="20"/>
          <w:szCs w:val="20"/>
        </w:rPr>
        <w:t>ing</w:t>
      </w:r>
      <w:r w:rsidRPr="00A13CB4">
        <w:rPr>
          <w:rFonts w:ascii="Arial" w:hAnsi="Arial" w:cs="Arial"/>
          <w:sz w:val="20"/>
          <w:szCs w:val="20"/>
        </w:rPr>
        <w:t xml:space="preserve"> applicable requirements for 30 TAC Chapter 115 and 40 CFR Part 63 Subpart G</w:t>
      </w:r>
      <w:r>
        <w:rPr>
          <w:rFonts w:ascii="Arial" w:hAnsi="Arial" w:cs="Arial"/>
          <w:sz w:val="20"/>
          <w:szCs w:val="20"/>
        </w:rPr>
        <w:t xml:space="preserve">, TCEQ notes that </w:t>
      </w:r>
      <w:r w:rsidRPr="00A13CB4">
        <w:rPr>
          <w:rFonts w:ascii="Arial" w:hAnsi="Arial" w:cs="Arial"/>
          <w:sz w:val="20"/>
          <w:szCs w:val="20"/>
        </w:rPr>
        <w:t xml:space="preserve">HON MACT standards have overlapping subparts. Based on OP-UA15 form submitted by </w:t>
      </w:r>
      <w:r>
        <w:rPr>
          <w:rFonts w:ascii="Arial" w:hAnsi="Arial" w:cs="Arial"/>
          <w:sz w:val="20"/>
          <w:szCs w:val="20"/>
        </w:rPr>
        <w:t>the applicant</w:t>
      </w:r>
      <w:r w:rsidRPr="00A13CB4">
        <w:rPr>
          <w:rFonts w:ascii="Arial" w:hAnsi="Arial" w:cs="Arial"/>
          <w:sz w:val="20"/>
          <w:szCs w:val="20"/>
        </w:rPr>
        <w:t xml:space="preserve"> TCEQ determined that “Owners or operator is required to comply only with the requirements of 40 CFR Part 63, Subpart G” which is listed in the ARS. </w:t>
      </w:r>
      <w:r>
        <w:rPr>
          <w:rFonts w:ascii="Arial" w:hAnsi="Arial" w:cs="Arial"/>
          <w:sz w:val="20"/>
          <w:szCs w:val="20"/>
        </w:rPr>
        <w:t>Subsequently</w:t>
      </w:r>
      <w:r w:rsidR="00DE5E35">
        <w:rPr>
          <w:rFonts w:ascii="Arial" w:hAnsi="Arial" w:cs="Arial"/>
          <w:sz w:val="20"/>
          <w:szCs w:val="20"/>
        </w:rPr>
        <w:t>, in response to EPA’s objection,</w:t>
      </w:r>
      <w:r>
        <w:rPr>
          <w:rFonts w:ascii="Arial" w:hAnsi="Arial" w:cs="Arial"/>
          <w:sz w:val="20"/>
          <w:szCs w:val="20"/>
        </w:rPr>
        <w:t xml:space="preserve"> applicant has re</w:t>
      </w:r>
      <w:r w:rsidRPr="00A13CB4">
        <w:rPr>
          <w:rFonts w:ascii="Arial" w:hAnsi="Arial" w:cs="Arial"/>
          <w:sz w:val="20"/>
          <w:szCs w:val="20"/>
        </w:rPr>
        <w:t>confirm</w:t>
      </w:r>
      <w:r>
        <w:rPr>
          <w:rFonts w:ascii="Arial" w:hAnsi="Arial" w:cs="Arial"/>
          <w:sz w:val="20"/>
          <w:szCs w:val="20"/>
        </w:rPr>
        <w:t>ed</w:t>
      </w:r>
      <w:r w:rsidRPr="00A13CB4">
        <w:rPr>
          <w:rFonts w:ascii="Arial" w:hAnsi="Arial" w:cs="Arial"/>
          <w:sz w:val="20"/>
          <w:szCs w:val="20"/>
        </w:rPr>
        <w:t xml:space="preserve"> </w:t>
      </w:r>
      <w:r>
        <w:rPr>
          <w:rFonts w:ascii="Arial" w:hAnsi="Arial" w:cs="Arial"/>
          <w:sz w:val="20"/>
          <w:szCs w:val="20"/>
        </w:rPr>
        <w:t xml:space="preserve">that </w:t>
      </w:r>
      <w:r w:rsidRPr="00A13CB4">
        <w:rPr>
          <w:rFonts w:ascii="Arial" w:hAnsi="Arial" w:cs="Arial"/>
          <w:sz w:val="20"/>
          <w:szCs w:val="20"/>
        </w:rPr>
        <w:t xml:space="preserve">this unit is only subject to MACT G as listed in the ARS and MACT F and H </w:t>
      </w:r>
      <w:r>
        <w:rPr>
          <w:rFonts w:ascii="Arial" w:hAnsi="Arial" w:cs="Arial"/>
          <w:sz w:val="20"/>
          <w:szCs w:val="20"/>
        </w:rPr>
        <w:t xml:space="preserve">regulations </w:t>
      </w:r>
      <w:r w:rsidRPr="00A13CB4">
        <w:rPr>
          <w:rFonts w:ascii="Arial" w:hAnsi="Arial" w:cs="Arial"/>
          <w:sz w:val="20"/>
          <w:szCs w:val="20"/>
        </w:rPr>
        <w:t xml:space="preserve">do not apply as was stated in </w:t>
      </w:r>
      <w:r>
        <w:rPr>
          <w:rFonts w:ascii="Arial" w:hAnsi="Arial" w:cs="Arial"/>
          <w:sz w:val="20"/>
          <w:szCs w:val="20"/>
        </w:rPr>
        <w:t>the</w:t>
      </w:r>
      <w:r w:rsidRPr="00A13CB4">
        <w:rPr>
          <w:rFonts w:ascii="Arial" w:hAnsi="Arial" w:cs="Arial"/>
          <w:sz w:val="20"/>
          <w:szCs w:val="20"/>
        </w:rPr>
        <w:t xml:space="preserve"> PBR representation</w:t>
      </w:r>
      <w:r>
        <w:rPr>
          <w:rFonts w:ascii="Arial" w:hAnsi="Arial" w:cs="Arial"/>
          <w:sz w:val="20"/>
          <w:szCs w:val="20"/>
        </w:rPr>
        <w:t>.</w:t>
      </w:r>
    </w:p>
    <w:p w14:paraId="3D298575" w14:textId="77777777" w:rsidR="00A13CB4" w:rsidRDefault="00A13CB4" w:rsidP="00D60A2F">
      <w:pPr>
        <w:pStyle w:val="ListParagraph"/>
        <w:numPr>
          <w:ilvl w:val="0"/>
          <w:numId w:val="26"/>
        </w:numPr>
        <w:rPr>
          <w:rFonts w:ascii="Arial" w:hAnsi="Arial" w:cs="Arial"/>
          <w:sz w:val="20"/>
          <w:szCs w:val="20"/>
        </w:rPr>
      </w:pPr>
      <w:r>
        <w:rPr>
          <w:rFonts w:ascii="Arial" w:hAnsi="Arial" w:cs="Arial"/>
          <w:sz w:val="20"/>
          <w:szCs w:val="20"/>
        </w:rPr>
        <w:t xml:space="preserve">Regarding </w:t>
      </w:r>
      <w:r w:rsidRPr="00A13CB4">
        <w:rPr>
          <w:rFonts w:ascii="Arial" w:hAnsi="Arial" w:cs="Arial"/>
          <w:sz w:val="20"/>
          <w:szCs w:val="20"/>
        </w:rPr>
        <w:t>ACNLOAD unit</w:t>
      </w:r>
      <w:r>
        <w:rPr>
          <w:rFonts w:ascii="Arial" w:hAnsi="Arial" w:cs="Arial"/>
          <w:sz w:val="20"/>
          <w:szCs w:val="20"/>
        </w:rPr>
        <w:t>, TCEQ notes that a</w:t>
      </w:r>
      <w:r w:rsidRPr="00A13CB4">
        <w:rPr>
          <w:rFonts w:ascii="Arial" w:hAnsi="Arial" w:cs="Arial"/>
          <w:sz w:val="20"/>
          <w:szCs w:val="20"/>
        </w:rPr>
        <w:t xml:space="preserve">lthough PBR 50423 was not recently revised, OP-PBRSUP </w:t>
      </w:r>
      <w:r>
        <w:rPr>
          <w:rFonts w:ascii="Arial" w:hAnsi="Arial" w:cs="Arial"/>
          <w:sz w:val="20"/>
          <w:szCs w:val="20"/>
        </w:rPr>
        <w:t xml:space="preserve">was revised to </w:t>
      </w:r>
      <w:r w:rsidRPr="00A13CB4">
        <w:rPr>
          <w:rFonts w:ascii="Arial" w:hAnsi="Arial" w:cs="Arial"/>
          <w:sz w:val="20"/>
          <w:szCs w:val="20"/>
        </w:rPr>
        <w:t xml:space="preserve">contain the following PBR monitoring requirements “Keep records of volume of spent ACN loaded into tank trucks each time loading occurs. During loading vapors are collected and sent to a flare (OP2ELFLA, OP3ELFLA, and OP3GRFLA). The flares are monitored according to the requirements in Special Condition Nos. 9 and 18 of NSR Permit No. 3219 issued on 03/12/2021 found in Appendix B of the Title V permit to demonstrate compliance with the limits in 106.4. Loading and the flare control device are also monitored according to the requirements found in Applicable Requirements Summary table in the Title V permit.” </w:t>
      </w:r>
    </w:p>
    <w:p w14:paraId="0C205287" w14:textId="02BF63F9" w:rsidR="00A13CB4" w:rsidRDefault="00A13CB4" w:rsidP="00A13CB4">
      <w:pPr>
        <w:pStyle w:val="ListParagraph"/>
        <w:numPr>
          <w:ilvl w:val="1"/>
          <w:numId w:val="26"/>
        </w:numPr>
        <w:rPr>
          <w:rFonts w:ascii="Arial" w:hAnsi="Arial" w:cs="Arial"/>
          <w:sz w:val="20"/>
          <w:szCs w:val="20"/>
        </w:rPr>
      </w:pPr>
      <w:r w:rsidRPr="00A13CB4">
        <w:rPr>
          <w:rFonts w:ascii="Arial" w:hAnsi="Arial" w:cs="Arial"/>
          <w:sz w:val="20"/>
          <w:szCs w:val="20"/>
        </w:rPr>
        <w:t xml:space="preserve">Regarding applicability determination for ACNLOAD unit </w:t>
      </w:r>
      <w:r>
        <w:rPr>
          <w:rFonts w:ascii="Arial" w:hAnsi="Arial" w:cs="Arial"/>
          <w:sz w:val="20"/>
          <w:szCs w:val="20"/>
        </w:rPr>
        <w:t>being</w:t>
      </w:r>
      <w:r w:rsidRPr="00A13CB4">
        <w:rPr>
          <w:rFonts w:ascii="Arial" w:hAnsi="Arial" w:cs="Arial"/>
          <w:sz w:val="20"/>
          <w:szCs w:val="20"/>
        </w:rPr>
        <w:t xml:space="preserve"> subject to MACT G</w:t>
      </w:r>
      <w:r>
        <w:rPr>
          <w:rFonts w:ascii="Arial" w:hAnsi="Arial" w:cs="Arial"/>
          <w:sz w:val="20"/>
          <w:szCs w:val="20"/>
        </w:rPr>
        <w:t>, applicant has stated “a</w:t>
      </w:r>
      <w:r w:rsidRPr="00A13CB4">
        <w:rPr>
          <w:rFonts w:ascii="Arial" w:hAnsi="Arial" w:cs="Arial"/>
          <w:sz w:val="20"/>
          <w:szCs w:val="20"/>
        </w:rPr>
        <w:t>lthough the current operations of Unit ID ACNLOAD are not subject to the requirements of 40 CFR Part 63, Subpart G, we request that operation as a HON Group 2 transfer rack be included in the permit. The attached Form OP-UA04, Table 7a has been completed to reflect this operating scenario</w:t>
      </w:r>
      <w:r>
        <w:rPr>
          <w:rFonts w:ascii="Arial" w:hAnsi="Arial" w:cs="Arial"/>
          <w:sz w:val="20"/>
          <w:szCs w:val="20"/>
        </w:rPr>
        <w:t>.”</w:t>
      </w:r>
    </w:p>
    <w:p w14:paraId="3A79F0E1" w14:textId="00BFC456" w:rsidR="00A13CB4" w:rsidRDefault="00A43E80" w:rsidP="00A13CB4">
      <w:pPr>
        <w:pStyle w:val="ListParagraph"/>
        <w:numPr>
          <w:ilvl w:val="1"/>
          <w:numId w:val="26"/>
        </w:numPr>
        <w:rPr>
          <w:rFonts w:ascii="Arial" w:hAnsi="Arial" w:cs="Arial"/>
          <w:sz w:val="20"/>
          <w:szCs w:val="20"/>
        </w:rPr>
      </w:pPr>
      <w:r>
        <w:rPr>
          <w:rFonts w:ascii="Arial" w:hAnsi="Arial" w:cs="Arial"/>
          <w:sz w:val="20"/>
          <w:szCs w:val="20"/>
        </w:rPr>
        <w:t xml:space="preserve">Per </w:t>
      </w:r>
      <w:r w:rsidR="00CB1D60">
        <w:rPr>
          <w:rFonts w:ascii="Arial" w:hAnsi="Arial" w:cs="Arial"/>
          <w:sz w:val="20"/>
          <w:szCs w:val="20"/>
        </w:rPr>
        <w:t>applicant’s</w:t>
      </w:r>
      <w:r>
        <w:rPr>
          <w:rFonts w:ascii="Arial" w:hAnsi="Arial" w:cs="Arial"/>
          <w:sz w:val="20"/>
          <w:szCs w:val="20"/>
        </w:rPr>
        <w:t xml:space="preserve"> request, t</w:t>
      </w:r>
      <w:r w:rsidR="00A13CB4">
        <w:rPr>
          <w:rFonts w:ascii="Arial" w:hAnsi="Arial" w:cs="Arial"/>
          <w:sz w:val="20"/>
          <w:szCs w:val="20"/>
        </w:rPr>
        <w:t xml:space="preserve">he proposed permit has been revised to add applicable MACT G citations </w:t>
      </w:r>
      <w:r>
        <w:rPr>
          <w:rFonts w:ascii="Arial" w:hAnsi="Arial" w:cs="Arial"/>
          <w:sz w:val="20"/>
          <w:szCs w:val="20"/>
        </w:rPr>
        <w:t xml:space="preserve">for </w:t>
      </w:r>
      <w:r w:rsidRPr="00A13CB4">
        <w:rPr>
          <w:rFonts w:ascii="Arial" w:hAnsi="Arial" w:cs="Arial"/>
          <w:sz w:val="20"/>
          <w:szCs w:val="20"/>
        </w:rPr>
        <w:t>ACNLOAD unit</w:t>
      </w:r>
      <w:r>
        <w:rPr>
          <w:rFonts w:ascii="Arial" w:hAnsi="Arial" w:cs="Arial"/>
          <w:sz w:val="20"/>
          <w:szCs w:val="20"/>
        </w:rPr>
        <w:t xml:space="preserve"> in the ARS (page 96).</w:t>
      </w:r>
    </w:p>
    <w:p w14:paraId="481BF874" w14:textId="46B01A2C" w:rsidR="00B209ED" w:rsidRPr="002B6875" w:rsidRDefault="00B209ED" w:rsidP="0095602A">
      <w:pPr>
        <w:rPr>
          <w:rFonts w:cs="Arial"/>
          <w:szCs w:val="20"/>
        </w:rPr>
      </w:pPr>
    </w:p>
    <w:p w14:paraId="47FDBAC4" w14:textId="0AF018BC" w:rsidR="00B209ED" w:rsidRPr="00D372C3" w:rsidRDefault="00B209ED" w:rsidP="00D372C3">
      <w:pPr>
        <w:rPr>
          <w:rFonts w:cs="Arial"/>
          <w:szCs w:val="20"/>
        </w:rPr>
      </w:pPr>
      <w:r w:rsidRPr="002B6875">
        <w:rPr>
          <w:rStyle w:val="Strong"/>
          <w:rFonts w:cs="Arial"/>
          <w:szCs w:val="20"/>
        </w:rPr>
        <w:t>EPA Objection</w:t>
      </w:r>
      <w:r w:rsidR="00D372C3">
        <w:rPr>
          <w:rStyle w:val="Strong"/>
          <w:rFonts w:cs="Arial"/>
          <w:szCs w:val="20"/>
        </w:rPr>
        <w:t xml:space="preserve"> 5</w:t>
      </w:r>
      <w:r w:rsidRPr="002B6875">
        <w:rPr>
          <w:rStyle w:val="Strong"/>
          <w:rFonts w:cs="Arial"/>
          <w:szCs w:val="20"/>
        </w:rPr>
        <w:t>:</w:t>
      </w:r>
      <w:r w:rsidRPr="002B6875">
        <w:rPr>
          <w:rFonts w:cs="Arial"/>
          <w:szCs w:val="20"/>
        </w:rPr>
        <w:t xml:space="preserve"> </w:t>
      </w:r>
      <w:r w:rsidRPr="00D372C3">
        <w:rPr>
          <w:rFonts w:cs="Arial"/>
          <w:b/>
          <w:szCs w:val="20"/>
        </w:rPr>
        <w:t xml:space="preserve">Objection to Improperly Incorporating Confidential Emission Calculations. </w:t>
      </w:r>
      <w:r w:rsidRPr="00D372C3">
        <w:rPr>
          <w:rFonts w:cs="Arial"/>
          <w:szCs w:val="20"/>
        </w:rPr>
        <w:t>In reviewing the PBR Supplemental Table, EPA found it necessary to look at the application for some PBR registrations to review the monitoring requirements. When doing so, it was found that at least one PBR</w:t>
      </w:r>
      <w:r w:rsidRPr="00D372C3">
        <w:rPr>
          <w:rFonts w:cs="Arial"/>
          <w:spacing w:val="-3"/>
          <w:szCs w:val="20"/>
        </w:rPr>
        <w:t xml:space="preserve"> </w:t>
      </w:r>
      <w:r w:rsidRPr="00D372C3">
        <w:rPr>
          <w:rFonts w:cs="Arial"/>
          <w:szCs w:val="20"/>
        </w:rPr>
        <w:t>that</w:t>
      </w:r>
      <w:r w:rsidRPr="00D372C3">
        <w:rPr>
          <w:rFonts w:cs="Arial"/>
          <w:spacing w:val="-3"/>
          <w:szCs w:val="20"/>
        </w:rPr>
        <w:t xml:space="preserve"> </w:t>
      </w:r>
      <w:r w:rsidRPr="00D372C3">
        <w:rPr>
          <w:rFonts w:cs="Arial"/>
          <w:szCs w:val="20"/>
        </w:rPr>
        <w:t>was</w:t>
      </w:r>
      <w:r w:rsidRPr="00D372C3">
        <w:rPr>
          <w:rFonts w:cs="Arial"/>
          <w:spacing w:val="-3"/>
          <w:szCs w:val="20"/>
        </w:rPr>
        <w:t xml:space="preserve"> </w:t>
      </w:r>
      <w:r w:rsidRPr="00D372C3">
        <w:rPr>
          <w:rFonts w:cs="Arial"/>
          <w:szCs w:val="20"/>
        </w:rPr>
        <w:t>incorporated</w:t>
      </w:r>
      <w:r w:rsidRPr="00D372C3">
        <w:rPr>
          <w:rFonts w:cs="Arial"/>
          <w:spacing w:val="-3"/>
          <w:szCs w:val="20"/>
        </w:rPr>
        <w:t xml:space="preserve"> </w:t>
      </w:r>
      <w:r w:rsidRPr="00D372C3">
        <w:rPr>
          <w:rFonts w:cs="Arial"/>
          <w:szCs w:val="20"/>
        </w:rPr>
        <w:t>by</w:t>
      </w:r>
      <w:r w:rsidRPr="00D372C3">
        <w:rPr>
          <w:rFonts w:cs="Arial"/>
          <w:spacing w:val="-3"/>
          <w:szCs w:val="20"/>
        </w:rPr>
        <w:t xml:space="preserve"> </w:t>
      </w:r>
      <w:r w:rsidRPr="00D372C3">
        <w:rPr>
          <w:rFonts w:cs="Arial"/>
          <w:szCs w:val="20"/>
        </w:rPr>
        <w:t>reference</w:t>
      </w:r>
      <w:r w:rsidRPr="00D372C3">
        <w:rPr>
          <w:rFonts w:cs="Arial"/>
          <w:spacing w:val="-4"/>
          <w:szCs w:val="20"/>
        </w:rPr>
        <w:t xml:space="preserve"> </w:t>
      </w:r>
      <w:r w:rsidRPr="00D372C3">
        <w:rPr>
          <w:rFonts w:cs="Arial"/>
          <w:szCs w:val="20"/>
        </w:rPr>
        <w:t>into</w:t>
      </w:r>
      <w:r w:rsidRPr="00D372C3">
        <w:rPr>
          <w:rFonts w:cs="Arial"/>
          <w:spacing w:val="-3"/>
          <w:szCs w:val="20"/>
        </w:rPr>
        <w:t xml:space="preserve"> </w:t>
      </w:r>
      <w:r w:rsidRPr="00D372C3">
        <w:rPr>
          <w:rFonts w:cs="Arial"/>
          <w:szCs w:val="20"/>
        </w:rPr>
        <w:t>the</w:t>
      </w:r>
      <w:r w:rsidRPr="00D372C3">
        <w:rPr>
          <w:rFonts w:cs="Arial"/>
          <w:spacing w:val="-3"/>
          <w:szCs w:val="20"/>
        </w:rPr>
        <w:t xml:space="preserve"> </w:t>
      </w:r>
      <w:r w:rsidRPr="00D372C3">
        <w:rPr>
          <w:rFonts w:cs="Arial"/>
          <w:szCs w:val="20"/>
        </w:rPr>
        <w:t>title</w:t>
      </w:r>
      <w:r w:rsidRPr="00D372C3">
        <w:rPr>
          <w:rFonts w:cs="Arial"/>
          <w:spacing w:val="-3"/>
          <w:szCs w:val="20"/>
        </w:rPr>
        <w:t xml:space="preserve"> </w:t>
      </w:r>
      <w:r w:rsidRPr="00D372C3">
        <w:rPr>
          <w:rFonts w:cs="Arial"/>
          <w:szCs w:val="20"/>
        </w:rPr>
        <w:t>V</w:t>
      </w:r>
      <w:r w:rsidRPr="00D372C3">
        <w:rPr>
          <w:rFonts w:cs="Arial"/>
          <w:spacing w:val="-4"/>
          <w:szCs w:val="20"/>
        </w:rPr>
        <w:t xml:space="preserve"> </w:t>
      </w:r>
      <w:r w:rsidRPr="00D372C3">
        <w:rPr>
          <w:rFonts w:cs="Arial"/>
          <w:szCs w:val="20"/>
        </w:rPr>
        <w:t>permit</w:t>
      </w:r>
      <w:r w:rsidRPr="00D372C3">
        <w:rPr>
          <w:rFonts w:cs="Arial"/>
          <w:spacing w:val="-3"/>
          <w:szCs w:val="20"/>
        </w:rPr>
        <w:t xml:space="preserve"> </w:t>
      </w:r>
      <w:r w:rsidRPr="00D372C3">
        <w:rPr>
          <w:rFonts w:cs="Arial"/>
          <w:szCs w:val="20"/>
        </w:rPr>
        <w:t>contained</w:t>
      </w:r>
      <w:r w:rsidRPr="00D372C3">
        <w:rPr>
          <w:rFonts w:cs="Arial"/>
          <w:spacing w:val="-3"/>
          <w:szCs w:val="20"/>
        </w:rPr>
        <w:t xml:space="preserve"> </w:t>
      </w:r>
      <w:r w:rsidRPr="00D372C3">
        <w:rPr>
          <w:rFonts w:cs="Arial"/>
          <w:szCs w:val="20"/>
        </w:rPr>
        <w:t>confidential</w:t>
      </w:r>
      <w:r w:rsidRPr="00D372C3">
        <w:rPr>
          <w:rFonts w:cs="Arial"/>
          <w:spacing w:val="-3"/>
          <w:szCs w:val="20"/>
        </w:rPr>
        <w:t xml:space="preserve"> </w:t>
      </w:r>
      <w:r w:rsidRPr="00D372C3">
        <w:rPr>
          <w:rFonts w:cs="Arial"/>
          <w:szCs w:val="20"/>
        </w:rPr>
        <w:t>information</w:t>
      </w:r>
      <w:r w:rsidRPr="00D372C3">
        <w:rPr>
          <w:rFonts w:cs="Arial"/>
          <w:spacing w:val="-3"/>
          <w:szCs w:val="20"/>
        </w:rPr>
        <w:t xml:space="preserve"> </w:t>
      </w:r>
      <w:r w:rsidRPr="00D372C3">
        <w:rPr>
          <w:rFonts w:cs="Arial"/>
          <w:szCs w:val="20"/>
        </w:rPr>
        <w:t>in the application. PBR registration 112344 referred to emission calculations contained in the confidential file.</w:t>
      </w:r>
    </w:p>
    <w:p w14:paraId="6BF2D455" w14:textId="77777777" w:rsidR="00B209ED" w:rsidRPr="002B6875" w:rsidRDefault="00B209ED" w:rsidP="0095602A">
      <w:pPr>
        <w:pStyle w:val="BodyText"/>
        <w:rPr>
          <w:rFonts w:ascii="Arial" w:hAnsi="Arial" w:cs="Arial"/>
          <w:sz w:val="20"/>
          <w:szCs w:val="20"/>
        </w:rPr>
      </w:pPr>
    </w:p>
    <w:p w14:paraId="7292A55D" w14:textId="48693E23" w:rsidR="00B209ED" w:rsidRPr="002B6875" w:rsidRDefault="00B209ED" w:rsidP="0095602A">
      <w:pPr>
        <w:pStyle w:val="BodyText"/>
        <w:rPr>
          <w:rFonts w:ascii="Arial" w:hAnsi="Arial" w:cs="Arial"/>
          <w:sz w:val="20"/>
          <w:szCs w:val="20"/>
        </w:rPr>
      </w:pPr>
      <w:r w:rsidRPr="002B6875">
        <w:rPr>
          <w:rFonts w:ascii="Arial" w:hAnsi="Arial" w:cs="Arial"/>
          <w:sz w:val="20"/>
          <w:szCs w:val="20"/>
        </w:rPr>
        <w:t>The CAA limits the types of information that may be treated as confidential under title V, and therefore withheld from the public. As a general matter, some information may be protected as a trade secret under section 114(c) of the CAA. 42 U.S.C. § 7414(c). However, the CAA specifically limits this protection: “The contents of a [title V] permit shall not be entitled to [confidential] protection</w:t>
      </w:r>
      <w:r w:rsidRPr="002B6875">
        <w:rPr>
          <w:rFonts w:ascii="Arial" w:hAnsi="Arial" w:cs="Arial"/>
          <w:spacing w:val="-3"/>
          <w:sz w:val="20"/>
          <w:szCs w:val="20"/>
        </w:rPr>
        <w:t xml:space="preserve"> </w:t>
      </w:r>
      <w:r w:rsidRPr="002B6875">
        <w:rPr>
          <w:rFonts w:ascii="Arial" w:hAnsi="Arial" w:cs="Arial"/>
          <w:sz w:val="20"/>
          <w:szCs w:val="20"/>
        </w:rPr>
        <w:t>under</w:t>
      </w:r>
      <w:r w:rsidRPr="002B6875">
        <w:rPr>
          <w:rFonts w:ascii="Arial" w:hAnsi="Arial" w:cs="Arial"/>
          <w:spacing w:val="-3"/>
          <w:sz w:val="20"/>
          <w:szCs w:val="20"/>
        </w:rPr>
        <w:t xml:space="preserve"> </w:t>
      </w:r>
      <w:r w:rsidRPr="002B6875">
        <w:rPr>
          <w:rFonts w:ascii="Arial" w:hAnsi="Arial" w:cs="Arial"/>
          <w:sz w:val="20"/>
          <w:szCs w:val="20"/>
        </w:rPr>
        <w:t>section</w:t>
      </w:r>
      <w:r w:rsidRPr="002B6875">
        <w:rPr>
          <w:rFonts w:ascii="Arial" w:hAnsi="Arial" w:cs="Arial"/>
          <w:spacing w:val="-3"/>
          <w:sz w:val="20"/>
          <w:szCs w:val="20"/>
        </w:rPr>
        <w:t xml:space="preserve"> </w:t>
      </w:r>
      <w:r w:rsidRPr="002B6875">
        <w:rPr>
          <w:rFonts w:ascii="Arial" w:hAnsi="Arial" w:cs="Arial"/>
          <w:sz w:val="20"/>
          <w:szCs w:val="20"/>
        </w:rPr>
        <w:t>[114(c)].”</w:t>
      </w:r>
      <w:r w:rsidRPr="002B6875">
        <w:rPr>
          <w:rFonts w:ascii="Arial" w:hAnsi="Arial" w:cs="Arial"/>
          <w:spacing w:val="-5"/>
          <w:sz w:val="20"/>
          <w:szCs w:val="20"/>
        </w:rPr>
        <w:t xml:space="preserve"> </w:t>
      </w:r>
      <w:r w:rsidRPr="002B6875">
        <w:rPr>
          <w:rFonts w:ascii="Arial" w:hAnsi="Arial" w:cs="Arial"/>
          <w:sz w:val="20"/>
          <w:szCs w:val="20"/>
        </w:rPr>
        <w:t>42</w:t>
      </w:r>
      <w:r w:rsidRPr="002B6875">
        <w:rPr>
          <w:rFonts w:ascii="Arial" w:hAnsi="Arial" w:cs="Arial"/>
          <w:spacing w:val="-3"/>
          <w:sz w:val="20"/>
          <w:szCs w:val="20"/>
        </w:rPr>
        <w:t xml:space="preserve"> </w:t>
      </w:r>
      <w:r w:rsidRPr="002B6875">
        <w:rPr>
          <w:rFonts w:ascii="Arial" w:hAnsi="Arial" w:cs="Arial"/>
          <w:sz w:val="20"/>
          <w:szCs w:val="20"/>
        </w:rPr>
        <w:t>U.S.C.</w:t>
      </w:r>
      <w:r w:rsidRPr="002B6875">
        <w:rPr>
          <w:rFonts w:ascii="Arial" w:hAnsi="Arial" w:cs="Arial"/>
          <w:spacing w:val="-3"/>
          <w:sz w:val="20"/>
          <w:szCs w:val="20"/>
        </w:rPr>
        <w:t xml:space="preserve"> </w:t>
      </w:r>
      <w:r w:rsidRPr="002B6875">
        <w:rPr>
          <w:rFonts w:ascii="Arial" w:hAnsi="Arial" w:cs="Arial"/>
          <w:sz w:val="20"/>
          <w:szCs w:val="20"/>
        </w:rPr>
        <w:t>§</w:t>
      </w:r>
      <w:r w:rsidRPr="002B6875">
        <w:rPr>
          <w:rFonts w:ascii="Arial" w:hAnsi="Arial" w:cs="Arial"/>
          <w:spacing w:val="-3"/>
          <w:sz w:val="20"/>
          <w:szCs w:val="20"/>
        </w:rPr>
        <w:t xml:space="preserve"> </w:t>
      </w:r>
      <w:r w:rsidRPr="002B6875">
        <w:rPr>
          <w:rFonts w:ascii="Arial" w:hAnsi="Arial" w:cs="Arial"/>
          <w:sz w:val="20"/>
          <w:szCs w:val="20"/>
        </w:rPr>
        <w:t>7661b(e).</w:t>
      </w:r>
      <w:r w:rsidRPr="002B6875">
        <w:rPr>
          <w:rFonts w:ascii="Arial" w:hAnsi="Arial" w:cs="Arial"/>
          <w:spacing w:val="-3"/>
          <w:sz w:val="20"/>
          <w:szCs w:val="20"/>
        </w:rPr>
        <w:t xml:space="preserve"> </w:t>
      </w:r>
      <w:r w:rsidRPr="002B6875">
        <w:rPr>
          <w:rFonts w:ascii="Arial" w:hAnsi="Arial" w:cs="Arial"/>
          <w:sz w:val="20"/>
          <w:szCs w:val="20"/>
        </w:rPr>
        <w:t>Regarding</w:t>
      </w:r>
      <w:r w:rsidRPr="002B6875">
        <w:rPr>
          <w:rFonts w:ascii="Arial" w:hAnsi="Arial" w:cs="Arial"/>
          <w:spacing w:val="-3"/>
          <w:sz w:val="20"/>
          <w:szCs w:val="20"/>
        </w:rPr>
        <w:t xml:space="preserve"> </w:t>
      </w:r>
      <w:r w:rsidRPr="002B6875">
        <w:rPr>
          <w:rFonts w:ascii="Arial" w:hAnsi="Arial" w:cs="Arial"/>
          <w:sz w:val="20"/>
          <w:szCs w:val="20"/>
        </w:rPr>
        <w:t>the</w:t>
      </w:r>
      <w:r w:rsidRPr="002B6875">
        <w:rPr>
          <w:rFonts w:ascii="Arial" w:hAnsi="Arial" w:cs="Arial"/>
          <w:spacing w:val="-3"/>
          <w:sz w:val="20"/>
          <w:szCs w:val="20"/>
        </w:rPr>
        <w:t xml:space="preserve"> </w:t>
      </w:r>
      <w:r w:rsidRPr="002B6875">
        <w:rPr>
          <w:rFonts w:ascii="Arial" w:hAnsi="Arial" w:cs="Arial"/>
          <w:sz w:val="20"/>
          <w:szCs w:val="20"/>
        </w:rPr>
        <w:t>contents</w:t>
      </w:r>
      <w:r w:rsidRPr="002B6875">
        <w:rPr>
          <w:rFonts w:ascii="Arial" w:hAnsi="Arial" w:cs="Arial"/>
          <w:spacing w:val="-3"/>
          <w:sz w:val="20"/>
          <w:szCs w:val="20"/>
        </w:rPr>
        <w:t xml:space="preserve"> </w:t>
      </w:r>
      <w:r w:rsidRPr="002B6875">
        <w:rPr>
          <w:rFonts w:ascii="Arial" w:hAnsi="Arial" w:cs="Arial"/>
          <w:sz w:val="20"/>
          <w:szCs w:val="20"/>
        </w:rPr>
        <w:t>of</w:t>
      </w:r>
      <w:r w:rsidRPr="002B6875">
        <w:rPr>
          <w:rFonts w:ascii="Arial" w:hAnsi="Arial" w:cs="Arial"/>
          <w:spacing w:val="-3"/>
          <w:sz w:val="20"/>
          <w:szCs w:val="20"/>
        </w:rPr>
        <w:t xml:space="preserve"> </w:t>
      </w:r>
      <w:r w:rsidRPr="002B6875">
        <w:rPr>
          <w:rFonts w:ascii="Arial" w:hAnsi="Arial" w:cs="Arial"/>
          <w:sz w:val="20"/>
          <w:szCs w:val="20"/>
        </w:rPr>
        <w:t>a</w:t>
      </w:r>
      <w:r w:rsidRPr="002B6875">
        <w:rPr>
          <w:rFonts w:ascii="Arial" w:hAnsi="Arial" w:cs="Arial"/>
          <w:spacing w:val="-5"/>
          <w:sz w:val="20"/>
          <w:szCs w:val="20"/>
        </w:rPr>
        <w:t xml:space="preserve"> </w:t>
      </w:r>
      <w:r w:rsidRPr="002B6875">
        <w:rPr>
          <w:rFonts w:ascii="Arial" w:hAnsi="Arial" w:cs="Arial"/>
          <w:sz w:val="20"/>
          <w:szCs w:val="20"/>
        </w:rPr>
        <w:t>title</w:t>
      </w:r>
      <w:r w:rsidRPr="002B6875">
        <w:rPr>
          <w:rFonts w:ascii="Arial" w:hAnsi="Arial" w:cs="Arial"/>
          <w:spacing w:val="-4"/>
          <w:sz w:val="20"/>
          <w:szCs w:val="20"/>
        </w:rPr>
        <w:t xml:space="preserve"> </w:t>
      </w:r>
      <w:r w:rsidRPr="002B6875">
        <w:rPr>
          <w:rFonts w:ascii="Arial" w:hAnsi="Arial" w:cs="Arial"/>
          <w:sz w:val="20"/>
          <w:szCs w:val="20"/>
        </w:rPr>
        <w:t>V</w:t>
      </w:r>
      <w:r w:rsidRPr="002B6875">
        <w:rPr>
          <w:rFonts w:ascii="Arial" w:hAnsi="Arial" w:cs="Arial"/>
          <w:spacing w:val="-4"/>
          <w:sz w:val="20"/>
          <w:szCs w:val="20"/>
        </w:rPr>
        <w:t xml:space="preserve"> </w:t>
      </w:r>
      <w:r w:rsidRPr="002B6875">
        <w:rPr>
          <w:rFonts w:ascii="Arial" w:hAnsi="Arial" w:cs="Arial"/>
          <w:sz w:val="20"/>
          <w:szCs w:val="20"/>
        </w:rPr>
        <w:t>permit, the CAA further requires that “Each permit issued under this subchapter shall include enforceable emission limitations and standards, … and such other conditions as are necessary to assure compliance</w:t>
      </w:r>
      <w:r w:rsidRPr="002B6875">
        <w:rPr>
          <w:rFonts w:ascii="Arial" w:hAnsi="Arial" w:cs="Arial"/>
          <w:spacing w:val="-5"/>
          <w:sz w:val="20"/>
          <w:szCs w:val="20"/>
        </w:rPr>
        <w:t xml:space="preserve"> </w:t>
      </w:r>
      <w:r w:rsidRPr="002B6875">
        <w:rPr>
          <w:rFonts w:ascii="Arial" w:hAnsi="Arial" w:cs="Arial"/>
          <w:sz w:val="20"/>
          <w:szCs w:val="20"/>
        </w:rPr>
        <w:t>with</w:t>
      </w:r>
      <w:r w:rsidRPr="002B6875">
        <w:rPr>
          <w:rFonts w:ascii="Arial" w:hAnsi="Arial" w:cs="Arial"/>
          <w:spacing w:val="-5"/>
          <w:sz w:val="20"/>
          <w:szCs w:val="20"/>
        </w:rPr>
        <w:t xml:space="preserve"> </w:t>
      </w:r>
      <w:r w:rsidRPr="002B6875">
        <w:rPr>
          <w:rFonts w:ascii="Arial" w:hAnsi="Arial" w:cs="Arial"/>
          <w:sz w:val="20"/>
          <w:szCs w:val="20"/>
        </w:rPr>
        <w:t>applicable</w:t>
      </w:r>
      <w:r w:rsidRPr="002B6875">
        <w:rPr>
          <w:rFonts w:ascii="Arial" w:hAnsi="Arial" w:cs="Arial"/>
          <w:spacing w:val="-4"/>
          <w:sz w:val="20"/>
          <w:szCs w:val="20"/>
        </w:rPr>
        <w:t xml:space="preserve"> </w:t>
      </w:r>
      <w:r w:rsidRPr="002B6875">
        <w:rPr>
          <w:rFonts w:ascii="Arial" w:hAnsi="Arial" w:cs="Arial"/>
          <w:sz w:val="20"/>
          <w:szCs w:val="20"/>
        </w:rPr>
        <w:t>requirements</w:t>
      </w:r>
      <w:r w:rsidRPr="002B6875">
        <w:rPr>
          <w:rFonts w:ascii="Arial" w:hAnsi="Arial" w:cs="Arial"/>
          <w:spacing w:val="-4"/>
          <w:sz w:val="20"/>
          <w:szCs w:val="20"/>
        </w:rPr>
        <w:t xml:space="preserve"> </w:t>
      </w:r>
      <w:r w:rsidRPr="002B6875">
        <w:rPr>
          <w:rFonts w:ascii="Arial" w:hAnsi="Arial" w:cs="Arial"/>
          <w:sz w:val="20"/>
          <w:szCs w:val="20"/>
        </w:rPr>
        <w:t>….”</w:t>
      </w:r>
      <w:r w:rsidRPr="002B6875">
        <w:rPr>
          <w:rFonts w:ascii="Arial" w:hAnsi="Arial" w:cs="Arial"/>
          <w:spacing w:val="-5"/>
          <w:sz w:val="20"/>
          <w:szCs w:val="20"/>
        </w:rPr>
        <w:t xml:space="preserve"> </w:t>
      </w:r>
      <w:r w:rsidRPr="002B6875">
        <w:rPr>
          <w:rFonts w:ascii="Arial" w:hAnsi="Arial" w:cs="Arial"/>
          <w:sz w:val="20"/>
          <w:szCs w:val="20"/>
        </w:rPr>
        <w:t>42</w:t>
      </w:r>
      <w:r w:rsidRPr="002B6875">
        <w:rPr>
          <w:rFonts w:ascii="Arial" w:hAnsi="Arial" w:cs="Arial"/>
          <w:spacing w:val="-2"/>
          <w:sz w:val="20"/>
          <w:szCs w:val="20"/>
        </w:rPr>
        <w:t xml:space="preserve"> </w:t>
      </w:r>
      <w:r w:rsidRPr="002B6875">
        <w:rPr>
          <w:rFonts w:ascii="Arial" w:hAnsi="Arial" w:cs="Arial"/>
          <w:sz w:val="20"/>
          <w:szCs w:val="20"/>
        </w:rPr>
        <w:t>U.S.C.</w:t>
      </w:r>
      <w:r w:rsidRPr="002B6875">
        <w:rPr>
          <w:rFonts w:ascii="Arial" w:hAnsi="Arial" w:cs="Arial"/>
          <w:spacing w:val="-4"/>
          <w:sz w:val="20"/>
          <w:szCs w:val="20"/>
        </w:rPr>
        <w:t xml:space="preserve"> </w:t>
      </w:r>
      <w:r w:rsidRPr="002B6875">
        <w:rPr>
          <w:rFonts w:ascii="Arial" w:hAnsi="Arial" w:cs="Arial"/>
          <w:sz w:val="20"/>
          <w:szCs w:val="20"/>
        </w:rPr>
        <w:t>§</w:t>
      </w:r>
      <w:r w:rsidRPr="002B6875">
        <w:rPr>
          <w:rFonts w:ascii="Arial" w:hAnsi="Arial" w:cs="Arial"/>
          <w:spacing w:val="-4"/>
          <w:sz w:val="20"/>
          <w:szCs w:val="20"/>
        </w:rPr>
        <w:t xml:space="preserve"> </w:t>
      </w:r>
      <w:r w:rsidRPr="002B6875">
        <w:rPr>
          <w:rFonts w:ascii="Arial" w:hAnsi="Arial" w:cs="Arial"/>
          <w:sz w:val="20"/>
          <w:szCs w:val="20"/>
        </w:rPr>
        <w:t>7661c(a).</w:t>
      </w:r>
      <w:r w:rsidRPr="002B6875">
        <w:rPr>
          <w:rFonts w:ascii="Arial" w:hAnsi="Arial" w:cs="Arial"/>
          <w:spacing w:val="-4"/>
          <w:sz w:val="20"/>
          <w:szCs w:val="20"/>
        </w:rPr>
        <w:t xml:space="preserve"> </w:t>
      </w:r>
      <w:r w:rsidRPr="002B6875">
        <w:rPr>
          <w:rFonts w:ascii="Arial" w:hAnsi="Arial" w:cs="Arial"/>
          <w:sz w:val="20"/>
          <w:szCs w:val="20"/>
        </w:rPr>
        <w:t>EPA</w:t>
      </w:r>
      <w:r w:rsidRPr="002B6875">
        <w:rPr>
          <w:rFonts w:ascii="Arial" w:hAnsi="Arial" w:cs="Arial"/>
          <w:spacing w:val="-5"/>
          <w:sz w:val="20"/>
          <w:szCs w:val="20"/>
        </w:rPr>
        <w:t xml:space="preserve"> </w:t>
      </w:r>
      <w:r w:rsidRPr="002B6875">
        <w:rPr>
          <w:rFonts w:ascii="Arial" w:hAnsi="Arial" w:cs="Arial"/>
          <w:sz w:val="20"/>
          <w:szCs w:val="20"/>
        </w:rPr>
        <w:t>regulations</w:t>
      </w:r>
      <w:r w:rsidRPr="002B6875">
        <w:rPr>
          <w:rFonts w:ascii="Arial" w:hAnsi="Arial" w:cs="Arial"/>
          <w:spacing w:val="-4"/>
          <w:sz w:val="20"/>
          <w:szCs w:val="20"/>
        </w:rPr>
        <w:t xml:space="preserve"> </w:t>
      </w:r>
      <w:r w:rsidRPr="002B6875">
        <w:rPr>
          <w:rFonts w:ascii="Arial" w:hAnsi="Arial" w:cs="Arial"/>
          <w:sz w:val="20"/>
          <w:szCs w:val="20"/>
        </w:rPr>
        <w:t>further</w:t>
      </w:r>
      <w:r w:rsidRPr="002B6875">
        <w:rPr>
          <w:rFonts w:ascii="Arial" w:hAnsi="Arial" w:cs="Arial"/>
          <w:spacing w:val="-6"/>
          <w:sz w:val="20"/>
          <w:szCs w:val="20"/>
        </w:rPr>
        <w:t xml:space="preserve"> </w:t>
      </w:r>
      <w:r w:rsidRPr="002B6875">
        <w:rPr>
          <w:rFonts w:ascii="Arial" w:hAnsi="Arial" w:cs="Arial"/>
          <w:sz w:val="20"/>
          <w:szCs w:val="20"/>
        </w:rPr>
        <w:t xml:space="preserve">require that the contents of a title V permit include “emissions limitations and standards, including those operational requirements and limitations that assure </w:t>
      </w:r>
      <w:r w:rsidRPr="002B6875">
        <w:rPr>
          <w:rFonts w:ascii="Arial" w:hAnsi="Arial" w:cs="Arial"/>
          <w:sz w:val="20"/>
          <w:szCs w:val="20"/>
        </w:rPr>
        <w:lastRenderedPageBreak/>
        <w:t>compliance with all applicable requirements at the time of permit issuance.” 40 C.F.R. §70.6(a)(1). Further, “terms and conditions in a part 70 permit… are enforceable by the Administrator and citizens under the Act.” 40 C.F.R. §70.6(b)(1). Additionally,</w:t>
      </w:r>
      <w:r w:rsidRPr="002B6875">
        <w:rPr>
          <w:rFonts w:ascii="Arial" w:hAnsi="Arial" w:cs="Arial"/>
          <w:spacing w:val="-4"/>
          <w:sz w:val="20"/>
          <w:szCs w:val="20"/>
        </w:rPr>
        <w:t xml:space="preserve"> </w:t>
      </w:r>
      <w:r w:rsidRPr="002B6875">
        <w:rPr>
          <w:rFonts w:ascii="Arial" w:hAnsi="Arial" w:cs="Arial"/>
          <w:sz w:val="20"/>
          <w:szCs w:val="20"/>
        </w:rPr>
        <w:t>information</w:t>
      </w:r>
      <w:r w:rsidRPr="002B6875">
        <w:rPr>
          <w:rFonts w:ascii="Arial" w:hAnsi="Arial" w:cs="Arial"/>
          <w:spacing w:val="-4"/>
          <w:sz w:val="20"/>
          <w:szCs w:val="20"/>
        </w:rPr>
        <w:t xml:space="preserve"> </w:t>
      </w:r>
      <w:r w:rsidRPr="002B6875">
        <w:rPr>
          <w:rFonts w:ascii="Arial" w:hAnsi="Arial" w:cs="Arial"/>
          <w:sz w:val="20"/>
          <w:szCs w:val="20"/>
        </w:rPr>
        <w:t>which</w:t>
      </w:r>
      <w:r w:rsidRPr="002B6875">
        <w:rPr>
          <w:rFonts w:ascii="Arial" w:hAnsi="Arial" w:cs="Arial"/>
          <w:spacing w:val="-4"/>
          <w:sz w:val="20"/>
          <w:szCs w:val="20"/>
        </w:rPr>
        <w:t xml:space="preserve"> </w:t>
      </w:r>
      <w:r w:rsidRPr="002B6875">
        <w:rPr>
          <w:rFonts w:ascii="Arial" w:hAnsi="Arial" w:cs="Arial"/>
          <w:sz w:val="20"/>
          <w:szCs w:val="20"/>
        </w:rPr>
        <w:t>is</w:t>
      </w:r>
      <w:r w:rsidRPr="002B6875">
        <w:rPr>
          <w:rFonts w:ascii="Arial" w:hAnsi="Arial" w:cs="Arial"/>
          <w:spacing w:val="-4"/>
          <w:sz w:val="20"/>
          <w:szCs w:val="20"/>
        </w:rPr>
        <w:t xml:space="preserve"> </w:t>
      </w:r>
      <w:r w:rsidRPr="002B6875">
        <w:rPr>
          <w:rFonts w:ascii="Arial" w:hAnsi="Arial" w:cs="Arial"/>
          <w:sz w:val="20"/>
          <w:szCs w:val="20"/>
        </w:rPr>
        <w:t>considered</w:t>
      </w:r>
      <w:r w:rsidRPr="002B6875">
        <w:rPr>
          <w:rFonts w:ascii="Arial" w:hAnsi="Arial" w:cs="Arial"/>
          <w:spacing w:val="-2"/>
          <w:sz w:val="20"/>
          <w:szCs w:val="20"/>
        </w:rPr>
        <w:t xml:space="preserve"> </w:t>
      </w:r>
      <w:r w:rsidRPr="002B6875">
        <w:rPr>
          <w:rFonts w:ascii="Arial" w:hAnsi="Arial" w:cs="Arial"/>
          <w:sz w:val="20"/>
          <w:szCs w:val="20"/>
        </w:rPr>
        <w:t>emission</w:t>
      </w:r>
      <w:r w:rsidRPr="002B6875">
        <w:rPr>
          <w:rFonts w:ascii="Arial" w:hAnsi="Arial" w:cs="Arial"/>
          <w:spacing w:val="-4"/>
          <w:sz w:val="20"/>
          <w:szCs w:val="20"/>
        </w:rPr>
        <w:t xml:space="preserve"> </w:t>
      </w:r>
      <w:r w:rsidRPr="002B6875">
        <w:rPr>
          <w:rFonts w:ascii="Arial" w:hAnsi="Arial" w:cs="Arial"/>
          <w:sz w:val="20"/>
          <w:szCs w:val="20"/>
        </w:rPr>
        <w:t>data,</w:t>
      </w:r>
      <w:r w:rsidRPr="002B6875">
        <w:rPr>
          <w:rFonts w:ascii="Arial" w:hAnsi="Arial" w:cs="Arial"/>
          <w:spacing w:val="-4"/>
          <w:sz w:val="20"/>
          <w:szCs w:val="20"/>
        </w:rPr>
        <w:t xml:space="preserve"> </w:t>
      </w:r>
      <w:r w:rsidRPr="002B6875">
        <w:rPr>
          <w:rFonts w:ascii="Arial" w:hAnsi="Arial" w:cs="Arial"/>
          <w:sz w:val="20"/>
          <w:szCs w:val="20"/>
        </w:rPr>
        <w:t>as</w:t>
      </w:r>
      <w:r w:rsidRPr="002B6875">
        <w:rPr>
          <w:rFonts w:ascii="Arial" w:hAnsi="Arial" w:cs="Arial"/>
          <w:spacing w:val="-4"/>
          <w:sz w:val="20"/>
          <w:szCs w:val="20"/>
        </w:rPr>
        <w:t xml:space="preserve"> </w:t>
      </w:r>
      <w:r w:rsidRPr="002B6875">
        <w:rPr>
          <w:rFonts w:ascii="Arial" w:hAnsi="Arial" w:cs="Arial"/>
          <w:sz w:val="20"/>
          <w:szCs w:val="20"/>
        </w:rPr>
        <w:t>well</w:t>
      </w:r>
      <w:r w:rsidRPr="002B6875">
        <w:rPr>
          <w:rFonts w:ascii="Arial" w:hAnsi="Arial" w:cs="Arial"/>
          <w:spacing w:val="-4"/>
          <w:sz w:val="20"/>
          <w:szCs w:val="20"/>
        </w:rPr>
        <w:t xml:space="preserve"> </w:t>
      </w:r>
      <w:r w:rsidRPr="002B6875">
        <w:rPr>
          <w:rFonts w:ascii="Arial" w:hAnsi="Arial" w:cs="Arial"/>
          <w:sz w:val="20"/>
          <w:szCs w:val="20"/>
        </w:rPr>
        <w:t>as</w:t>
      </w:r>
      <w:r w:rsidRPr="002B6875">
        <w:rPr>
          <w:rFonts w:ascii="Arial" w:hAnsi="Arial" w:cs="Arial"/>
          <w:spacing w:val="-4"/>
          <w:sz w:val="20"/>
          <w:szCs w:val="20"/>
        </w:rPr>
        <w:t xml:space="preserve"> </w:t>
      </w:r>
      <w:r w:rsidRPr="002B6875">
        <w:rPr>
          <w:rFonts w:ascii="Arial" w:hAnsi="Arial" w:cs="Arial"/>
          <w:sz w:val="20"/>
          <w:szCs w:val="20"/>
        </w:rPr>
        <w:t>standards</w:t>
      </w:r>
      <w:r w:rsidRPr="002B6875">
        <w:rPr>
          <w:rFonts w:ascii="Arial" w:hAnsi="Arial" w:cs="Arial"/>
          <w:spacing w:val="-4"/>
          <w:sz w:val="20"/>
          <w:szCs w:val="20"/>
        </w:rPr>
        <w:t xml:space="preserve"> </w:t>
      </w:r>
      <w:r w:rsidRPr="002B6875">
        <w:rPr>
          <w:rFonts w:ascii="Arial" w:hAnsi="Arial" w:cs="Arial"/>
          <w:sz w:val="20"/>
          <w:szCs w:val="20"/>
        </w:rPr>
        <w:t>or</w:t>
      </w:r>
      <w:r w:rsidRPr="002B6875">
        <w:rPr>
          <w:rFonts w:ascii="Arial" w:hAnsi="Arial" w:cs="Arial"/>
          <w:spacing w:val="-5"/>
          <w:sz w:val="20"/>
          <w:szCs w:val="20"/>
        </w:rPr>
        <w:t xml:space="preserve"> </w:t>
      </w:r>
      <w:r w:rsidRPr="002B6875">
        <w:rPr>
          <w:rFonts w:ascii="Arial" w:hAnsi="Arial" w:cs="Arial"/>
          <w:sz w:val="20"/>
          <w:szCs w:val="20"/>
        </w:rPr>
        <w:t>limitations,</w:t>
      </w:r>
      <w:r w:rsidRPr="002B6875">
        <w:rPr>
          <w:rFonts w:ascii="Arial" w:hAnsi="Arial" w:cs="Arial"/>
          <w:spacing w:val="-4"/>
          <w:sz w:val="20"/>
          <w:szCs w:val="20"/>
        </w:rPr>
        <w:t xml:space="preserve"> </w:t>
      </w:r>
      <w:r w:rsidRPr="002B6875">
        <w:rPr>
          <w:rFonts w:ascii="Arial" w:hAnsi="Arial" w:cs="Arial"/>
          <w:sz w:val="20"/>
          <w:szCs w:val="20"/>
        </w:rPr>
        <w:t xml:space="preserve">are also not entitled to confidential treatment. </w:t>
      </w:r>
      <w:r w:rsidRPr="002B6875">
        <w:rPr>
          <w:rFonts w:ascii="Arial" w:hAnsi="Arial" w:cs="Arial"/>
          <w:i/>
          <w:sz w:val="20"/>
          <w:szCs w:val="20"/>
        </w:rPr>
        <w:t xml:space="preserve">See </w:t>
      </w:r>
      <w:r w:rsidRPr="002B6875">
        <w:rPr>
          <w:rFonts w:ascii="Arial" w:hAnsi="Arial" w:cs="Arial"/>
          <w:sz w:val="20"/>
          <w:szCs w:val="20"/>
        </w:rPr>
        <w:t>CAA § 114(c) (“other than emissions data”); 40 C.F.R. §2.301(f). It is not clear in the current permit record whether the title V permit contains all the necessary emissions limitations and standards, including those emission methodologies and inputs, operational requirements and limitations that assure compliance with all applicable requirements,</w:t>
      </w:r>
      <w:r w:rsidRPr="002B6875">
        <w:rPr>
          <w:rFonts w:ascii="Arial" w:hAnsi="Arial" w:cs="Arial"/>
          <w:spacing w:val="-4"/>
          <w:sz w:val="20"/>
          <w:szCs w:val="20"/>
        </w:rPr>
        <w:t xml:space="preserve"> </w:t>
      </w:r>
      <w:r w:rsidRPr="002B6875">
        <w:rPr>
          <w:rFonts w:ascii="Arial" w:hAnsi="Arial" w:cs="Arial"/>
          <w:sz w:val="20"/>
          <w:szCs w:val="20"/>
        </w:rPr>
        <w:t>or</w:t>
      </w:r>
      <w:r w:rsidRPr="002B6875">
        <w:rPr>
          <w:rFonts w:ascii="Arial" w:hAnsi="Arial" w:cs="Arial"/>
          <w:spacing w:val="-4"/>
          <w:sz w:val="20"/>
          <w:szCs w:val="20"/>
        </w:rPr>
        <w:t xml:space="preserve"> </w:t>
      </w:r>
      <w:r w:rsidRPr="002B6875">
        <w:rPr>
          <w:rFonts w:ascii="Arial" w:hAnsi="Arial" w:cs="Arial"/>
          <w:sz w:val="20"/>
          <w:szCs w:val="20"/>
        </w:rPr>
        <w:t>if</w:t>
      </w:r>
      <w:r w:rsidRPr="002B6875">
        <w:rPr>
          <w:rFonts w:ascii="Arial" w:hAnsi="Arial" w:cs="Arial"/>
          <w:spacing w:val="-4"/>
          <w:sz w:val="20"/>
          <w:szCs w:val="20"/>
        </w:rPr>
        <w:t xml:space="preserve"> </w:t>
      </w:r>
      <w:r w:rsidRPr="002B6875">
        <w:rPr>
          <w:rFonts w:ascii="Arial" w:hAnsi="Arial" w:cs="Arial"/>
          <w:sz w:val="20"/>
          <w:szCs w:val="20"/>
        </w:rPr>
        <w:t>some</w:t>
      </w:r>
      <w:r w:rsidRPr="002B6875">
        <w:rPr>
          <w:rFonts w:ascii="Arial" w:hAnsi="Arial" w:cs="Arial"/>
          <w:spacing w:val="-3"/>
          <w:sz w:val="20"/>
          <w:szCs w:val="20"/>
        </w:rPr>
        <w:t xml:space="preserve"> </w:t>
      </w:r>
      <w:r w:rsidRPr="002B6875">
        <w:rPr>
          <w:rFonts w:ascii="Arial" w:hAnsi="Arial" w:cs="Arial"/>
          <w:sz w:val="20"/>
          <w:szCs w:val="20"/>
        </w:rPr>
        <w:t>of</w:t>
      </w:r>
      <w:r w:rsidRPr="002B6875">
        <w:rPr>
          <w:rFonts w:ascii="Arial" w:hAnsi="Arial" w:cs="Arial"/>
          <w:spacing w:val="-4"/>
          <w:sz w:val="20"/>
          <w:szCs w:val="20"/>
        </w:rPr>
        <w:t xml:space="preserve"> </w:t>
      </w:r>
      <w:r w:rsidRPr="002B6875">
        <w:rPr>
          <w:rFonts w:ascii="Arial" w:hAnsi="Arial" w:cs="Arial"/>
          <w:sz w:val="20"/>
          <w:szCs w:val="20"/>
        </w:rPr>
        <w:t>that</w:t>
      </w:r>
      <w:r w:rsidRPr="002B6875">
        <w:rPr>
          <w:rFonts w:ascii="Arial" w:hAnsi="Arial" w:cs="Arial"/>
          <w:spacing w:val="-4"/>
          <w:sz w:val="20"/>
          <w:szCs w:val="20"/>
        </w:rPr>
        <w:t xml:space="preserve"> </w:t>
      </w:r>
      <w:r w:rsidRPr="002B6875">
        <w:rPr>
          <w:rFonts w:ascii="Arial" w:hAnsi="Arial" w:cs="Arial"/>
          <w:sz w:val="20"/>
          <w:szCs w:val="20"/>
        </w:rPr>
        <w:t>information</w:t>
      </w:r>
      <w:r w:rsidRPr="002B6875">
        <w:rPr>
          <w:rFonts w:ascii="Arial" w:hAnsi="Arial" w:cs="Arial"/>
          <w:spacing w:val="-4"/>
          <w:sz w:val="20"/>
          <w:szCs w:val="20"/>
        </w:rPr>
        <w:t xml:space="preserve"> </w:t>
      </w:r>
      <w:r w:rsidRPr="002B6875">
        <w:rPr>
          <w:rFonts w:ascii="Arial" w:hAnsi="Arial" w:cs="Arial"/>
          <w:sz w:val="20"/>
          <w:szCs w:val="20"/>
        </w:rPr>
        <w:t>may</w:t>
      </w:r>
      <w:r w:rsidRPr="002B6875">
        <w:rPr>
          <w:rFonts w:ascii="Arial" w:hAnsi="Arial" w:cs="Arial"/>
          <w:spacing w:val="-2"/>
          <w:sz w:val="20"/>
          <w:szCs w:val="20"/>
        </w:rPr>
        <w:t xml:space="preserve"> </w:t>
      </w:r>
      <w:r w:rsidRPr="002B6875">
        <w:rPr>
          <w:rFonts w:ascii="Arial" w:hAnsi="Arial" w:cs="Arial"/>
          <w:sz w:val="20"/>
          <w:szCs w:val="20"/>
        </w:rPr>
        <w:t>be</w:t>
      </w:r>
      <w:r w:rsidRPr="002B6875">
        <w:rPr>
          <w:rFonts w:ascii="Arial" w:hAnsi="Arial" w:cs="Arial"/>
          <w:spacing w:val="-4"/>
          <w:sz w:val="20"/>
          <w:szCs w:val="20"/>
        </w:rPr>
        <w:t xml:space="preserve"> </w:t>
      </w:r>
      <w:r w:rsidRPr="002B6875">
        <w:rPr>
          <w:rFonts w:ascii="Arial" w:hAnsi="Arial" w:cs="Arial"/>
          <w:sz w:val="20"/>
          <w:szCs w:val="20"/>
        </w:rPr>
        <w:t>inappropriately</w:t>
      </w:r>
      <w:r w:rsidRPr="002B6875">
        <w:rPr>
          <w:rFonts w:ascii="Arial" w:hAnsi="Arial" w:cs="Arial"/>
          <w:spacing w:val="-4"/>
          <w:sz w:val="20"/>
          <w:szCs w:val="20"/>
        </w:rPr>
        <w:t xml:space="preserve"> </w:t>
      </w:r>
      <w:r w:rsidRPr="002B6875">
        <w:rPr>
          <w:rFonts w:ascii="Arial" w:hAnsi="Arial" w:cs="Arial"/>
          <w:sz w:val="20"/>
          <w:szCs w:val="20"/>
        </w:rPr>
        <w:t>treated</w:t>
      </w:r>
      <w:r w:rsidRPr="002B6875">
        <w:rPr>
          <w:rFonts w:ascii="Arial" w:hAnsi="Arial" w:cs="Arial"/>
          <w:spacing w:val="-4"/>
          <w:sz w:val="20"/>
          <w:szCs w:val="20"/>
        </w:rPr>
        <w:t xml:space="preserve"> </w:t>
      </w:r>
      <w:r w:rsidRPr="002B6875">
        <w:rPr>
          <w:rFonts w:ascii="Arial" w:hAnsi="Arial" w:cs="Arial"/>
          <w:sz w:val="20"/>
          <w:szCs w:val="20"/>
        </w:rPr>
        <w:t>as</w:t>
      </w:r>
      <w:r w:rsidRPr="002B6875">
        <w:rPr>
          <w:rFonts w:ascii="Arial" w:hAnsi="Arial" w:cs="Arial"/>
          <w:spacing w:val="-4"/>
          <w:sz w:val="20"/>
          <w:szCs w:val="20"/>
        </w:rPr>
        <w:t xml:space="preserve"> </w:t>
      </w:r>
      <w:r w:rsidRPr="002B6875">
        <w:rPr>
          <w:rFonts w:ascii="Arial" w:hAnsi="Arial" w:cs="Arial"/>
          <w:sz w:val="20"/>
          <w:szCs w:val="20"/>
        </w:rPr>
        <w:t>confidential</w:t>
      </w:r>
      <w:r w:rsidRPr="002B6875">
        <w:rPr>
          <w:rFonts w:ascii="Arial" w:hAnsi="Arial" w:cs="Arial"/>
          <w:spacing w:val="-4"/>
          <w:sz w:val="20"/>
          <w:szCs w:val="20"/>
        </w:rPr>
        <w:t xml:space="preserve"> </w:t>
      </w:r>
      <w:r w:rsidRPr="002B6875">
        <w:rPr>
          <w:rFonts w:ascii="Arial" w:hAnsi="Arial" w:cs="Arial"/>
          <w:sz w:val="20"/>
          <w:szCs w:val="20"/>
        </w:rPr>
        <w:t>resulting in the title V permit not complying with the CAA.</w:t>
      </w:r>
    </w:p>
    <w:p w14:paraId="7EDECABB" w14:textId="77777777" w:rsidR="00B209ED" w:rsidRPr="002B6875" w:rsidRDefault="00B209ED" w:rsidP="0095602A">
      <w:pPr>
        <w:pStyle w:val="BodyText"/>
        <w:rPr>
          <w:rFonts w:ascii="Arial" w:hAnsi="Arial" w:cs="Arial"/>
          <w:sz w:val="20"/>
          <w:szCs w:val="20"/>
        </w:rPr>
      </w:pPr>
    </w:p>
    <w:p w14:paraId="25C42BBF" w14:textId="71A8C342" w:rsidR="00B209ED" w:rsidRPr="002B6875" w:rsidRDefault="00B209ED" w:rsidP="0095602A">
      <w:pPr>
        <w:pStyle w:val="BodyText"/>
        <w:rPr>
          <w:rFonts w:ascii="Arial" w:hAnsi="Arial" w:cs="Arial"/>
          <w:sz w:val="20"/>
          <w:szCs w:val="20"/>
        </w:rPr>
      </w:pPr>
      <w:r w:rsidRPr="002B6875">
        <w:rPr>
          <w:rFonts w:ascii="Arial" w:hAnsi="Arial" w:cs="Arial"/>
          <w:sz w:val="20"/>
          <w:szCs w:val="20"/>
        </w:rPr>
        <w:t xml:space="preserve">In responding to this objection, TCEQ should review the PBR registration 112344 </w:t>
      </w:r>
      <w:proofErr w:type="gramStart"/>
      <w:r w:rsidRPr="002B6875">
        <w:rPr>
          <w:rFonts w:ascii="Arial" w:hAnsi="Arial" w:cs="Arial"/>
          <w:sz w:val="20"/>
          <w:szCs w:val="20"/>
        </w:rPr>
        <w:t>in order to</w:t>
      </w:r>
      <w:proofErr w:type="gramEnd"/>
      <w:r w:rsidRPr="002B6875">
        <w:rPr>
          <w:rFonts w:ascii="Arial" w:hAnsi="Arial" w:cs="Arial"/>
          <w:sz w:val="20"/>
          <w:szCs w:val="20"/>
        </w:rPr>
        <w:t xml:space="preserve"> determine if the relevant emissions data, standards, or limitations and emissions calculation methodologies and inputs required to determine compliance needs to remain in the confidential portion of the permit record. TCEQ should conduct a reevaluation to ensure that this information is neither part of the title V permit, establishing binding, enforceable permit terms, nor considered emissions</w:t>
      </w:r>
      <w:r w:rsidRPr="002B6875">
        <w:rPr>
          <w:rFonts w:ascii="Arial" w:hAnsi="Arial" w:cs="Arial"/>
          <w:spacing w:val="-3"/>
          <w:sz w:val="20"/>
          <w:szCs w:val="20"/>
        </w:rPr>
        <w:t xml:space="preserve"> </w:t>
      </w:r>
      <w:r w:rsidRPr="002B6875">
        <w:rPr>
          <w:rFonts w:ascii="Arial" w:hAnsi="Arial" w:cs="Arial"/>
          <w:sz w:val="20"/>
          <w:szCs w:val="20"/>
        </w:rPr>
        <w:t>data</w:t>
      </w:r>
      <w:r w:rsidRPr="002B6875">
        <w:rPr>
          <w:rFonts w:ascii="Arial" w:hAnsi="Arial" w:cs="Arial"/>
          <w:spacing w:val="-3"/>
          <w:sz w:val="20"/>
          <w:szCs w:val="20"/>
        </w:rPr>
        <w:t xml:space="preserve"> </w:t>
      </w:r>
      <w:r w:rsidRPr="002B6875">
        <w:rPr>
          <w:rFonts w:ascii="Arial" w:hAnsi="Arial" w:cs="Arial"/>
          <w:sz w:val="20"/>
          <w:szCs w:val="20"/>
        </w:rPr>
        <w:t>for</w:t>
      </w:r>
      <w:r w:rsidRPr="002B6875">
        <w:rPr>
          <w:rFonts w:ascii="Arial" w:hAnsi="Arial" w:cs="Arial"/>
          <w:spacing w:val="-3"/>
          <w:sz w:val="20"/>
          <w:szCs w:val="20"/>
        </w:rPr>
        <w:t xml:space="preserve"> </w:t>
      </w:r>
      <w:r w:rsidRPr="002B6875">
        <w:rPr>
          <w:rFonts w:ascii="Arial" w:hAnsi="Arial" w:cs="Arial"/>
          <w:sz w:val="20"/>
          <w:szCs w:val="20"/>
        </w:rPr>
        <w:t>purposes</w:t>
      </w:r>
      <w:r w:rsidRPr="002B6875">
        <w:rPr>
          <w:rFonts w:ascii="Arial" w:hAnsi="Arial" w:cs="Arial"/>
          <w:spacing w:val="-3"/>
          <w:sz w:val="20"/>
          <w:szCs w:val="20"/>
        </w:rPr>
        <w:t xml:space="preserve"> </w:t>
      </w:r>
      <w:r w:rsidRPr="002B6875">
        <w:rPr>
          <w:rFonts w:ascii="Arial" w:hAnsi="Arial" w:cs="Arial"/>
          <w:sz w:val="20"/>
          <w:szCs w:val="20"/>
        </w:rPr>
        <w:t>of</w:t>
      </w:r>
      <w:r w:rsidRPr="002B6875">
        <w:rPr>
          <w:rFonts w:ascii="Arial" w:hAnsi="Arial" w:cs="Arial"/>
          <w:spacing w:val="-3"/>
          <w:sz w:val="20"/>
          <w:szCs w:val="20"/>
        </w:rPr>
        <w:t xml:space="preserve"> </w:t>
      </w:r>
      <w:r w:rsidRPr="002B6875">
        <w:rPr>
          <w:rFonts w:ascii="Arial" w:hAnsi="Arial" w:cs="Arial"/>
          <w:sz w:val="20"/>
          <w:szCs w:val="20"/>
        </w:rPr>
        <w:t>CAA</w:t>
      </w:r>
      <w:r w:rsidRPr="002B6875">
        <w:rPr>
          <w:rFonts w:ascii="Arial" w:hAnsi="Arial" w:cs="Arial"/>
          <w:spacing w:val="-4"/>
          <w:sz w:val="20"/>
          <w:szCs w:val="20"/>
        </w:rPr>
        <w:t xml:space="preserve"> </w:t>
      </w:r>
      <w:r w:rsidRPr="002B6875">
        <w:rPr>
          <w:rFonts w:ascii="Arial" w:hAnsi="Arial" w:cs="Arial"/>
          <w:sz w:val="20"/>
          <w:szCs w:val="20"/>
        </w:rPr>
        <w:t>503(e)</w:t>
      </w:r>
      <w:r w:rsidRPr="002B6875">
        <w:rPr>
          <w:rFonts w:ascii="Arial" w:hAnsi="Arial" w:cs="Arial"/>
          <w:spacing w:val="-3"/>
          <w:sz w:val="20"/>
          <w:szCs w:val="20"/>
        </w:rPr>
        <w:t xml:space="preserve"> </w:t>
      </w:r>
      <w:r w:rsidRPr="002B6875">
        <w:rPr>
          <w:rFonts w:ascii="Arial" w:hAnsi="Arial" w:cs="Arial"/>
          <w:sz w:val="20"/>
          <w:szCs w:val="20"/>
        </w:rPr>
        <w:t>and</w:t>
      </w:r>
      <w:r w:rsidRPr="002B6875">
        <w:rPr>
          <w:rFonts w:ascii="Arial" w:hAnsi="Arial" w:cs="Arial"/>
          <w:spacing w:val="-3"/>
          <w:sz w:val="20"/>
          <w:szCs w:val="20"/>
        </w:rPr>
        <w:t xml:space="preserve"> </w:t>
      </w:r>
      <w:r w:rsidRPr="002B6875">
        <w:rPr>
          <w:rFonts w:ascii="Arial" w:hAnsi="Arial" w:cs="Arial"/>
          <w:sz w:val="20"/>
          <w:szCs w:val="20"/>
        </w:rPr>
        <w:t>40</w:t>
      </w:r>
      <w:r w:rsidRPr="002B6875">
        <w:rPr>
          <w:rFonts w:ascii="Arial" w:hAnsi="Arial" w:cs="Arial"/>
          <w:spacing w:val="-3"/>
          <w:sz w:val="20"/>
          <w:szCs w:val="20"/>
        </w:rPr>
        <w:t xml:space="preserve"> </w:t>
      </w:r>
      <w:r w:rsidRPr="002B6875">
        <w:rPr>
          <w:rFonts w:ascii="Arial" w:hAnsi="Arial" w:cs="Arial"/>
          <w:sz w:val="20"/>
          <w:szCs w:val="20"/>
        </w:rPr>
        <w:t>C.F.R.</w:t>
      </w:r>
      <w:r w:rsidRPr="002B6875">
        <w:rPr>
          <w:rFonts w:ascii="Arial" w:hAnsi="Arial" w:cs="Arial"/>
          <w:spacing w:val="-3"/>
          <w:sz w:val="20"/>
          <w:szCs w:val="20"/>
        </w:rPr>
        <w:t xml:space="preserve"> </w:t>
      </w:r>
      <w:r w:rsidRPr="002B6875">
        <w:rPr>
          <w:rFonts w:ascii="Arial" w:hAnsi="Arial" w:cs="Arial"/>
          <w:sz w:val="20"/>
          <w:szCs w:val="20"/>
        </w:rPr>
        <w:t>§</w:t>
      </w:r>
      <w:r w:rsidRPr="002B6875">
        <w:rPr>
          <w:rFonts w:ascii="Arial" w:hAnsi="Arial" w:cs="Arial"/>
          <w:spacing w:val="-3"/>
          <w:sz w:val="20"/>
          <w:szCs w:val="20"/>
        </w:rPr>
        <w:t xml:space="preserve"> </w:t>
      </w:r>
      <w:r w:rsidRPr="002B6875">
        <w:rPr>
          <w:rFonts w:ascii="Arial" w:hAnsi="Arial" w:cs="Arial"/>
          <w:sz w:val="20"/>
          <w:szCs w:val="20"/>
        </w:rPr>
        <w:t>2.301(a)(2)(i)(B).</w:t>
      </w:r>
      <w:r w:rsidRPr="002B6875">
        <w:rPr>
          <w:rFonts w:ascii="Arial" w:hAnsi="Arial" w:cs="Arial"/>
          <w:spacing w:val="-3"/>
          <w:sz w:val="20"/>
          <w:szCs w:val="20"/>
        </w:rPr>
        <w:t xml:space="preserve"> </w:t>
      </w:r>
      <w:r w:rsidRPr="002B6875">
        <w:rPr>
          <w:rFonts w:ascii="Arial" w:hAnsi="Arial" w:cs="Arial"/>
          <w:sz w:val="20"/>
          <w:szCs w:val="20"/>
        </w:rPr>
        <w:t>If</w:t>
      </w:r>
      <w:r w:rsidRPr="002B6875">
        <w:rPr>
          <w:rFonts w:ascii="Arial" w:hAnsi="Arial" w:cs="Arial"/>
          <w:spacing w:val="-3"/>
          <w:sz w:val="20"/>
          <w:szCs w:val="20"/>
        </w:rPr>
        <w:t xml:space="preserve"> </w:t>
      </w:r>
      <w:r w:rsidRPr="002B6875">
        <w:rPr>
          <w:rFonts w:ascii="Arial" w:hAnsi="Arial" w:cs="Arial"/>
          <w:sz w:val="20"/>
          <w:szCs w:val="20"/>
        </w:rPr>
        <w:t>TCEQ</w:t>
      </w:r>
      <w:r w:rsidRPr="002B6875">
        <w:rPr>
          <w:rFonts w:ascii="Arial" w:hAnsi="Arial" w:cs="Arial"/>
          <w:spacing w:val="-4"/>
          <w:sz w:val="20"/>
          <w:szCs w:val="20"/>
        </w:rPr>
        <w:t xml:space="preserve"> </w:t>
      </w:r>
      <w:r w:rsidRPr="002B6875">
        <w:rPr>
          <w:rFonts w:ascii="Arial" w:hAnsi="Arial" w:cs="Arial"/>
          <w:sz w:val="20"/>
          <w:szCs w:val="20"/>
        </w:rPr>
        <w:t>can</w:t>
      </w:r>
      <w:r w:rsidRPr="002B6875">
        <w:rPr>
          <w:rFonts w:ascii="Arial" w:hAnsi="Arial" w:cs="Arial"/>
          <w:spacing w:val="-3"/>
          <w:sz w:val="20"/>
          <w:szCs w:val="20"/>
        </w:rPr>
        <w:t xml:space="preserve"> </w:t>
      </w:r>
      <w:r w:rsidRPr="002B6875">
        <w:rPr>
          <w:rFonts w:ascii="Arial" w:hAnsi="Arial" w:cs="Arial"/>
          <w:sz w:val="20"/>
          <w:szCs w:val="20"/>
        </w:rPr>
        <w:t>establish that this confidential information is not part of</w:t>
      </w:r>
      <w:r w:rsidRPr="002B6875">
        <w:rPr>
          <w:rFonts w:ascii="Arial" w:hAnsi="Arial" w:cs="Arial"/>
          <w:spacing w:val="-1"/>
          <w:sz w:val="20"/>
          <w:szCs w:val="20"/>
        </w:rPr>
        <w:t xml:space="preserve"> </w:t>
      </w:r>
      <w:r w:rsidRPr="002B6875">
        <w:rPr>
          <w:rFonts w:ascii="Arial" w:hAnsi="Arial" w:cs="Arial"/>
          <w:sz w:val="20"/>
          <w:szCs w:val="20"/>
        </w:rPr>
        <w:t>the title</w:t>
      </w:r>
      <w:r w:rsidRPr="002B6875">
        <w:rPr>
          <w:rFonts w:ascii="Arial" w:hAnsi="Arial" w:cs="Arial"/>
          <w:spacing w:val="-1"/>
          <w:sz w:val="20"/>
          <w:szCs w:val="20"/>
        </w:rPr>
        <w:t xml:space="preserve"> </w:t>
      </w:r>
      <w:r w:rsidRPr="002B6875">
        <w:rPr>
          <w:rFonts w:ascii="Arial" w:hAnsi="Arial" w:cs="Arial"/>
          <w:sz w:val="20"/>
          <w:szCs w:val="20"/>
        </w:rPr>
        <w:t>V permit operational limit, emissions data, or contains emissions calculation methodologies and inputs to determine compliance, TCEQ will still need</w:t>
      </w:r>
      <w:r w:rsidRPr="002B6875">
        <w:rPr>
          <w:rFonts w:ascii="Arial" w:hAnsi="Arial" w:cs="Arial"/>
          <w:spacing w:val="-2"/>
          <w:sz w:val="20"/>
          <w:szCs w:val="20"/>
        </w:rPr>
        <w:t xml:space="preserve"> </w:t>
      </w:r>
      <w:r w:rsidRPr="002B6875">
        <w:rPr>
          <w:rFonts w:ascii="Arial" w:hAnsi="Arial" w:cs="Arial"/>
          <w:sz w:val="20"/>
          <w:szCs w:val="20"/>
        </w:rPr>
        <w:t>to</w:t>
      </w:r>
      <w:r w:rsidRPr="002B6875">
        <w:rPr>
          <w:rFonts w:ascii="Arial" w:hAnsi="Arial" w:cs="Arial"/>
          <w:spacing w:val="-2"/>
          <w:sz w:val="20"/>
          <w:szCs w:val="20"/>
        </w:rPr>
        <w:t xml:space="preserve"> </w:t>
      </w:r>
      <w:r w:rsidRPr="002B6875">
        <w:rPr>
          <w:rFonts w:ascii="Arial" w:hAnsi="Arial" w:cs="Arial"/>
          <w:sz w:val="20"/>
          <w:szCs w:val="20"/>
        </w:rPr>
        <w:t>establish</w:t>
      </w:r>
      <w:r w:rsidRPr="002B6875">
        <w:rPr>
          <w:rFonts w:ascii="Arial" w:hAnsi="Arial" w:cs="Arial"/>
          <w:spacing w:val="-2"/>
          <w:sz w:val="20"/>
          <w:szCs w:val="20"/>
        </w:rPr>
        <w:t xml:space="preserve"> </w:t>
      </w:r>
      <w:r w:rsidRPr="002B6875">
        <w:rPr>
          <w:rFonts w:ascii="Arial" w:hAnsi="Arial" w:cs="Arial"/>
          <w:sz w:val="20"/>
          <w:szCs w:val="20"/>
        </w:rPr>
        <w:t>the</w:t>
      </w:r>
      <w:r w:rsidRPr="002B6875">
        <w:rPr>
          <w:rFonts w:ascii="Arial" w:hAnsi="Arial" w:cs="Arial"/>
          <w:spacing w:val="-3"/>
          <w:sz w:val="20"/>
          <w:szCs w:val="20"/>
        </w:rPr>
        <w:t xml:space="preserve"> </w:t>
      </w:r>
      <w:r w:rsidRPr="002B6875">
        <w:rPr>
          <w:rFonts w:ascii="Arial" w:hAnsi="Arial" w:cs="Arial"/>
          <w:sz w:val="20"/>
          <w:szCs w:val="20"/>
        </w:rPr>
        <w:t>basis</w:t>
      </w:r>
      <w:r w:rsidRPr="002B6875">
        <w:rPr>
          <w:rFonts w:ascii="Arial" w:hAnsi="Arial" w:cs="Arial"/>
          <w:spacing w:val="-2"/>
          <w:sz w:val="20"/>
          <w:szCs w:val="20"/>
        </w:rPr>
        <w:t xml:space="preserve"> </w:t>
      </w:r>
      <w:r w:rsidRPr="002B6875">
        <w:rPr>
          <w:rFonts w:ascii="Arial" w:hAnsi="Arial" w:cs="Arial"/>
          <w:sz w:val="20"/>
          <w:szCs w:val="20"/>
        </w:rPr>
        <w:t>or</w:t>
      </w:r>
      <w:r w:rsidRPr="002B6875">
        <w:rPr>
          <w:rFonts w:ascii="Arial" w:hAnsi="Arial" w:cs="Arial"/>
          <w:spacing w:val="-2"/>
          <w:sz w:val="20"/>
          <w:szCs w:val="20"/>
        </w:rPr>
        <w:t xml:space="preserve"> </w:t>
      </w:r>
      <w:r w:rsidRPr="002B6875">
        <w:rPr>
          <w:rFonts w:ascii="Arial" w:hAnsi="Arial" w:cs="Arial"/>
          <w:sz w:val="20"/>
          <w:szCs w:val="20"/>
        </w:rPr>
        <w:t>details</w:t>
      </w:r>
      <w:r w:rsidRPr="002B6875">
        <w:rPr>
          <w:rFonts w:ascii="Arial" w:hAnsi="Arial" w:cs="Arial"/>
          <w:spacing w:val="-2"/>
          <w:sz w:val="20"/>
          <w:szCs w:val="20"/>
        </w:rPr>
        <w:t xml:space="preserve"> </w:t>
      </w:r>
      <w:r w:rsidRPr="002B6875">
        <w:rPr>
          <w:rFonts w:ascii="Arial" w:hAnsi="Arial" w:cs="Arial"/>
          <w:sz w:val="20"/>
          <w:szCs w:val="20"/>
        </w:rPr>
        <w:t>in</w:t>
      </w:r>
      <w:r w:rsidRPr="002B6875">
        <w:rPr>
          <w:rFonts w:ascii="Arial" w:hAnsi="Arial" w:cs="Arial"/>
          <w:spacing w:val="-2"/>
          <w:sz w:val="20"/>
          <w:szCs w:val="20"/>
        </w:rPr>
        <w:t xml:space="preserve"> </w:t>
      </w:r>
      <w:r w:rsidRPr="002B6875">
        <w:rPr>
          <w:rFonts w:ascii="Arial" w:hAnsi="Arial" w:cs="Arial"/>
          <w:sz w:val="20"/>
          <w:szCs w:val="20"/>
        </w:rPr>
        <w:t>the</w:t>
      </w:r>
      <w:r w:rsidRPr="002B6875">
        <w:rPr>
          <w:rFonts w:ascii="Arial" w:hAnsi="Arial" w:cs="Arial"/>
          <w:spacing w:val="-2"/>
          <w:sz w:val="20"/>
          <w:szCs w:val="20"/>
        </w:rPr>
        <w:t xml:space="preserve"> </w:t>
      </w:r>
      <w:r w:rsidRPr="002B6875">
        <w:rPr>
          <w:rFonts w:ascii="Arial" w:hAnsi="Arial" w:cs="Arial"/>
          <w:sz w:val="20"/>
          <w:szCs w:val="20"/>
        </w:rPr>
        <w:t>permit</w:t>
      </w:r>
      <w:r w:rsidRPr="002B6875">
        <w:rPr>
          <w:rFonts w:ascii="Arial" w:hAnsi="Arial" w:cs="Arial"/>
          <w:spacing w:val="-2"/>
          <w:sz w:val="20"/>
          <w:szCs w:val="20"/>
        </w:rPr>
        <w:t xml:space="preserve"> </w:t>
      </w:r>
      <w:r w:rsidRPr="002B6875">
        <w:rPr>
          <w:rFonts w:ascii="Arial" w:hAnsi="Arial" w:cs="Arial"/>
          <w:sz w:val="20"/>
          <w:szCs w:val="20"/>
        </w:rPr>
        <w:t>record</w:t>
      </w:r>
      <w:r w:rsidRPr="002B6875">
        <w:rPr>
          <w:rFonts w:ascii="Arial" w:hAnsi="Arial" w:cs="Arial"/>
          <w:spacing w:val="-1"/>
          <w:sz w:val="20"/>
          <w:szCs w:val="20"/>
        </w:rPr>
        <w:t xml:space="preserve"> </w:t>
      </w:r>
      <w:r w:rsidRPr="002B6875">
        <w:rPr>
          <w:rFonts w:ascii="Arial" w:hAnsi="Arial" w:cs="Arial"/>
          <w:sz w:val="20"/>
          <w:szCs w:val="20"/>
        </w:rPr>
        <w:t>for</w:t>
      </w:r>
      <w:r w:rsidRPr="002B6875">
        <w:rPr>
          <w:rFonts w:ascii="Arial" w:hAnsi="Arial" w:cs="Arial"/>
          <w:spacing w:val="-4"/>
          <w:sz w:val="20"/>
          <w:szCs w:val="20"/>
        </w:rPr>
        <w:t xml:space="preserve"> </w:t>
      </w:r>
      <w:r w:rsidRPr="002B6875">
        <w:rPr>
          <w:rFonts w:ascii="Arial" w:hAnsi="Arial" w:cs="Arial"/>
          <w:sz w:val="20"/>
          <w:szCs w:val="20"/>
        </w:rPr>
        <w:t>why</w:t>
      </w:r>
      <w:r w:rsidRPr="002B6875">
        <w:rPr>
          <w:rFonts w:ascii="Arial" w:hAnsi="Arial" w:cs="Arial"/>
          <w:spacing w:val="-2"/>
          <w:sz w:val="20"/>
          <w:szCs w:val="20"/>
        </w:rPr>
        <w:t xml:space="preserve"> </w:t>
      </w:r>
      <w:r w:rsidRPr="002B6875">
        <w:rPr>
          <w:rFonts w:ascii="Arial" w:hAnsi="Arial" w:cs="Arial"/>
          <w:sz w:val="20"/>
          <w:szCs w:val="20"/>
        </w:rPr>
        <w:t>it</w:t>
      </w:r>
      <w:r w:rsidRPr="002B6875">
        <w:rPr>
          <w:rFonts w:ascii="Arial" w:hAnsi="Arial" w:cs="Arial"/>
          <w:spacing w:val="-2"/>
          <w:sz w:val="20"/>
          <w:szCs w:val="20"/>
        </w:rPr>
        <w:t xml:space="preserve"> </w:t>
      </w:r>
      <w:r w:rsidRPr="002B6875">
        <w:rPr>
          <w:rFonts w:ascii="Arial" w:hAnsi="Arial" w:cs="Arial"/>
          <w:sz w:val="20"/>
          <w:szCs w:val="20"/>
        </w:rPr>
        <w:t>is</w:t>
      </w:r>
      <w:r w:rsidRPr="002B6875">
        <w:rPr>
          <w:rFonts w:ascii="Arial" w:hAnsi="Arial" w:cs="Arial"/>
          <w:spacing w:val="-2"/>
          <w:sz w:val="20"/>
          <w:szCs w:val="20"/>
        </w:rPr>
        <w:t xml:space="preserve"> </w:t>
      </w:r>
      <w:r w:rsidRPr="002B6875">
        <w:rPr>
          <w:rFonts w:ascii="Arial" w:hAnsi="Arial" w:cs="Arial"/>
          <w:sz w:val="20"/>
          <w:szCs w:val="20"/>
        </w:rPr>
        <w:t>not</w:t>
      </w:r>
      <w:r w:rsidRPr="002B6875">
        <w:rPr>
          <w:rFonts w:ascii="Arial" w:hAnsi="Arial" w:cs="Arial"/>
          <w:spacing w:val="-2"/>
          <w:sz w:val="20"/>
          <w:szCs w:val="20"/>
        </w:rPr>
        <w:t xml:space="preserve"> </w:t>
      </w:r>
      <w:r w:rsidRPr="002B6875">
        <w:rPr>
          <w:rFonts w:ascii="Arial" w:hAnsi="Arial" w:cs="Arial"/>
          <w:sz w:val="20"/>
          <w:szCs w:val="20"/>
        </w:rPr>
        <w:t>necessary</w:t>
      </w:r>
      <w:r w:rsidRPr="002B6875">
        <w:rPr>
          <w:rFonts w:ascii="Arial" w:hAnsi="Arial" w:cs="Arial"/>
          <w:spacing w:val="-3"/>
          <w:sz w:val="20"/>
          <w:szCs w:val="20"/>
        </w:rPr>
        <w:t xml:space="preserve"> </w:t>
      </w:r>
      <w:r w:rsidRPr="002B6875">
        <w:rPr>
          <w:rFonts w:ascii="Arial" w:hAnsi="Arial" w:cs="Arial"/>
          <w:sz w:val="20"/>
          <w:szCs w:val="20"/>
        </w:rPr>
        <w:t>to</w:t>
      </w:r>
      <w:r w:rsidRPr="002B6875">
        <w:rPr>
          <w:rFonts w:ascii="Arial" w:hAnsi="Arial" w:cs="Arial"/>
          <w:spacing w:val="-3"/>
          <w:sz w:val="20"/>
          <w:szCs w:val="20"/>
        </w:rPr>
        <w:t xml:space="preserve"> </w:t>
      </w:r>
      <w:r w:rsidRPr="002B6875">
        <w:rPr>
          <w:rFonts w:ascii="Arial" w:hAnsi="Arial" w:cs="Arial"/>
          <w:sz w:val="20"/>
          <w:szCs w:val="20"/>
        </w:rPr>
        <w:t>enforce</w:t>
      </w:r>
      <w:r w:rsidRPr="002B6875">
        <w:rPr>
          <w:rFonts w:ascii="Arial" w:hAnsi="Arial" w:cs="Arial"/>
          <w:spacing w:val="-4"/>
          <w:sz w:val="20"/>
          <w:szCs w:val="20"/>
        </w:rPr>
        <w:t xml:space="preserve"> </w:t>
      </w:r>
      <w:r w:rsidRPr="002B6875">
        <w:rPr>
          <w:rFonts w:ascii="Arial" w:hAnsi="Arial" w:cs="Arial"/>
          <w:sz w:val="20"/>
          <w:szCs w:val="20"/>
        </w:rPr>
        <w:t xml:space="preserve">these as a term or condition of the title V permit. Otherwise, TCEQ should take appropriate action to ensure the emission calculations (including calculation methodologies and inputs required) and/or throughput and operation limits are transferred into non-confidential portion of the permitting </w:t>
      </w:r>
      <w:r w:rsidRPr="002B6875">
        <w:rPr>
          <w:rFonts w:ascii="Arial" w:hAnsi="Arial" w:cs="Arial"/>
          <w:spacing w:val="-2"/>
          <w:sz w:val="20"/>
          <w:szCs w:val="20"/>
        </w:rPr>
        <w:t>record.</w:t>
      </w:r>
    </w:p>
    <w:p w14:paraId="304254F4" w14:textId="6BEF4AAE" w:rsidR="00917B86" w:rsidRDefault="00917B86" w:rsidP="0095602A">
      <w:pPr>
        <w:rPr>
          <w:rFonts w:cs="Arial"/>
          <w:szCs w:val="20"/>
        </w:rPr>
      </w:pPr>
    </w:p>
    <w:p w14:paraId="5610F26A" w14:textId="7AEDDEB2" w:rsidR="00F13E5C" w:rsidRPr="002B6875" w:rsidRDefault="00F13E5C" w:rsidP="0095602A">
      <w:pPr>
        <w:rPr>
          <w:rFonts w:cs="Arial"/>
          <w:szCs w:val="20"/>
        </w:rPr>
      </w:pPr>
      <w:r w:rsidRPr="002B6875">
        <w:rPr>
          <w:rStyle w:val="Strong"/>
          <w:rFonts w:cs="Arial"/>
          <w:szCs w:val="20"/>
        </w:rPr>
        <w:t>TCEQ Response</w:t>
      </w:r>
      <w:r>
        <w:rPr>
          <w:rStyle w:val="Strong"/>
          <w:rFonts w:cs="Arial"/>
          <w:szCs w:val="20"/>
        </w:rPr>
        <w:t xml:space="preserve"> to Objection 5</w:t>
      </w:r>
      <w:r w:rsidRPr="002B6875">
        <w:rPr>
          <w:rStyle w:val="Strong"/>
          <w:rFonts w:cs="Arial"/>
          <w:szCs w:val="20"/>
        </w:rPr>
        <w:t>:</w:t>
      </w:r>
      <w:r w:rsidR="00B30671">
        <w:rPr>
          <w:rStyle w:val="Strong"/>
          <w:rFonts w:cs="Arial"/>
          <w:szCs w:val="20"/>
        </w:rPr>
        <w:t xml:space="preserve">  </w:t>
      </w:r>
      <w:r w:rsidR="00280BDE" w:rsidRPr="00280BDE">
        <w:rPr>
          <w:rStyle w:val="Strong"/>
          <w:rFonts w:cs="Arial"/>
          <w:b w:val="0"/>
          <w:bCs w:val="0"/>
          <w:szCs w:val="20"/>
        </w:rPr>
        <w:t>As noted in the technical summary</w:t>
      </w:r>
      <w:r w:rsidR="00280BDE">
        <w:rPr>
          <w:rStyle w:val="Strong"/>
          <w:rFonts w:cs="Arial"/>
          <w:szCs w:val="20"/>
        </w:rPr>
        <w:t xml:space="preserve"> </w:t>
      </w:r>
      <w:r w:rsidR="00280BDE">
        <w:rPr>
          <w:color w:val="000000"/>
        </w:rPr>
        <w:t xml:space="preserve">document (WCC content ID </w:t>
      </w:r>
      <w:r w:rsidR="00280BDE" w:rsidRPr="00280BDE">
        <w:rPr>
          <w:color w:val="000000"/>
        </w:rPr>
        <w:t>6464534</w:t>
      </w:r>
      <w:r w:rsidR="00280BDE">
        <w:rPr>
          <w:color w:val="000000"/>
        </w:rPr>
        <w:t xml:space="preserve">) for PBR registration number </w:t>
      </w:r>
      <w:r w:rsidR="00280BDE" w:rsidRPr="00280BDE">
        <w:rPr>
          <w:color w:val="000000"/>
        </w:rPr>
        <w:t xml:space="preserve">112344, </w:t>
      </w:r>
      <w:r w:rsidR="00280BDE">
        <w:rPr>
          <w:color w:val="000000"/>
        </w:rPr>
        <w:t xml:space="preserve">project number </w:t>
      </w:r>
      <w:r w:rsidR="00280BDE" w:rsidRPr="00280BDE">
        <w:rPr>
          <w:color w:val="000000"/>
        </w:rPr>
        <w:t>353371</w:t>
      </w:r>
      <w:r w:rsidR="00280BDE">
        <w:rPr>
          <w:color w:val="000000"/>
        </w:rPr>
        <w:t xml:space="preserve">, applicant submitted a revision application to </w:t>
      </w:r>
      <w:r w:rsidR="00D772FD">
        <w:rPr>
          <w:color w:val="000000"/>
        </w:rPr>
        <w:t>make</w:t>
      </w:r>
      <w:r w:rsidR="00280BDE">
        <w:rPr>
          <w:color w:val="000000"/>
        </w:rPr>
        <w:t xml:space="preserve"> </w:t>
      </w:r>
      <w:r w:rsidR="00280BDE" w:rsidRPr="00280BDE">
        <w:rPr>
          <w:color w:val="000000"/>
        </w:rPr>
        <w:t xml:space="preserve">the </w:t>
      </w:r>
      <w:r w:rsidR="00D82F05" w:rsidRPr="00D82F05">
        <w:rPr>
          <w:color w:val="000000"/>
        </w:rPr>
        <w:t xml:space="preserve">emission calculations </w:t>
      </w:r>
      <w:r w:rsidR="00D772FD">
        <w:rPr>
          <w:color w:val="000000"/>
        </w:rPr>
        <w:t xml:space="preserve">previously </w:t>
      </w:r>
      <w:r w:rsidR="00D82F05" w:rsidRPr="00D82F05">
        <w:rPr>
          <w:color w:val="000000"/>
        </w:rPr>
        <w:t>contained in the confidential file</w:t>
      </w:r>
      <w:r w:rsidR="00D772FD">
        <w:rPr>
          <w:color w:val="000000"/>
        </w:rPr>
        <w:t xml:space="preserve"> to be non-confidential and publicly accessible</w:t>
      </w:r>
      <w:r w:rsidR="00D82F05">
        <w:rPr>
          <w:color w:val="000000"/>
        </w:rPr>
        <w:t>.</w:t>
      </w:r>
      <w:r w:rsidR="00D82F05" w:rsidRPr="00D82F05">
        <w:rPr>
          <w:color w:val="000000"/>
        </w:rPr>
        <w:t xml:space="preserve"> </w:t>
      </w:r>
      <w:r w:rsidR="00280BDE">
        <w:rPr>
          <w:color w:val="000000"/>
        </w:rPr>
        <w:t xml:space="preserve">Therefore, </w:t>
      </w:r>
      <w:r w:rsidR="00280BDE" w:rsidRPr="00280BDE">
        <w:rPr>
          <w:color w:val="000000"/>
        </w:rPr>
        <w:t xml:space="preserve">emission calculations </w:t>
      </w:r>
      <w:r w:rsidR="00280BDE">
        <w:rPr>
          <w:color w:val="000000"/>
        </w:rPr>
        <w:t xml:space="preserve">included in revised </w:t>
      </w:r>
      <w:r w:rsidR="00B30671">
        <w:rPr>
          <w:color w:val="000000"/>
        </w:rPr>
        <w:t xml:space="preserve">PBR 112344 </w:t>
      </w:r>
      <w:r w:rsidR="00280BDE">
        <w:rPr>
          <w:color w:val="000000"/>
        </w:rPr>
        <w:t xml:space="preserve">may </w:t>
      </w:r>
      <w:r w:rsidR="006621E5">
        <w:rPr>
          <w:color w:val="000000"/>
        </w:rPr>
        <w:t xml:space="preserve">now </w:t>
      </w:r>
      <w:r w:rsidR="00280BDE">
        <w:rPr>
          <w:color w:val="000000"/>
        </w:rPr>
        <w:t xml:space="preserve">be accessed by the public via </w:t>
      </w:r>
      <w:hyperlink r:id="rId20" w:history="1">
        <w:r w:rsidR="00280BDE" w:rsidRPr="00D82F05">
          <w:rPr>
            <w:rStyle w:val="Hyperlink"/>
          </w:rPr>
          <w:t>CFR Online</w:t>
        </w:r>
      </w:hyperlink>
      <w:r w:rsidR="00B30671">
        <w:rPr>
          <w:color w:val="000000"/>
        </w:rPr>
        <w:t xml:space="preserve">.  </w:t>
      </w:r>
    </w:p>
    <w:sectPr w:rsidR="00F13E5C" w:rsidRPr="002B6875" w:rsidSect="00917B86">
      <w:headerReference w:type="default" r:id="rId21"/>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8486AA" w14:textId="77777777" w:rsidR="00D050BB" w:rsidRDefault="00D050BB">
      <w:r>
        <w:separator/>
      </w:r>
    </w:p>
  </w:endnote>
  <w:endnote w:type="continuationSeparator" w:id="0">
    <w:p w14:paraId="33050553" w14:textId="77777777" w:rsidR="00D050BB" w:rsidRDefault="00D050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4971D7" w14:textId="77777777" w:rsidR="00D42A8F" w:rsidRPr="00095CE7" w:rsidRDefault="00D42A8F" w:rsidP="00095CE7">
    <w:pPr>
      <w:pStyle w:val="AgencyFooter"/>
    </w:pPr>
    <w:r w:rsidRPr="00095CE7">
      <w:t>P.O. Box 13087   •   Austin, Texas 78711-3087   •   512-239-1000   •   tceq.texas.gov</w:t>
    </w:r>
  </w:p>
  <w:p w14:paraId="62A13BF1" w14:textId="77777777" w:rsidR="00D42A8F" w:rsidRPr="00095CE7" w:rsidRDefault="00D42A8F" w:rsidP="00095CE7">
    <w:pPr>
      <w:pStyle w:val="AgencyFooter2"/>
    </w:pPr>
    <w:r w:rsidRPr="00095CE7">
      <w:t>How is our customer service?     tceq.texas.gov/customersurvey</w:t>
    </w:r>
  </w:p>
  <w:p w14:paraId="5E857513" w14:textId="77777777" w:rsidR="00D42A8F" w:rsidRPr="00095CE7" w:rsidRDefault="00D42A8F" w:rsidP="00095CE7">
    <w:pPr>
      <w:pStyle w:val="AgencyFooter3"/>
    </w:pPr>
    <w:r w:rsidRPr="00095CE7">
      <w:t xml:space="preserve">printed on recycled </w:t>
    </w:r>
    <w:proofErr w:type="gramStart"/>
    <w:r w:rsidRPr="00095CE7">
      <w:t>paper</w:t>
    </w:r>
    <w:proofErr w:type="gramEnd"/>
  </w:p>
  <w:p w14:paraId="40E942A7"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F0AD3" w14:textId="77777777" w:rsidR="00D42A8F" w:rsidRPr="00095CE7" w:rsidRDefault="00D42A8F" w:rsidP="00095CE7">
    <w:pPr>
      <w:pStyle w:val="AgencyFooter"/>
    </w:pPr>
    <w:r>
      <w:fldChar w:fldCharType="begin"/>
    </w:r>
    <w:r>
      <w:instrText xml:space="preserve"> INCLUDETEXT X:\\Macros\\Misc\\LetterHeadFooter.doc  \* MERGEFORMAT </w:instrText>
    </w:r>
    <w:r>
      <w:fldChar w:fldCharType="separate"/>
    </w:r>
    <w:r w:rsidRPr="00095CE7">
      <w:t xml:space="preserve">P.O. Box 13087   •   Austin, Texas 78711-3087   •   512-239-1000   •   </w:t>
    </w:r>
    <w:hyperlink r:id="rId1" w:history="1">
      <w:r w:rsidRPr="00095CE7">
        <w:t>tceq.texas.gov</w:t>
      </w:r>
    </w:hyperlink>
  </w:p>
  <w:p w14:paraId="0A8F1554" w14:textId="77777777" w:rsidR="00D42A8F" w:rsidRPr="00095CE7" w:rsidRDefault="00D42A8F" w:rsidP="00095CE7">
    <w:pPr>
      <w:pStyle w:val="AgencyFooter2"/>
    </w:pPr>
    <w:r w:rsidRPr="00095CE7">
      <w:t>How is our customer service?     tceq.texas.gov/customersurvey</w:t>
    </w:r>
  </w:p>
  <w:p w14:paraId="2E31E560" w14:textId="77777777" w:rsidR="00D42A8F" w:rsidRPr="00095CE7" w:rsidRDefault="00D42A8F" w:rsidP="00095CE7">
    <w:pPr>
      <w:pStyle w:val="AgencyFooter3"/>
    </w:pPr>
    <w:r w:rsidRPr="00095CE7">
      <w:t xml:space="preserve">printed on recycled </w:t>
    </w:r>
    <w:proofErr w:type="gramStart"/>
    <w:r w:rsidRPr="00095CE7">
      <w:t>paper</w:t>
    </w:r>
    <w:proofErr w:type="gramEnd"/>
  </w:p>
  <w:p w14:paraId="4B394DA5"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D62B2"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CC5CF"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146704" w14:textId="77777777" w:rsidR="00D050BB" w:rsidRDefault="00D050BB">
      <w:r>
        <w:separator/>
      </w:r>
    </w:p>
  </w:footnote>
  <w:footnote w:type="continuationSeparator" w:id="0">
    <w:p w14:paraId="1486B91E" w14:textId="77777777" w:rsidR="00D050BB" w:rsidRDefault="00D050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5D9B4" w14:textId="132A2764" w:rsidR="000F6AD6" w:rsidRPr="00A85FC2" w:rsidRDefault="000F6AD6" w:rsidP="000F6AD6">
    <w:pPr>
      <w:pStyle w:val="LetterheadNames"/>
    </w:pPr>
    <w:r>
      <w:rPr>
        <w:noProof/>
      </w:rPr>
      <w:drawing>
        <wp:anchor distT="0" distB="0" distL="114300" distR="114300" simplePos="0" relativeHeight="251867136" behindDoc="0" locked="0" layoutInCell="1" allowOverlap="1" wp14:anchorId="3A24058E" wp14:editId="5CC1D58B">
          <wp:simplePos x="0" y="0"/>
          <wp:positionH relativeFrom="column">
            <wp:posOffset>2538095</wp:posOffset>
          </wp:positionH>
          <wp:positionV relativeFrom="paragraph">
            <wp:posOffset>-147320</wp:posOffset>
          </wp:positionV>
          <wp:extent cx="859790" cy="878840"/>
          <wp:effectExtent l="0" t="0" r="0" b="0"/>
          <wp:wrapNone/>
          <wp:docPr id="2" name="Picture 2" descr="TX-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SE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9790" cy="878840"/>
                  </a:xfrm>
                  <a:prstGeom prst="rect">
                    <a:avLst/>
                  </a:prstGeom>
                  <a:noFill/>
                </pic:spPr>
              </pic:pic>
            </a:graphicData>
          </a:graphic>
          <wp14:sizeRelH relativeFrom="page">
            <wp14:pctWidth>0</wp14:pctWidth>
          </wp14:sizeRelH>
          <wp14:sizeRelV relativeFrom="page">
            <wp14:pctHeight>0</wp14:pctHeight>
          </wp14:sizeRelV>
        </wp:anchor>
      </w:drawing>
    </w:r>
    <w:r w:rsidRPr="00B7611F">
      <w:t>Jon Niermann</w:t>
    </w:r>
    <w:r w:rsidRPr="00A85FC2">
      <w:t xml:space="preserve">, </w:t>
    </w:r>
    <w:r w:rsidRPr="009A3E9D">
      <w:rPr>
        <w:rStyle w:val="LetterheadNameTitleChar"/>
      </w:rPr>
      <w:t>Chairman</w:t>
    </w:r>
  </w:p>
  <w:p w14:paraId="36B120BC" w14:textId="77777777" w:rsidR="00D772FD" w:rsidRPr="00D772FD" w:rsidRDefault="00D772FD" w:rsidP="00D772FD">
    <w:pPr>
      <w:pStyle w:val="LetterheadNames"/>
      <w:rPr>
        <w:i/>
      </w:rPr>
    </w:pPr>
    <w:r w:rsidRPr="00D772FD">
      <w:t xml:space="preserve">Bobby Janecka, </w:t>
    </w:r>
    <w:r w:rsidRPr="00D772FD">
      <w:rPr>
        <w:i/>
      </w:rPr>
      <w:t>Commissioner</w:t>
    </w:r>
  </w:p>
  <w:p w14:paraId="444192F4" w14:textId="77777777" w:rsidR="00D772FD" w:rsidRPr="00D772FD" w:rsidRDefault="00D772FD" w:rsidP="00D772FD">
    <w:pPr>
      <w:pStyle w:val="LetterheadNames"/>
      <w:rPr>
        <w:i/>
      </w:rPr>
    </w:pPr>
    <w:r w:rsidRPr="00D772FD">
      <w:t xml:space="preserve">Catarina R. Gonzales, </w:t>
    </w:r>
    <w:r w:rsidRPr="00D772FD">
      <w:rPr>
        <w:i/>
      </w:rPr>
      <w:t>Commissioner</w:t>
    </w:r>
  </w:p>
  <w:p w14:paraId="05D7BCE5" w14:textId="22781656" w:rsidR="000F6AD6" w:rsidRPr="00A85FC2" w:rsidRDefault="00D772FD" w:rsidP="00D772FD">
    <w:pPr>
      <w:pStyle w:val="LetterheadNames"/>
    </w:pPr>
    <w:r w:rsidRPr="00D772FD">
      <w:t>Kelly Keel,</w:t>
    </w:r>
    <w:r w:rsidRPr="00D772FD">
      <w:rPr>
        <w:i/>
      </w:rPr>
      <w:t xml:space="preserve"> Executive Director</w:t>
    </w:r>
  </w:p>
  <w:p w14:paraId="6E9718DA" w14:textId="77777777" w:rsidR="00D42A8F" w:rsidRPr="003079D9" w:rsidRDefault="00D42A8F" w:rsidP="00DF682A">
    <w:pPr>
      <w:pStyle w:val="LetterHeadTitle"/>
    </w:pPr>
    <w:r w:rsidRPr="003079D9">
      <w:t>Texas Commission on Environmental Quality</w:t>
    </w:r>
  </w:p>
  <w:p w14:paraId="35A15071" w14:textId="77777777" w:rsidR="00D42A8F" w:rsidRDefault="00D42A8F" w:rsidP="00DF682A">
    <w:pPr>
      <w:pStyle w:val="LetterheadSubheading"/>
    </w:pPr>
    <w:r w:rsidRPr="00E73ABD">
      <w:t xml:space="preserve">Protecting Texas by Reducing and Preventing </w:t>
    </w:r>
    <w:r w:rsidRPr="00B242EB">
      <w:t>Pollution</w:t>
    </w:r>
  </w:p>
  <w:p w14:paraId="0897D299"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FC34D" w14:textId="77777777" w:rsidR="00D42A8F" w:rsidRPr="00A85FC2" w:rsidRDefault="00D42A8F" w:rsidP="00DF682A">
    <w:pPr>
      <w:pStyle w:val="LetterheadNames"/>
    </w:pPr>
    <w:r>
      <w:fldChar w:fldCharType="begin"/>
    </w:r>
    <w:r>
      <w:instrText xml:space="preserve"> INCLUDETEXT X:\\Macros\\Misc\\LetterHeadHeader.doc  </w:instrText>
    </w:r>
    <w:r>
      <w:fldChar w:fldCharType="separate"/>
    </w:r>
    <w:r w:rsidR="00CB5F91">
      <w:pict w14:anchorId="61C77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alt="TX-SEAL" style="position:absolute;left:0;text-align:left;margin-left:199.85pt;margin-top:-11.6pt;width:67.7pt;height:69.2pt;z-index:251865088;visibility:visible;mso-position-horizontal-relative:text;mso-position-vertical-relative:text">
          <v:imagedata r:id="rId1" o:title="TX-SEAL"/>
        </v:shape>
      </w:pict>
    </w:r>
    <w:r w:rsidRPr="00B7611F">
      <w:t>Jon Niermann</w:t>
    </w:r>
    <w:r w:rsidRPr="00A85FC2">
      <w:t xml:space="preserve">, </w:t>
    </w:r>
    <w:r w:rsidRPr="009A3E9D">
      <w:rPr>
        <w:rStyle w:val="LetterheadNameTitleChar"/>
      </w:rPr>
      <w:t>Chairman</w:t>
    </w:r>
  </w:p>
  <w:p w14:paraId="691406A9"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4050693F" w14:textId="77777777" w:rsidR="00D42A8F" w:rsidRPr="00A85FC2" w:rsidRDefault="00D42A8F" w:rsidP="00DF682A">
    <w:pPr>
      <w:pStyle w:val="LetterheadNames"/>
    </w:pPr>
    <w:r w:rsidRPr="002F0C19">
      <w:t xml:space="preserve">Bobby Janecka, </w:t>
    </w:r>
    <w:r w:rsidRPr="00DC1939">
      <w:rPr>
        <w:i/>
      </w:rPr>
      <w:t>Commissioner</w:t>
    </w:r>
  </w:p>
  <w:p w14:paraId="67E271BF" w14:textId="77777777" w:rsidR="00D42A8F" w:rsidRPr="00A85FC2" w:rsidRDefault="00D42A8F" w:rsidP="00DF682A">
    <w:pPr>
      <w:pStyle w:val="LetterheadNames"/>
    </w:pPr>
    <w:r w:rsidRPr="00B7611F">
      <w:t>Toby Baker</w:t>
    </w:r>
    <w:r w:rsidRPr="00A85FC2">
      <w:t xml:space="preserve">, </w:t>
    </w:r>
    <w:r w:rsidRPr="00B7611F">
      <w:rPr>
        <w:rStyle w:val="LetterheadNameTitleChar"/>
      </w:rPr>
      <w:t>Executive Director</w:t>
    </w:r>
  </w:p>
  <w:p w14:paraId="7532A0BF" w14:textId="77777777" w:rsidR="00D42A8F" w:rsidRPr="003079D9" w:rsidRDefault="00D42A8F" w:rsidP="00DF682A">
    <w:pPr>
      <w:pStyle w:val="LetterHeadTitle"/>
    </w:pPr>
    <w:r w:rsidRPr="003079D9">
      <w:t>Texas Commission on Environmental Quality</w:t>
    </w:r>
  </w:p>
  <w:p w14:paraId="324DC2F6" w14:textId="77777777" w:rsidR="00D42A8F" w:rsidRDefault="00D42A8F" w:rsidP="00DF682A">
    <w:pPr>
      <w:pStyle w:val="LetterheadSubheading"/>
    </w:pPr>
    <w:r w:rsidRPr="00E73ABD">
      <w:t xml:space="preserve">Protecting Texas by Reducing and Preventing </w:t>
    </w:r>
    <w:r w:rsidRPr="00B242EB">
      <w:t>Pollution</w:t>
    </w:r>
  </w:p>
  <w:p w14:paraId="6C3D2FB5"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BBC35A" w14:textId="77777777" w:rsidR="00725612" w:rsidRDefault="00286734">
    <w:r w:rsidRPr="00286734">
      <w:rPr>
        <w:color w:val="000000"/>
      </w:rPr>
      <w:t>Mr. Jeffrey Robinson</w:t>
    </w:r>
  </w:p>
  <w:p w14:paraId="2A424178"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4AD6500A" w14:textId="01FBF2FA" w:rsidR="00725612" w:rsidRDefault="00D772FD">
    <w:r>
      <w:t>February 23, 2024</w:t>
    </w:r>
  </w:p>
  <w:p w14:paraId="1AC9795C"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0573B6"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B65E88" w14:textId="77777777" w:rsidR="00725612" w:rsidRDefault="00725612">
    <w:pPr>
      <w:rPr>
        <w:bCs/>
      </w:rPr>
    </w:pPr>
    <w:r w:rsidRPr="002C7CC9">
      <w:rPr>
        <w:bCs/>
      </w:rPr>
      <w:t>EXECUTIVE DIRECTOR’S RESPONSE TO EPA OBJECTION</w:t>
    </w:r>
  </w:p>
  <w:p w14:paraId="0D556B70" w14:textId="77777777" w:rsidR="00725612" w:rsidRDefault="00725612">
    <w:pPr>
      <w:rPr>
        <w:bCs/>
      </w:rPr>
    </w:pPr>
    <w:r>
      <w:rPr>
        <w:bCs/>
      </w:rPr>
      <w:t xml:space="preserve">Permit Number </w:t>
    </w:r>
    <w:r w:rsidR="004E78D9">
      <w:rPr>
        <w:bCs/>
      </w:rPr>
      <w:t>O1668</w:t>
    </w:r>
  </w:p>
  <w:p w14:paraId="21076DF9"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3512AB78" w14:textId="77777777" w:rsidR="00725612" w:rsidRDefault="00725612"/>
  <w:p w14:paraId="2848F569"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C6C3BDB"/>
    <w:multiLevelType w:val="hybridMultilevel"/>
    <w:tmpl w:val="71E6E6F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B930241"/>
    <w:multiLevelType w:val="hybridMultilevel"/>
    <w:tmpl w:val="F12E0246"/>
    <w:name w:val="SOPTemplat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4"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2C5F7AE8"/>
    <w:multiLevelType w:val="hybridMultilevel"/>
    <w:tmpl w:val="6DD89752"/>
    <w:lvl w:ilvl="0" w:tplc="FFFFFFFF">
      <w:start w:val="1"/>
      <w:numFmt w:val="decimal"/>
      <w:lvlText w:val="%1."/>
      <w:lvlJc w:val="left"/>
      <w:pPr>
        <w:ind w:left="700" w:hanging="361"/>
      </w:pPr>
      <w:rPr>
        <w:rFonts w:ascii="Times New Roman" w:eastAsia="Times New Roman" w:hAnsi="Times New Roman" w:cs="Times New Roman" w:hint="default"/>
        <w:b/>
        <w:bCs/>
        <w:i w:val="0"/>
        <w:iCs w:val="0"/>
        <w:w w:val="100"/>
        <w:sz w:val="24"/>
        <w:szCs w:val="24"/>
        <w:lang w:val="en-US" w:eastAsia="en-US" w:bidi="ar-SA"/>
      </w:rPr>
    </w:lvl>
    <w:lvl w:ilvl="1" w:tplc="FFFFFFFF">
      <w:numFmt w:val="bullet"/>
      <w:lvlText w:val=""/>
      <w:lvlJc w:val="left"/>
      <w:pPr>
        <w:ind w:left="1331" w:hanging="360"/>
      </w:pPr>
      <w:rPr>
        <w:rFonts w:ascii="Symbol" w:eastAsia="Symbol" w:hAnsi="Symbol" w:cs="Symbol" w:hint="default"/>
        <w:b w:val="0"/>
        <w:bCs w:val="0"/>
        <w:i w:val="0"/>
        <w:iCs w:val="0"/>
        <w:w w:val="100"/>
        <w:sz w:val="24"/>
        <w:szCs w:val="24"/>
        <w:lang w:val="en-US" w:eastAsia="en-US" w:bidi="ar-SA"/>
      </w:rPr>
    </w:lvl>
    <w:lvl w:ilvl="2" w:tplc="FFFFFFFF">
      <w:numFmt w:val="bullet"/>
      <w:lvlText w:val="o"/>
      <w:lvlJc w:val="left"/>
      <w:pPr>
        <w:ind w:left="2140" w:hanging="360"/>
      </w:pPr>
      <w:rPr>
        <w:rFonts w:ascii="Courier New" w:eastAsia="Courier New" w:hAnsi="Courier New" w:cs="Courier New" w:hint="default"/>
        <w:b w:val="0"/>
        <w:bCs w:val="0"/>
        <w:i w:val="0"/>
        <w:iCs w:val="0"/>
        <w:w w:val="100"/>
        <w:sz w:val="24"/>
        <w:szCs w:val="24"/>
        <w:lang w:val="en-US" w:eastAsia="en-US" w:bidi="ar-SA"/>
      </w:rPr>
    </w:lvl>
    <w:lvl w:ilvl="3" w:tplc="FFFFFFFF">
      <w:numFmt w:val="bullet"/>
      <w:lvlText w:val="•"/>
      <w:lvlJc w:val="left"/>
      <w:pPr>
        <w:ind w:left="2140" w:hanging="360"/>
      </w:pPr>
      <w:rPr>
        <w:rFonts w:hint="default"/>
        <w:lang w:val="en-US" w:eastAsia="en-US" w:bidi="ar-SA"/>
      </w:rPr>
    </w:lvl>
    <w:lvl w:ilvl="4" w:tplc="FFFFFFFF">
      <w:numFmt w:val="bullet"/>
      <w:lvlText w:val="•"/>
      <w:lvlJc w:val="left"/>
      <w:pPr>
        <w:ind w:left="3337" w:hanging="360"/>
      </w:pPr>
      <w:rPr>
        <w:rFonts w:hint="default"/>
        <w:lang w:val="en-US" w:eastAsia="en-US" w:bidi="ar-SA"/>
      </w:rPr>
    </w:lvl>
    <w:lvl w:ilvl="5" w:tplc="FFFFFFFF">
      <w:numFmt w:val="bullet"/>
      <w:lvlText w:val="•"/>
      <w:lvlJc w:val="left"/>
      <w:pPr>
        <w:ind w:left="4534" w:hanging="360"/>
      </w:pPr>
      <w:rPr>
        <w:rFonts w:hint="default"/>
        <w:lang w:val="en-US" w:eastAsia="en-US" w:bidi="ar-SA"/>
      </w:rPr>
    </w:lvl>
    <w:lvl w:ilvl="6" w:tplc="FFFFFFFF">
      <w:numFmt w:val="bullet"/>
      <w:lvlText w:val="•"/>
      <w:lvlJc w:val="left"/>
      <w:pPr>
        <w:ind w:left="5731" w:hanging="360"/>
      </w:pPr>
      <w:rPr>
        <w:rFonts w:hint="default"/>
        <w:lang w:val="en-US" w:eastAsia="en-US" w:bidi="ar-SA"/>
      </w:rPr>
    </w:lvl>
    <w:lvl w:ilvl="7" w:tplc="FFFFFFFF">
      <w:numFmt w:val="bullet"/>
      <w:lvlText w:val="•"/>
      <w:lvlJc w:val="left"/>
      <w:pPr>
        <w:ind w:left="6928" w:hanging="360"/>
      </w:pPr>
      <w:rPr>
        <w:rFonts w:hint="default"/>
        <w:lang w:val="en-US" w:eastAsia="en-US" w:bidi="ar-SA"/>
      </w:rPr>
    </w:lvl>
    <w:lvl w:ilvl="8" w:tplc="FFFFFFFF">
      <w:numFmt w:val="bullet"/>
      <w:lvlText w:val="•"/>
      <w:lvlJc w:val="left"/>
      <w:pPr>
        <w:ind w:left="8125" w:hanging="360"/>
      </w:pPr>
      <w:rPr>
        <w:rFonts w:hint="default"/>
        <w:lang w:val="en-US" w:eastAsia="en-US" w:bidi="ar-SA"/>
      </w:rPr>
    </w:lvl>
  </w:abstractNum>
  <w:abstractNum w:abstractNumId="16"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7"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8" w15:restartNumberingAfterBreak="0">
    <w:nsid w:val="429062CE"/>
    <w:multiLevelType w:val="hybridMultilevel"/>
    <w:tmpl w:val="9574F74C"/>
    <w:name w:val="SOPTemplat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6E61D3A"/>
    <w:multiLevelType w:val="hybridMultilevel"/>
    <w:tmpl w:val="52DE7964"/>
    <w:lvl w:ilvl="0" w:tplc="DC60072A">
      <w:start w:val="5"/>
      <w:numFmt w:val="decimal"/>
      <w:lvlText w:val="%1."/>
      <w:lvlJc w:val="left"/>
      <w:pPr>
        <w:ind w:left="700" w:hanging="361"/>
      </w:pPr>
      <w:rPr>
        <w:rFonts w:ascii="Times New Roman" w:eastAsia="Times New Roman" w:hAnsi="Times New Roman" w:cs="Times New Roman" w:hint="default"/>
        <w:b/>
        <w:bCs/>
        <w:i w:val="0"/>
        <w:iCs w:val="0"/>
        <w:w w:val="100"/>
        <w:sz w:val="24"/>
        <w:szCs w:val="24"/>
        <w:lang w:val="en-US" w:eastAsia="en-US" w:bidi="ar-SA"/>
      </w:rPr>
    </w:lvl>
    <w:lvl w:ilvl="1" w:tplc="04090001">
      <w:start w:val="1"/>
      <w:numFmt w:val="bullet"/>
      <w:lvlText w:val=""/>
      <w:lvlJc w:val="left"/>
      <w:pPr>
        <w:ind w:left="1331" w:hanging="360"/>
      </w:pPr>
      <w:rPr>
        <w:rFonts w:ascii="Symbol" w:hAnsi="Symbol" w:hint="default"/>
        <w:b/>
        <w:bCs/>
        <w:i w:val="0"/>
        <w:iCs w:val="0"/>
        <w:w w:val="100"/>
        <w:sz w:val="24"/>
        <w:szCs w:val="24"/>
        <w:lang w:val="en-US" w:eastAsia="en-US" w:bidi="ar-SA"/>
      </w:rPr>
    </w:lvl>
    <w:lvl w:ilvl="2" w:tplc="FFFFFFFF">
      <w:numFmt w:val="bullet"/>
      <w:lvlText w:val="o"/>
      <w:lvlJc w:val="left"/>
      <w:pPr>
        <w:ind w:left="2140" w:hanging="360"/>
      </w:pPr>
      <w:rPr>
        <w:rFonts w:ascii="Courier New" w:eastAsia="Courier New" w:hAnsi="Courier New" w:cs="Courier New" w:hint="default"/>
        <w:b w:val="0"/>
        <w:bCs w:val="0"/>
        <w:i w:val="0"/>
        <w:iCs w:val="0"/>
        <w:w w:val="100"/>
        <w:sz w:val="24"/>
        <w:szCs w:val="24"/>
        <w:lang w:val="en-US" w:eastAsia="en-US" w:bidi="ar-SA"/>
      </w:rPr>
    </w:lvl>
    <w:lvl w:ilvl="3" w:tplc="FFFFFFFF">
      <w:numFmt w:val="bullet"/>
      <w:lvlText w:val="•"/>
      <w:lvlJc w:val="left"/>
      <w:pPr>
        <w:ind w:left="2140" w:hanging="360"/>
      </w:pPr>
      <w:rPr>
        <w:rFonts w:hint="default"/>
        <w:lang w:val="en-US" w:eastAsia="en-US" w:bidi="ar-SA"/>
      </w:rPr>
    </w:lvl>
    <w:lvl w:ilvl="4" w:tplc="FFFFFFFF">
      <w:numFmt w:val="bullet"/>
      <w:lvlText w:val="•"/>
      <w:lvlJc w:val="left"/>
      <w:pPr>
        <w:ind w:left="3337" w:hanging="360"/>
      </w:pPr>
      <w:rPr>
        <w:rFonts w:hint="default"/>
        <w:lang w:val="en-US" w:eastAsia="en-US" w:bidi="ar-SA"/>
      </w:rPr>
    </w:lvl>
    <w:lvl w:ilvl="5" w:tplc="FFFFFFFF">
      <w:numFmt w:val="bullet"/>
      <w:lvlText w:val="•"/>
      <w:lvlJc w:val="left"/>
      <w:pPr>
        <w:ind w:left="4534" w:hanging="360"/>
      </w:pPr>
      <w:rPr>
        <w:rFonts w:hint="default"/>
        <w:lang w:val="en-US" w:eastAsia="en-US" w:bidi="ar-SA"/>
      </w:rPr>
    </w:lvl>
    <w:lvl w:ilvl="6" w:tplc="FFFFFFFF">
      <w:numFmt w:val="bullet"/>
      <w:lvlText w:val="•"/>
      <w:lvlJc w:val="left"/>
      <w:pPr>
        <w:ind w:left="5731" w:hanging="360"/>
      </w:pPr>
      <w:rPr>
        <w:rFonts w:hint="default"/>
        <w:lang w:val="en-US" w:eastAsia="en-US" w:bidi="ar-SA"/>
      </w:rPr>
    </w:lvl>
    <w:lvl w:ilvl="7" w:tplc="FFFFFFFF">
      <w:numFmt w:val="bullet"/>
      <w:lvlText w:val="•"/>
      <w:lvlJc w:val="left"/>
      <w:pPr>
        <w:ind w:left="6928" w:hanging="360"/>
      </w:pPr>
      <w:rPr>
        <w:rFonts w:hint="default"/>
        <w:lang w:val="en-US" w:eastAsia="en-US" w:bidi="ar-SA"/>
      </w:rPr>
    </w:lvl>
    <w:lvl w:ilvl="8" w:tplc="FFFFFFFF">
      <w:numFmt w:val="bullet"/>
      <w:lvlText w:val="•"/>
      <w:lvlJc w:val="left"/>
      <w:pPr>
        <w:ind w:left="8125" w:hanging="360"/>
      </w:pPr>
      <w:rPr>
        <w:rFonts w:hint="default"/>
        <w:lang w:val="en-US" w:eastAsia="en-US" w:bidi="ar-SA"/>
      </w:rPr>
    </w:lvl>
  </w:abstractNum>
  <w:abstractNum w:abstractNumId="20" w15:restartNumberingAfterBreak="0">
    <w:nsid w:val="4B78057B"/>
    <w:multiLevelType w:val="hybridMultilevel"/>
    <w:tmpl w:val="0CE04342"/>
    <w:lvl w:ilvl="0" w:tplc="0409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2BF02A3"/>
    <w:multiLevelType w:val="hybridMultilevel"/>
    <w:tmpl w:val="CF04817A"/>
    <w:lvl w:ilvl="0" w:tplc="04090003">
      <w:start w:val="1"/>
      <w:numFmt w:val="bullet"/>
      <w:lvlText w:val="o"/>
      <w:lvlJc w:val="left"/>
      <w:pPr>
        <w:ind w:left="700" w:hanging="361"/>
      </w:pPr>
      <w:rPr>
        <w:rFonts w:ascii="Courier New" w:hAnsi="Courier New" w:cs="Courier New" w:hint="default"/>
        <w:b/>
        <w:bCs/>
        <w:i w:val="0"/>
        <w:iCs w:val="0"/>
        <w:w w:val="100"/>
        <w:sz w:val="24"/>
        <w:szCs w:val="24"/>
        <w:lang w:val="en-US" w:eastAsia="en-US" w:bidi="ar-SA"/>
      </w:rPr>
    </w:lvl>
    <w:lvl w:ilvl="1" w:tplc="A08CB9B0">
      <w:numFmt w:val="bullet"/>
      <w:lvlText w:val=""/>
      <w:lvlJc w:val="left"/>
      <w:pPr>
        <w:ind w:left="1331" w:hanging="360"/>
      </w:pPr>
      <w:rPr>
        <w:rFonts w:ascii="Symbol" w:eastAsia="Symbol" w:hAnsi="Symbol" w:cs="Symbol" w:hint="default"/>
        <w:b w:val="0"/>
        <w:bCs w:val="0"/>
        <w:i w:val="0"/>
        <w:iCs w:val="0"/>
        <w:w w:val="100"/>
        <w:sz w:val="24"/>
        <w:szCs w:val="24"/>
        <w:lang w:val="en-US" w:eastAsia="en-US" w:bidi="ar-SA"/>
      </w:rPr>
    </w:lvl>
    <w:lvl w:ilvl="2" w:tplc="46CC51F4">
      <w:numFmt w:val="bullet"/>
      <w:lvlText w:val="o"/>
      <w:lvlJc w:val="left"/>
      <w:pPr>
        <w:ind w:left="2140" w:hanging="360"/>
      </w:pPr>
      <w:rPr>
        <w:rFonts w:ascii="Courier New" w:eastAsia="Courier New" w:hAnsi="Courier New" w:cs="Courier New" w:hint="default"/>
        <w:b w:val="0"/>
        <w:bCs w:val="0"/>
        <w:i w:val="0"/>
        <w:iCs w:val="0"/>
        <w:w w:val="100"/>
        <w:sz w:val="24"/>
        <w:szCs w:val="24"/>
        <w:lang w:val="en-US" w:eastAsia="en-US" w:bidi="ar-SA"/>
      </w:rPr>
    </w:lvl>
    <w:lvl w:ilvl="3" w:tplc="6374CB16">
      <w:numFmt w:val="bullet"/>
      <w:lvlText w:val="•"/>
      <w:lvlJc w:val="left"/>
      <w:pPr>
        <w:ind w:left="2140" w:hanging="360"/>
      </w:pPr>
      <w:rPr>
        <w:rFonts w:hint="default"/>
        <w:lang w:val="en-US" w:eastAsia="en-US" w:bidi="ar-SA"/>
      </w:rPr>
    </w:lvl>
    <w:lvl w:ilvl="4" w:tplc="B34267B2">
      <w:numFmt w:val="bullet"/>
      <w:lvlText w:val="•"/>
      <w:lvlJc w:val="left"/>
      <w:pPr>
        <w:ind w:left="3337" w:hanging="360"/>
      </w:pPr>
      <w:rPr>
        <w:rFonts w:hint="default"/>
        <w:lang w:val="en-US" w:eastAsia="en-US" w:bidi="ar-SA"/>
      </w:rPr>
    </w:lvl>
    <w:lvl w:ilvl="5" w:tplc="81E81DD2">
      <w:numFmt w:val="bullet"/>
      <w:lvlText w:val="•"/>
      <w:lvlJc w:val="left"/>
      <w:pPr>
        <w:ind w:left="4534" w:hanging="360"/>
      </w:pPr>
      <w:rPr>
        <w:rFonts w:hint="default"/>
        <w:lang w:val="en-US" w:eastAsia="en-US" w:bidi="ar-SA"/>
      </w:rPr>
    </w:lvl>
    <w:lvl w:ilvl="6" w:tplc="8C96BC58">
      <w:numFmt w:val="bullet"/>
      <w:lvlText w:val="•"/>
      <w:lvlJc w:val="left"/>
      <w:pPr>
        <w:ind w:left="5731" w:hanging="360"/>
      </w:pPr>
      <w:rPr>
        <w:rFonts w:hint="default"/>
        <w:lang w:val="en-US" w:eastAsia="en-US" w:bidi="ar-SA"/>
      </w:rPr>
    </w:lvl>
    <w:lvl w:ilvl="7" w:tplc="3350EDB8">
      <w:numFmt w:val="bullet"/>
      <w:lvlText w:val="•"/>
      <w:lvlJc w:val="left"/>
      <w:pPr>
        <w:ind w:left="6928" w:hanging="360"/>
      </w:pPr>
      <w:rPr>
        <w:rFonts w:hint="default"/>
        <w:lang w:val="en-US" w:eastAsia="en-US" w:bidi="ar-SA"/>
      </w:rPr>
    </w:lvl>
    <w:lvl w:ilvl="8" w:tplc="3D0C62B8">
      <w:numFmt w:val="bullet"/>
      <w:lvlText w:val="•"/>
      <w:lvlJc w:val="left"/>
      <w:pPr>
        <w:ind w:left="8125" w:hanging="360"/>
      </w:pPr>
      <w:rPr>
        <w:rFonts w:hint="default"/>
        <w:lang w:val="en-US" w:eastAsia="en-US" w:bidi="ar-SA"/>
      </w:rPr>
    </w:lvl>
  </w:abstractNum>
  <w:abstractNum w:abstractNumId="22" w15:restartNumberingAfterBreak="0">
    <w:nsid w:val="660B75BD"/>
    <w:multiLevelType w:val="hybridMultilevel"/>
    <w:tmpl w:val="BB0EA11E"/>
    <w:lvl w:ilvl="0" w:tplc="FFFFFFFF">
      <w:start w:val="1"/>
      <w:numFmt w:val="decimal"/>
      <w:lvlText w:val="%1."/>
      <w:lvlJc w:val="left"/>
      <w:pPr>
        <w:ind w:left="700" w:hanging="361"/>
      </w:pPr>
      <w:rPr>
        <w:rFonts w:ascii="Times New Roman" w:eastAsia="Times New Roman" w:hAnsi="Times New Roman" w:cs="Times New Roman" w:hint="default"/>
        <w:b/>
        <w:bCs/>
        <w:i w:val="0"/>
        <w:iCs w:val="0"/>
        <w:w w:val="100"/>
        <w:sz w:val="24"/>
        <w:szCs w:val="24"/>
        <w:lang w:val="en-US" w:eastAsia="en-US" w:bidi="ar-SA"/>
      </w:rPr>
    </w:lvl>
    <w:lvl w:ilvl="1" w:tplc="FFFFFFFF">
      <w:numFmt w:val="bullet"/>
      <w:lvlText w:val=""/>
      <w:lvlJc w:val="left"/>
      <w:pPr>
        <w:ind w:left="1331" w:hanging="360"/>
      </w:pPr>
      <w:rPr>
        <w:rFonts w:ascii="Symbol" w:eastAsia="Symbol" w:hAnsi="Symbol" w:cs="Symbol" w:hint="default"/>
        <w:b w:val="0"/>
        <w:bCs w:val="0"/>
        <w:i w:val="0"/>
        <w:iCs w:val="0"/>
        <w:w w:val="100"/>
        <w:sz w:val="24"/>
        <w:szCs w:val="24"/>
        <w:lang w:val="en-US" w:eastAsia="en-US" w:bidi="ar-SA"/>
      </w:rPr>
    </w:lvl>
    <w:lvl w:ilvl="2" w:tplc="FFFFFFFF">
      <w:numFmt w:val="bullet"/>
      <w:lvlText w:val="o"/>
      <w:lvlJc w:val="left"/>
      <w:pPr>
        <w:ind w:left="2140" w:hanging="360"/>
      </w:pPr>
      <w:rPr>
        <w:rFonts w:ascii="Courier New" w:eastAsia="Courier New" w:hAnsi="Courier New" w:cs="Courier New" w:hint="default"/>
        <w:b w:val="0"/>
        <w:bCs w:val="0"/>
        <w:i w:val="0"/>
        <w:iCs w:val="0"/>
        <w:w w:val="100"/>
        <w:sz w:val="24"/>
        <w:szCs w:val="24"/>
        <w:lang w:val="en-US" w:eastAsia="en-US" w:bidi="ar-SA"/>
      </w:rPr>
    </w:lvl>
    <w:lvl w:ilvl="3" w:tplc="FFFFFFFF">
      <w:numFmt w:val="bullet"/>
      <w:lvlText w:val="•"/>
      <w:lvlJc w:val="left"/>
      <w:pPr>
        <w:ind w:left="2140" w:hanging="360"/>
      </w:pPr>
      <w:rPr>
        <w:rFonts w:hint="default"/>
        <w:lang w:val="en-US" w:eastAsia="en-US" w:bidi="ar-SA"/>
      </w:rPr>
    </w:lvl>
    <w:lvl w:ilvl="4" w:tplc="FFFFFFFF">
      <w:numFmt w:val="bullet"/>
      <w:lvlText w:val="•"/>
      <w:lvlJc w:val="left"/>
      <w:pPr>
        <w:ind w:left="3337" w:hanging="360"/>
      </w:pPr>
      <w:rPr>
        <w:rFonts w:hint="default"/>
        <w:lang w:val="en-US" w:eastAsia="en-US" w:bidi="ar-SA"/>
      </w:rPr>
    </w:lvl>
    <w:lvl w:ilvl="5" w:tplc="FFFFFFFF">
      <w:numFmt w:val="bullet"/>
      <w:lvlText w:val="•"/>
      <w:lvlJc w:val="left"/>
      <w:pPr>
        <w:ind w:left="4534" w:hanging="360"/>
      </w:pPr>
      <w:rPr>
        <w:rFonts w:hint="default"/>
        <w:lang w:val="en-US" w:eastAsia="en-US" w:bidi="ar-SA"/>
      </w:rPr>
    </w:lvl>
    <w:lvl w:ilvl="6" w:tplc="FFFFFFFF">
      <w:numFmt w:val="bullet"/>
      <w:lvlText w:val="•"/>
      <w:lvlJc w:val="left"/>
      <w:pPr>
        <w:ind w:left="5731" w:hanging="360"/>
      </w:pPr>
      <w:rPr>
        <w:rFonts w:hint="default"/>
        <w:lang w:val="en-US" w:eastAsia="en-US" w:bidi="ar-SA"/>
      </w:rPr>
    </w:lvl>
    <w:lvl w:ilvl="7" w:tplc="FFFFFFFF">
      <w:numFmt w:val="bullet"/>
      <w:lvlText w:val="•"/>
      <w:lvlJc w:val="left"/>
      <w:pPr>
        <w:ind w:left="6928" w:hanging="360"/>
      </w:pPr>
      <w:rPr>
        <w:rFonts w:hint="default"/>
        <w:lang w:val="en-US" w:eastAsia="en-US" w:bidi="ar-SA"/>
      </w:rPr>
    </w:lvl>
    <w:lvl w:ilvl="8" w:tplc="FFFFFFFF">
      <w:numFmt w:val="bullet"/>
      <w:lvlText w:val="•"/>
      <w:lvlJc w:val="left"/>
      <w:pPr>
        <w:ind w:left="8125" w:hanging="360"/>
      </w:pPr>
      <w:rPr>
        <w:rFonts w:hint="default"/>
        <w:lang w:val="en-US" w:eastAsia="en-US" w:bidi="ar-SA"/>
      </w:rPr>
    </w:lvl>
  </w:abstractNum>
  <w:abstractNum w:abstractNumId="23"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24" w15:restartNumberingAfterBreak="0">
    <w:nsid w:val="7B3339CB"/>
    <w:multiLevelType w:val="hybridMultilevel"/>
    <w:tmpl w:val="D38C30EA"/>
    <w:lvl w:ilvl="0" w:tplc="FFFFFFFF">
      <w:start w:val="1"/>
      <w:numFmt w:val="decimal"/>
      <w:lvlText w:val="%1."/>
      <w:lvlJc w:val="left"/>
      <w:pPr>
        <w:ind w:left="700" w:hanging="361"/>
      </w:pPr>
      <w:rPr>
        <w:rFonts w:ascii="Times New Roman" w:eastAsia="Times New Roman" w:hAnsi="Times New Roman" w:cs="Times New Roman" w:hint="default"/>
        <w:b/>
        <w:bCs/>
        <w:i w:val="0"/>
        <w:iCs w:val="0"/>
        <w:w w:val="100"/>
        <w:sz w:val="24"/>
        <w:szCs w:val="24"/>
        <w:lang w:val="en-US" w:eastAsia="en-US" w:bidi="ar-SA"/>
      </w:rPr>
    </w:lvl>
    <w:lvl w:ilvl="1" w:tplc="FFFFFFFF">
      <w:numFmt w:val="bullet"/>
      <w:lvlText w:val=""/>
      <w:lvlJc w:val="left"/>
      <w:pPr>
        <w:ind w:left="1331" w:hanging="360"/>
      </w:pPr>
      <w:rPr>
        <w:rFonts w:ascii="Symbol" w:eastAsia="Symbol" w:hAnsi="Symbol" w:cs="Symbol" w:hint="default"/>
        <w:b w:val="0"/>
        <w:bCs w:val="0"/>
        <w:i w:val="0"/>
        <w:iCs w:val="0"/>
        <w:w w:val="100"/>
        <w:sz w:val="24"/>
        <w:szCs w:val="24"/>
        <w:lang w:val="en-US" w:eastAsia="en-US" w:bidi="ar-SA"/>
      </w:rPr>
    </w:lvl>
    <w:lvl w:ilvl="2" w:tplc="FFFFFFFF">
      <w:numFmt w:val="bullet"/>
      <w:lvlText w:val="o"/>
      <w:lvlJc w:val="left"/>
      <w:pPr>
        <w:ind w:left="2140" w:hanging="360"/>
      </w:pPr>
      <w:rPr>
        <w:rFonts w:ascii="Courier New" w:eastAsia="Courier New" w:hAnsi="Courier New" w:cs="Courier New" w:hint="default"/>
        <w:b w:val="0"/>
        <w:bCs w:val="0"/>
        <w:i w:val="0"/>
        <w:iCs w:val="0"/>
        <w:w w:val="100"/>
        <w:sz w:val="24"/>
        <w:szCs w:val="24"/>
        <w:lang w:val="en-US" w:eastAsia="en-US" w:bidi="ar-SA"/>
      </w:rPr>
    </w:lvl>
    <w:lvl w:ilvl="3" w:tplc="FFFFFFFF">
      <w:numFmt w:val="bullet"/>
      <w:lvlText w:val="•"/>
      <w:lvlJc w:val="left"/>
      <w:pPr>
        <w:ind w:left="2140" w:hanging="360"/>
      </w:pPr>
      <w:rPr>
        <w:rFonts w:hint="default"/>
        <w:lang w:val="en-US" w:eastAsia="en-US" w:bidi="ar-SA"/>
      </w:rPr>
    </w:lvl>
    <w:lvl w:ilvl="4" w:tplc="FFFFFFFF">
      <w:numFmt w:val="bullet"/>
      <w:lvlText w:val="•"/>
      <w:lvlJc w:val="left"/>
      <w:pPr>
        <w:ind w:left="3337" w:hanging="360"/>
      </w:pPr>
      <w:rPr>
        <w:rFonts w:hint="default"/>
        <w:lang w:val="en-US" w:eastAsia="en-US" w:bidi="ar-SA"/>
      </w:rPr>
    </w:lvl>
    <w:lvl w:ilvl="5" w:tplc="FFFFFFFF">
      <w:numFmt w:val="bullet"/>
      <w:lvlText w:val="•"/>
      <w:lvlJc w:val="left"/>
      <w:pPr>
        <w:ind w:left="4534" w:hanging="360"/>
      </w:pPr>
      <w:rPr>
        <w:rFonts w:hint="default"/>
        <w:lang w:val="en-US" w:eastAsia="en-US" w:bidi="ar-SA"/>
      </w:rPr>
    </w:lvl>
    <w:lvl w:ilvl="6" w:tplc="FFFFFFFF">
      <w:numFmt w:val="bullet"/>
      <w:lvlText w:val="•"/>
      <w:lvlJc w:val="left"/>
      <w:pPr>
        <w:ind w:left="5731" w:hanging="360"/>
      </w:pPr>
      <w:rPr>
        <w:rFonts w:hint="default"/>
        <w:lang w:val="en-US" w:eastAsia="en-US" w:bidi="ar-SA"/>
      </w:rPr>
    </w:lvl>
    <w:lvl w:ilvl="7" w:tplc="FFFFFFFF">
      <w:numFmt w:val="bullet"/>
      <w:lvlText w:val="•"/>
      <w:lvlJc w:val="left"/>
      <w:pPr>
        <w:ind w:left="6928" w:hanging="360"/>
      </w:pPr>
      <w:rPr>
        <w:rFonts w:hint="default"/>
        <w:lang w:val="en-US" w:eastAsia="en-US" w:bidi="ar-SA"/>
      </w:rPr>
    </w:lvl>
    <w:lvl w:ilvl="8" w:tplc="FFFFFFFF">
      <w:numFmt w:val="bullet"/>
      <w:lvlText w:val="•"/>
      <w:lvlJc w:val="left"/>
      <w:pPr>
        <w:ind w:left="8125" w:hanging="360"/>
      </w:pPr>
      <w:rPr>
        <w:rFonts w:hint="default"/>
        <w:lang w:val="en-US" w:eastAsia="en-US" w:bidi="ar-SA"/>
      </w:rPr>
    </w:lvl>
  </w:abstractNum>
  <w:abstractNum w:abstractNumId="25" w15:restartNumberingAfterBreak="0">
    <w:nsid w:val="7B9429CD"/>
    <w:multiLevelType w:val="hybridMultilevel"/>
    <w:tmpl w:val="D38C30EA"/>
    <w:lvl w:ilvl="0" w:tplc="FFFFFFFF">
      <w:start w:val="1"/>
      <w:numFmt w:val="decimal"/>
      <w:lvlText w:val="%1."/>
      <w:lvlJc w:val="left"/>
      <w:pPr>
        <w:ind w:left="700" w:hanging="361"/>
      </w:pPr>
      <w:rPr>
        <w:rFonts w:ascii="Times New Roman" w:eastAsia="Times New Roman" w:hAnsi="Times New Roman" w:cs="Times New Roman" w:hint="default"/>
        <w:b/>
        <w:bCs/>
        <w:i w:val="0"/>
        <w:iCs w:val="0"/>
        <w:w w:val="100"/>
        <w:sz w:val="24"/>
        <w:szCs w:val="24"/>
        <w:lang w:val="en-US" w:eastAsia="en-US" w:bidi="ar-SA"/>
      </w:rPr>
    </w:lvl>
    <w:lvl w:ilvl="1" w:tplc="FFFFFFFF">
      <w:numFmt w:val="bullet"/>
      <w:lvlText w:val=""/>
      <w:lvlJc w:val="left"/>
      <w:pPr>
        <w:ind w:left="1331" w:hanging="360"/>
      </w:pPr>
      <w:rPr>
        <w:rFonts w:ascii="Symbol" w:eastAsia="Symbol" w:hAnsi="Symbol" w:cs="Symbol" w:hint="default"/>
        <w:b w:val="0"/>
        <w:bCs w:val="0"/>
        <w:i w:val="0"/>
        <w:iCs w:val="0"/>
        <w:w w:val="100"/>
        <w:sz w:val="24"/>
        <w:szCs w:val="24"/>
        <w:lang w:val="en-US" w:eastAsia="en-US" w:bidi="ar-SA"/>
      </w:rPr>
    </w:lvl>
    <w:lvl w:ilvl="2" w:tplc="FFFFFFFF">
      <w:numFmt w:val="bullet"/>
      <w:lvlText w:val="o"/>
      <w:lvlJc w:val="left"/>
      <w:pPr>
        <w:ind w:left="2140" w:hanging="360"/>
      </w:pPr>
      <w:rPr>
        <w:rFonts w:ascii="Courier New" w:eastAsia="Courier New" w:hAnsi="Courier New" w:cs="Courier New" w:hint="default"/>
        <w:b w:val="0"/>
        <w:bCs w:val="0"/>
        <w:i w:val="0"/>
        <w:iCs w:val="0"/>
        <w:w w:val="100"/>
        <w:sz w:val="24"/>
        <w:szCs w:val="24"/>
        <w:lang w:val="en-US" w:eastAsia="en-US" w:bidi="ar-SA"/>
      </w:rPr>
    </w:lvl>
    <w:lvl w:ilvl="3" w:tplc="FFFFFFFF">
      <w:numFmt w:val="bullet"/>
      <w:lvlText w:val="•"/>
      <w:lvlJc w:val="left"/>
      <w:pPr>
        <w:ind w:left="2140" w:hanging="360"/>
      </w:pPr>
      <w:rPr>
        <w:rFonts w:hint="default"/>
        <w:lang w:val="en-US" w:eastAsia="en-US" w:bidi="ar-SA"/>
      </w:rPr>
    </w:lvl>
    <w:lvl w:ilvl="4" w:tplc="FFFFFFFF">
      <w:numFmt w:val="bullet"/>
      <w:lvlText w:val="•"/>
      <w:lvlJc w:val="left"/>
      <w:pPr>
        <w:ind w:left="3337" w:hanging="360"/>
      </w:pPr>
      <w:rPr>
        <w:rFonts w:hint="default"/>
        <w:lang w:val="en-US" w:eastAsia="en-US" w:bidi="ar-SA"/>
      </w:rPr>
    </w:lvl>
    <w:lvl w:ilvl="5" w:tplc="FFFFFFFF">
      <w:numFmt w:val="bullet"/>
      <w:lvlText w:val="•"/>
      <w:lvlJc w:val="left"/>
      <w:pPr>
        <w:ind w:left="4534" w:hanging="360"/>
      </w:pPr>
      <w:rPr>
        <w:rFonts w:hint="default"/>
        <w:lang w:val="en-US" w:eastAsia="en-US" w:bidi="ar-SA"/>
      </w:rPr>
    </w:lvl>
    <w:lvl w:ilvl="6" w:tplc="FFFFFFFF">
      <w:numFmt w:val="bullet"/>
      <w:lvlText w:val="•"/>
      <w:lvlJc w:val="left"/>
      <w:pPr>
        <w:ind w:left="5731" w:hanging="360"/>
      </w:pPr>
      <w:rPr>
        <w:rFonts w:hint="default"/>
        <w:lang w:val="en-US" w:eastAsia="en-US" w:bidi="ar-SA"/>
      </w:rPr>
    </w:lvl>
    <w:lvl w:ilvl="7" w:tplc="FFFFFFFF">
      <w:numFmt w:val="bullet"/>
      <w:lvlText w:val="•"/>
      <w:lvlJc w:val="left"/>
      <w:pPr>
        <w:ind w:left="6928" w:hanging="360"/>
      </w:pPr>
      <w:rPr>
        <w:rFonts w:hint="default"/>
        <w:lang w:val="en-US" w:eastAsia="en-US" w:bidi="ar-SA"/>
      </w:rPr>
    </w:lvl>
    <w:lvl w:ilvl="8" w:tplc="FFFFFFFF">
      <w:numFmt w:val="bullet"/>
      <w:lvlText w:val="•"/>
      <w:lvlJc w:val="left"/>
      <w:pPr>
        <w:ind w:left="8125" w:hanging="360"/>
      </w:pPr>
      <w:rPr>
        <w:rFonts w:hint="default"/>
        <w:lang w:val="en-US" w:eastAsia="en-US" w:bidi="ar-SA"/>
      </w:rPr>
    </w:lvl>
  </w:abstractNum>
  <w:num w:numId="1" w16cid:durableId="2127263500">
    <w:abstractNumId w:val="12"/>
  </w:num>
  <w:num w:numId="2" w16cid:durableId="1609192024">
    <w:abstractNumId w:val="14"/>
  </w:num>
  <w:num w:numId="3" w16cid:durableId="456798440">
    <w:abstractNumId w:val="13"/>
  </w:num>
  <w:num w:numId="4" w16cid:durableId="1418944864">
    <w:abstractNumId w:val="17"/>
  </w:num>
  <w:num w:numId="5" w16cid:durableId="676224959">
    <w:abstractNumId w:val="23"/>
  </w:num>
  <w:num w:numId="6" w16cid:durableId="1885212474">
    <w:abstractNumId w:val="16"/>
  </w:num>
  <w:num w:numId="7" w16cid:durableId="1894848735">
    <w:abstractNumId w:val="9"/>
  </w:num>
  <w:num w:numId="8" w16cid:durableId="731316308">
    <w:abstractNumId w:val="7"/>
  </w:num>
  <w:num w:numId="9" w16cid:durableId="907691268">
    <w:abstractNumId w:val="6"/>
  </w:num>
  <w:num w:numId="10" w16cid:durableId="2022269776">
    <w:abstractNumId w:val="5"/>
  </w:num>
  <w:num w:numId="11" w16cid:durableId="1945651394">
    <w:abstractNumId w:val="4"/>
  </w:num>
  <w:num w:numId="12" w16cid:durableId="1813598691">
    <w:abstractNumId w:val="8"/>
  </w:num>
  <w:num w:numId="13" w16cid:durableId="1358236808">
    <w:abstractNumId w:val="3"/>
  </w:num>
  <w:num w:numId="14" w16cid:durableId="145318629">
    <w:abstractNumId w:val="2"/>
  </w:num>
  <w:num w:numId="15" w16cid:durableId="541065696">
    <w:abstractNumId w:val="1"/>
  </w:num>
  <w:num w:numId="16" w16cid:durableId="228227632">
    <w:abstractNumId w:val="0"/>
  </w:num>
  <w:num w:numId="17" w16cid:durableId="397678171">
    <w:abstractNumId w:val="21"/>
  </w:num>
  <w:num w:numId="18" w16cid:durableId="488327732">
    <w:abstractNumId w:val="15"/>
  </w:num>
  <w:num w:numId="19" w16cid:durableId="1386640462">
    <w:abstractNumId w:val="22"/>
  </w:num>
  <w:num w:numId="20" w16cid:durableId="1832797233">
    <w:abstractNumId w:val="19"/>
  </w:num>
  <w:num w:numId="21" w16cid:durableId="2113478228">
    <w:abstractNumId w:val="25"/>
  </w:num>
  <w:num w:numId="22" w16cid:durableId="1109618256">
    <w:abstractNumId w:val="24"/>
  </w:num>
  <w:num w:numId="23" w16cid:durableId="619651182">
    <w:abstractNumId w:val="18"/>
  </w:num>
  <w:num w:numId="24" w16cid:durableId="442000496">
    <w:abstractNumId w:val="11"/>
  </w:num>
  <w:num w:numId="25" w16cid:durableId="510529167">
    <w:abstractNumId w:val="10"/>
  </w:num>
  <w:num w:numId="26" w16cid:durableId="187368690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8D9"/>
    <w:rsid w:val="00001360"/>
    <w:rsid w:val="0000201B"/>
    <w:rsid w:val="000037EF"/>
    <w:rsid w:val="00004BC2"/>
    <w:rsid w:val="00005845"/>
    <w:rsid w:val="00006829"/>
    <w:rsid w:val="00006A7B"/>
    <w:rsid w:val="00007D4E"/>
    <w:rsid w:val="00010F20"/>
    <w:rsid w:val="000164A9"/>
    <w:rsid w:val="00016871"/>
    <w:rsid w:val="00020EAA"/>
    <w:rsid w:val="00024EBF"/>
    <w:rsid w:val="000266E0"/>
    <w:rsid w:val="000303A6"/>
    <w:rsid w:val="000305C2"/>
    <w:rsid w:val="000307AE"/>
    <w:rsid w:val="00037C5C"/>
    <w:rsid w:val="00043A9C"/>
    <w:rsid w:val="00043F07"/>
    <w:rsid w:val="00056D1D"/>
    <w:rsid w:val="000619CB"/>
    <w:rsid w:val="0006529B"/>
    <w:rsid w:val="00071065"/>
    <w:rsid w:val="00072817"/>
    <w:rsid w:val="0007348A"/>
    <w:rsid w:val="0008015C"/>
    <w:rsid w:val="00091318"/>
    <w:rsid w:val="00094A5D"/>
    <w:rsid w:val="00094F7E"/>
    <w:rsid w:val="00097BAC"/>
    <w:rsid w:val="00097D7E"/>
    <w:rsid w:val="000A3D0D"/>
    <w:rsid w:val="000A4DA5"/>
    <w:rsid w:val="000A7048"/>
    <w:rsid w:val="000B0B8A"/>
    <w:rsid w:val="000C00DF"/>
    <w:rsid w:val="000D073C"/>
    <w:rsid w:val="000D0956"/>
    <w:rsid w:val="000F4FF6"/>
    <w:rsid w:val="000F6AD6"/>
    <w:rsid w:val="0010000F"/>
    <w:rsid w:val="00112AE9"/>
    <w:rsid w:val="0011410A"/>
    <w:rsid w:val="001207D8"/>
    <w:rsid w:val="00120988"/>
    <w:rsid w:val="00121AE9"/>
    <w:rsid w:val="00122659"/>
    <w:rsid w:val="00122ADD"/>
    <w:rsid w:val="0012541A"/>
    <w:rsid w:val="0013073E"/>
    <w:rsid w:val="00134290"/>
    <w:rsid w:val="00136B69"/>
    <w:rsid w:val="00144203"/>
    <w:rsid w:val="0014747F"/>
    <w:rsid w:val="001569E6"/>
    <w:rsid w:val="0016507E"/>
    <w:rsid w:val="00166D19"/>
    <w:rsid w:val="001848E5"/>
    <w:rsid w:val="00186C7F"/>
    <w:rsid w:val="00192543"/>
    <w:rsid w:val="0019444E"/>
    <w:rsid w:val="001A27E0"/>
    <w:rsid w:val="001A36F1"/>
    <w:rsid w:val="001B1E9E"/>
    <w:rsid w:val="001B2155"/>
    <w:rsid w:val="001B693E"/>
    <w:rsid w:val="001B69CA"/>
    <w:rsid w:val="001B7B61"/>
    <w:rsid w:val="001C1776"/>
    <w:rsid w:val="001C34CD"/>
    <w:rsid w:val="001C3884"/>
    <w:rsid w:val="001D0A4F"/>
    <w:rsid w:val="001E2CE5"/>
    <w:rsid w:val="001F020D"/>
    <w:rsid w:val="001F1EF4"/>
    <w:rsid w:val="001F59B8"/>
    <w:rsid w:val="001F60D0"/>
    <w:rsid w:val="001F78E0"/>
    <w:rsid w:val="002043BC"/>
    <w:rsid w:val="0021057B"/>
    <w:rsid w:val="002164CE"/>
    <w:rsid w:val="002174A5"/>
    <w:rsid w:val="0022087E"/>
    <w:rsid w:val="00220DC2"/>
    <w:rsid w:val="00225524"/>
    <w:rsid w:val="00235B59"/>
    <w:rsid w:val="0024486E"/>
    <w:rsid w:val="00244C20"/>
    <w:rsid w:val="00254FA9"/>
    <w:rsid w:val="00262880"/>
    <w:rsid w:val="00270890"/>
    <w:rsid w:val="0028041B"/>
    <w:rsid w:val="00280BDE"/>
    <w:rsid w:val="0028672F"/>
    <w:rsid w:val="00286734"/>
    <w:rsid w:val="0029305F"/>
    <w:rsid w:val="00295012"/>
    <w:rsid w:val="0029718B"/>
    <w:rsid w:val="00297443"/>
    <w:rsid w:val="002A03C6"/>
    <w:rsid w:val="002A09E3"/>
    <w:rsid w:val="002A602F"/>
    <w:rsid w:val="002A6CF8"/>
    <w:rsid w:val="002A6F7E"/>
    <w:rsid w:val="002B2996"/>
    <w:rsid w:val="002B6875"/>
    <w:rsid w:val="002C1E6A"/>
    <w:rsid w:val="002C271F"/>
    <w:rsid w:val="002C7BAB"/>
    <w:rsid w:val="002C7CC9"/>
    <w:rsid w:val="002E0FEB"/>
    <w:rsid w:val="002E3EBB"/>
    <w:rsid w:val="002E4A5F"/>
    <w:rsid w:val="002E54F4"/>
    <w:rsid w:val="002F38EB"/>
    <w:rsid w:val="00307909"/>
    <w:rsid w:val="00307FF9"/>
    <w:rsid w:val="00324345"/>
    <w:rsid w:val="00343734"/>
    <w:rsid w:val="00346BE6"/>
    <w:rsid w:val="00356B34"/>
    <w:rsid w:val="00365BEC"/>
    <w:rsid w:val="00366088"/>
    <w:rsid w:val="003663C5"/>
    <w:rsid w:val="00370488"/>
    <w:rsid w:val="00371E1C"/>
    <w:rsid w:val="00372DE1"/>
    <w:rsid w:val="00373788"/>
    <w:rsid w:val="00374655"/>
    <w:rsid w:val="00376A8B"/>
    <w:rsid w:val="00377EE4"/>
    <w:rsid w:val="00383EE1"/>
    <w:rsid w:val="0039132E"/>
    <w:rsid w:val="00391448"/>
    <w:rsid w:val="003935D7"/>
    <w:rsid w:val="00395D5A"/>
    <w:rsid w:val="003A3371"/>
    <w:rsid w:val="003B0176"/>
    <w:rsid w:val="003B042B"/>
    <w:rsid w:val="003B3C14"/>
    <w:rsid w:val="003B432A"/>
    <w:rsid w:val="003D3FB5"/>
    <w:rsid w:val="003E2511"/>
    <w:rsid w:val="003E5C67"/>
    <w:rsid w:val="003E7D17"/>
    <w:rsid w:val="003F540F"/>
    <w:rsid w:val="003F591E"/>
    <w:rsid w:val="00400D50"/>
    <w:rsid w:val="00414F82"/>
    <w:rsid w:val="00422165"/>
    <w:rsid w:val="004274AD"/>
    <w:rsid w:val="00430FC5"/>
    <w:rsid w:val="004363F4"/>
    <w:rsid w:val="00440D78"/>
    <w:rsid w:val="00441847"/>
    <w:rsid w:val="00443CC0"/>
    <w:rsid w:val="004445BE"/>
    <w:rsid w:val="0044637B"/>
    <w:rsid w:val="00447066"/>
    <w:rsid w:val="004522A1"/>
    <w:rsid w:val="004535E5"/>
    <w:rsid w:val="00456EDA"/>
    <w:rsid w:val="00457F2D"/>
    <w:rsid w:val="004641F1"/>
    <w:rsid w:val="00467238"/>
    <w:rsid w:val="00472C1C"/>
    <w:rsid w:val="0047414E"/>
    <w:rsid w:val="00476AD9"/>
    <w:rsid w:val="00480163"/>
    <w:rsid w:val="00485DDD"/>
    <w:rsid w:val="00486E73"/>
    <w:rsid w:val="0049517B"/>
    <w:rsid w:val="00495BF6"/>
    <w:rsid w:val="00497C1C"/>
    <w:rsid w:val="004A33E2"/>
    <w:rsid w:val="004B1792"/>
    <w:rsid w:val="004B5E6D"/>
    <w:rsid w:val="004C79B1"/>
    <w:rsid w:val="004C7D7C"/>
    <w:rsid w:val="004D09DA"/>
    <w:rsid w:val="004D1FC7"/>
    <w:rsid w:val="004D7AA4"/>
    <w:rsid w:val="004D7E20"/>
    <w:rsid w:val="004E4BD7"/>
    <w:rsid w:val="004E6A7D"/>
    <w:rsid w:val="004E78D9"/>
    <w:rsid w:val="004F3640"/>
    <w:rsid w:val="004F4F76"/>
    <w:rsid w:val="004F57C8"/>
    <w:rsid w:val="0050063A"/>
    <w:rsid w:val="00505576"/>
    <w:rsid w:val="00505B63"/>
    <w:rsid w:val="005071BF"/>
    <w:rsid w:val="00515277"/>
    <w:rsid w:val="005157B4"/>
    <w:rsid w:val="00521E39"/>
    <w:rsid w:val="00527028"/>
    <w:rsid w:val="00527797"/>
    <w:rsid w:val="0053074E"/>
    <w:rsid w:val="00532ECC"/>
    <w:rsid w:val="00555259"/>
    <w:rsid w:val="00560966"/>
    <w:rsid w:val="005610B3"/>
    <w:rsid w:val="005654B6"/>
    <w:rsid w:val="00565712"/>
    <w:rsid w:val="00572EEF"/>
    <w:rsid w:val="00586DB4"/>
    <w:rsid w:val="0058728B"/>
    <w:rsid w:val="0059613A"/>
    <w:rsid w:val="0059704F"/>
    <w:rsid w:val="005B00BF"/>
    <w:rsid w:val="005B5105"/>
    <w:rsid w:val="005B6DD7"/>
    <w:rsid w:val="005C495D"/>
    <w:rsid w:val="005C7AB8"/>
    <w:rsid w:val="005D1239"/>
    <w:rsid w:val="005D3AE5"/>
    <w:rsid w:val="005D7725"/>
    <w:rsid w:val="005D7754"/>
    <w:rsid w:val="005D7AD3"/>
    <w:rsid w:val="005E0AB3"/>
    <w:rsid w:val="005E171F"/>
    <w:rsid w:val="005E2990"/>
    <w:rsid w:val="005E31F8"/>
    <w:rsid w:val="006041F7"/>
    <w:rsid w:val="00604CFD"/>
    <w:rsid w:val="00611D2E"/>
    <w:rsid w:val="00612C92"/>
    <w:rsid w:val="0061318A"/>
    <w:rsid w:val="0063197D"/>
    <w:rsid w:val="006353A7"/>
    <w:rsid w:val="00636FB8"/>
    <w:rsid w:val="00640FB9"/>
    <w:rsid w:val="00643290"/>
    <w:rsid w:val="00656AED"/>
    <w:rsid w:val="0065730C"/>
    <w:rsid w:val="00657CD8"/>
    <w:rsid w:val="006621E5"/>
    <w:rsid w:val="00670B0B"/>
    <w:rsid w:val="00672B10"/>
    <w:rsid w:val="00680BBF"/>
    <w:rsid w:val="006821E5"/>
    <w:rsid w:val="00687335"/>
    <w:rsid w:val="00692798"/>
    <w:rsid w:val="00693046"/>
    <w:rsid w:val="006930B6"/>
    <w:rsid w:val="00694087"/>
    <w:rsid w:val="006B4181"/>
    <w:rsid w:val="006B588D"/>
    <w:rsid w:val="006F716D"/>
    <w:rsid w:val="00700C8D"/>
    <w:rsid w:val="00704CA5"/>
    <w:rsid w:val="00707021"/>
    <w:rsid w:val="00707DB9"/>
    <w:rsid w:val="00712581"/>
    <w:rsid w:val="00713ACC"/>
    <w:rsid w:val="00713E90"/>
    <w:rsid w:val="00722D15"/>
    <w:rsid w:val="00724059"/>
    <w:rsid w:val="00725138"/>
    <w:rsid w:val="00725612"/>
    <w:rsid w:val="00726BA2"/>
    <w:rsid w:val="00727BCB"/>
    <w:rsid w:val="00735862"/>
    <w:rsid w:val="00742207"/>
    <w:rsid w:val="00750BAE"/>
    <w:rsid w:val="007558B9"/>
    <w:rsid w:val="00762145"/>
    <w:rsid w:val="00771094"/>
    <w:rsid w:val="007809B9"/>
    <w:rsid w:val="00781240"/>
    <w:rsid w:val="007816E8"/>
    <w:rsid w:val="0078493E"/>
    <w:rsid w:val="00785C7E"/>
    <w:rsid w:val="00790412"/>
    <w:rsid w:val="00791E10"/>
    <w:rsid w:val="0079223C"/>
    <w:rsid w:val="007925FA"/>
    <w:rsid w:val="0079387D"/>
    <w:rsid w:val="0079550B"/>
    <w:rsid w:val="00796F14"/>
    <w:rsid w:val="007A274B"/>
    <w:rsid w:val="007A313C"/>
    <w:rsid w:val="007A7829"/>
    <w:rsid w:val="007B1FF1"/>
    <w:rsid w:val="007C290A"/>
    <w:rsid w:val="007D4986"/>
    <w:rsid w:val="007D4D5C"/>
    <w:rsid w:val="007D611D"/>
    <w:rsid w:val="007E22B2"/>
    <w:rsid w:val="007E7B3C"/>
    <w:rsid w:val="007E7D5B"/>
    <w:rsid w:val="007F0660"/>
    <w:rsid w:val="007F65B7"/>
    <w:rsid w:val="008025DA"/>
    <w:rsid w:val="008100B7"/>
    <w:rsid w:val="00812E13"/>
    <w:rsid w:val="00813C0A"/>
    <w:rsid w:val="00817FE6"/>
    <w:rsid w:val="00820F7A"/>
    <w:rsid w:val="008217B5"/>
    <w:rsid w:val="00824453"/>
    <w:rsid w:val="00827C2F"/>
    <w:rsid w:val="00831240"/>
    <w:rsid w:val="008330ED"/>
    <w:rsid w:val="00836359"/>
    <w:rsid w:val="008370B2"/>
    <w:rsid w:val="00840A20"/>
    <w:rsid w:val="00841B88"/>
    <w:rsid w:val="0084399C"/>
    <w:rsid w:val="00851F49"/>
    <w:rsid w:val="008523E2"/>
    <w:rsid w:val="00855845"/>
    <w:rsid w:val="00855BB2"/>
    <w:rsid w:val="00857D69"/>
    <w:rsid w:val="00863C52"/>
    <w:rsid w:val="00864539"/>
    <w:rsid w:val="00885087"/>
    <w:rsid w:val="0088531E"/>
    <w:rsid w:val="008918C9"/>
    <w:rsid w:val="008927FA"/>
    <w:rsid w:val="0089546D"/>
    <w:rsid w:val="00897EBE"/>
    <w:rsid w:val="008A2873"/>
    <w:rsid w:val="008A35DA"/>
    <w:rsid w:val="008A3AFA"/>
    <w:rsid w:val="008A4F9E"/>
    <w:rsid w:val="008A58D1"/>
    <w:rsid w:val="008A6A11"/>
    <w:rsid w:val="008B5FCC"/>
    <w:rsid w:val="008C2D92"/>
    <w:rsid w:val="008E2C95"/>
    <w:rsid w:val="008E4217"/>
    <w:rsid w:val="008E6534"/>
    <w:rsid w:val="008E711B"/>
    <w:rsid w:val="008F1956"/>
    <w:rsid w:val="008F4EAC"/>
    <w:rsid w:val="00902089"/>
    <w:rsid w:val="0090780B"/>
    <w:rsid w:val="00916409"/>
    <w:rsid w:val="00917B86"/>
    <w:rsid w:val="00922CE2"/>
    <w:rsid w:val="00923142"/>
    <w:rsid w:val="00931153"/>
    <w:rsid w:val="009330A2"/>
    <w:rsid w:val="00937E9E"/>
    <w:rsid w:val="00940B10"/>
    <w:rsid w:val="009458A8"/>
    <w:rsid w:val="00951375"/>
    <w:rsid w:val="0095602A"/>
    <w:rsid w:val="0096456D"/>
    <w:rsid w:val="00974EF0"/>
    <w:rsid w:val="0098060C"/>
    <w:rsid w:val="0098201D"/>
    <w:rsid w:val="00983E83"/>
    <w:rsid w:val="00984F02"/>
    <w:rsid w:val="00987DD3"/>
    <w:rsid w:val="009924C4"/>
    <w:rsid w:val="009A327B"/>
    <w:rsid w:val="009A4314"/>
    <w:rsid w:val="009A4E5D"/>
    <w:rsid w:val="009A56BB"/>
    <w:rsid w:val="009A5847"/>
    <w:rsid w:val="009A619F"/>
    <w:rsid w:val="009B2563"/>
    <w:rsid w:val="009B6055"/>
    <w:rsid w:val="009C01D9"/>
    <w:rsid w:val="009C2C50"/>
    <w:rsid w:val="009C65A4"/>
    <w:rsid w:val="009D49F0"/>
    <w:rsid w:val="009E235D"/>
    <w:rsid w:val="009E34BB"/>
    <w:rsid w:val="009E58E2"/>
    <w:rsid w:val="009E681C"/>
    <w:rsid w:val="009F077D"/>
    <w:rsid w:val="009F4248"/>
    <w:rsid w:val="009F5379"/>
    <w:rsid w:val="00A007B1"/>
    <w:rsid w:val="00A01245"/>
    <w:rsid w:val="00A023D2"/>
    <w:rsid w:val="00A1009D"/>
    <w:rsid w:val="00A10D30"/>
    <w:rsid w:val="00A1268D"/>
    <w:rsid w:val="00A13CB4"/>
    <w:rsid w:val="00A14443"/>
    <w:rsid w:val="00A15F29"/>
    <w:rsid w:val="00A16C13"/>
    <w:rsid w:val="00A20C27"/>
    <w:rsid w:val="00A256A1"/>
    <w:rsid w:val="00A25AAD"/>
    <w:rsid w:val="00A3047A"/>
    <w:rsid w:val="00A36D27"/>
    <w:rsid w:val="00A41561"/>
    <w:rsid w:val="00A43E80"/>
    <w:rsid w:val="00A536BE"/>
    <w:rsid w:val="00A65594"/>
    <w:rsid w:val="00A76226"/>
    <w:rsid w:val="00A90FE1"/>
    <w:rsid w:val="00A9169B"/>
    <w:rsid w:val="00A95C9A"/>
    <w:rsid w:val="00AA1A13"/>
    <w:rsid w:val="00AB22E8"/>
    <w:rsid w:val="00AB2A16"/>
    <w:rsid w:val="00AB4D35"/>
    <w:rsid w:val="00AC02DF"/>
    <w:rsid w:val="00AD1CA2"/>
    <w:rsid w:val="00AD1CDB"/>
    <w:rsid w:val="00AE0188"/>
    <w:rsid w:val="00AE4720"/>
    <w:rsid w:val="00AE4911"/>
    <w:rsid w:val="00AF2F95"/>
    <w:rsid w:val="00AF4573"/>
    <w:rsid w:val="00AF5033"/>
    <w:rsid w:val="00AF62A5"/>
    <w:rsid w:val="00B01DA0"/>
    <w:rsid w:val="00B044C2"/>
    <w:rsid w:val="00B13DE7"/>
    <w:rsid w:val="00B147E4"/>
    <w:rsid w:val="00B209ED"/>
    <w:rsid w:val="00B213AD"/>
    <w:rsid w:val="00B260C4"/>
    <w:rsid w:val="00B26D25"/>
    <w:rsid w:val="00B30671"/>
    <w:rsid w:val="00B333D0"/>
    <w:rsid w:val="00B4178E"/>
    <w:rsid w:val="00B43997"/>
    <w:rsid w:val="00B47C25"/>
    <w:rsid w:val="00B53884"/>
    <w:rsid w:val="00B60C19"/>
    <w:rsid w:val="00B71E9D"/>
    <w:rsid w:val="00B7451E"/>
    <w:rsid w:val="00B812F1"/>
    <w:rsid w:val="00B81F0F"/>
    <w:rsid w:val="00B82213"/>
    <w:rsid w:val="00B82781"/>
    <w:rsid w:val="00B8447A"/>
    <w:rsid w:val="00B84C8F"/>
    <w:rsid w:val="00B866C7"/>
    <w:rsid w:val="00B91898"/>
    <w:rsid w:val="00B924FC"/>
    <w:rsid w:val="00B96A90"/>
    <w:rsid w:val="00B97AEA"/>
    <w:rsid w:val="00BB4187"/>
    <w:rsid w:val="00BB61A5"/>
    <w:rsid w:val="00BB74F1"/>
    <w:rsid w:val="00BC0B64"/>
    <w:rsid w:val="00BC137E"/>
    <w:rsid w:val="00BC1F1E"/>
    <w:rsid w:val="00BD1E3B"/>
    <w:rsid w:val="00BD3616"/>
    <w:rsid w:val="00BD7424"/>
    <w:rsid w:val="00BE0D9A"/>
    <w:rsid w:val="00BE1736"/>
    <w:rsid w:val="00BE2C7A"/>
    <w:rsid w:val="00BF0C59"/>
    <w:rsid w:val="00BF25C6"/>
    <w:rsid w:val="00BF65A0"/>
    <w:rsid w:val="00C03A90"/>
    <w:rsid w:val="00C0453D"/>
    <w:rsid w:val="00C04EA2"/>
    <w:rsid w:val="00C07B6D"/>
    <w:rsid w:val="00C11B26"/>
    <w:rsid w:val="00C12FC2"/>
    <w:rsid w:val="00C3122D"/>
    <w:rsid w:val="00C31467"/>
    <w:rsid w:val="00C45D0D"/>
    <w:rsid w:val="00C4738D"/>
    <w:rsid w:val="00C4740A"/>
    <w:rsid w:val="00C51607"/>
    <w:rsid w:val="00C53AF2"/>
    <w:rsid w:val="00C55326"/>
    <w:rsid w:val="00C6567D"/>
    <w:rsid w:val="00C65695"/>
    <w:rsid w:val="00C76D42"/>
    <w:rsid w:val="00C7775F"/>
    <w:rsid w:val="00C80669"/>
    <w:rsid w:val="00C90321"/>
    <w:rsid w:val="00C95418"/>
    <w:rsid w:val="00C9744B"/>
    <w:rsid w:val="00CB1D60"/>
    <w:rsid w:val="00CB5F91"/>
    <w:rsid w:val="00CC27C3"/>
    <w:rsid w:val="00CC73E1"/>
    <w:rsid w:val="00CD132C"/>
    <w:rsid w:val="00CD6DAE"/>
    <w:rsid w:val="00CE1449"/>
    <w:rsid w:val="00CE4ABC"/>
    <w:rsid w:val="00CF1385"/>
    <w:rsid w:val="00CF20A1"/>
    <w:rsid w:val="00CF3DED"/>
    <w:rsid w:val="00CF3FCD"/>
    <w:rsid w:val="00D0059E"/>
    <w:rsid w:val="00D0502A"/>
    <w:rsid w:val="00D050BB"/>
    <w:rsid w:val="00D052ED"/>
    <w:rsid w:val="00D05924"/>
    <w:rsid w:val="00D10838"/>
    <w:rsid w:val="00D11D24"/>
    <w:rsid w:val="00D1524F"/>
    <w:rsid w:val="00D209C0"/>
    <w:rsid w:val="00D22DC2"/>
    <w:rsid w:val="00D2553E"/>
    <w:rsid w:val="00D310B0"/>
    <w:rsid w:val="00D31E45"/>
    <w:rsid w:val="00D35365"/>
    <w:rsid w:val="00D35BB8"/>
    <w:rsid w:val="00D372C3"/>
    <w:rsid w:val="00D42324"/>
    <w:rsid w:val="00D42A8F"/>
    <w:rsid w:val="00D46F84"/>
    <w:rsid w:val="00D503B0"/>
    <w:rsid w:val="00D5560A"/>
    <w:rsid w:val="00D57749"/>
    <w:rsid w:val="00D57B60"/>
    <w:rsid w:val="00D646BA"/>
    <w:rsid w:val="00D772FD"/>
    <w:rsid w:val="00D77F7F"/>
    <w:rsid w:val="00D80DB7"/>
    <w:rsid w:val="00D8209A"/>
    <w:rsid w:val="00D82874"/>
    <w:rsid w:val="00D82F05"/>
    <w:rsid w:val="00D84C9B"/>
    <w:rsid w:val="00D8588E"/>
    <w:rsid w:val="00D86B5E"/>
    <w:rsid w:val="00D86D75"/>
    <w:rsid w:val="00D91F37"/>
    <w:rsid w:val="00D924CF"/>
    <w:rsid w:val="00D93201"/>
    <w:rsid w:val="00D9621D"/>
    <w:rsid w:val="00DA6209"/>
    <w:rsid w:val="00DA76A1"/>
    <w:rsid w:val="00DB052E"/>
    <w:rsid w:val="00DC21C3"/>
    <w:rsid w:val="00DC41BB"/>
    <w:rsid w:val="00DD6792"/>
    <w:rsid w:val="00DD7767"/>
    <w:rsid w:val="00DE533D"/>
    <w:rsid w:val="00DE5E35"/>
    <w:rsid w:val="00DE7A12"/>
    <w:rsid w:val="00DF2979"/>
    <w:rsid w:val="00DF34EC"/>
    <w:rsid w:val="00DF4A16"/>
    <w:rsid w:val="00E07D70"/>
    <w:rsid w:val="00E10B11"/>
    <w:rsid w:val="00E11704"/>
    <w:rsid w:val="00E15980"/>
    <w:rsid w:val="00E16ABF"/>
    <w:rsid w:val="00E23946"/>
    <w:rsid w:val="00E26C07"/>
    <w:rsid w:val="00E30ACA"/>
    <w:rsid w:val="00E30C50"/>
    <w:rsid w:val="00E313B5"/>
    <w:rsid w:val="00E34725"/>
    <w:rsid w:val="00E356CF"/>
    <w:rsid w:val="00E50621"/>
    <w:rsid w:val="00E55C0E"/>
    <w:rsid w:val="00E5754F"/>
    <w:rsid w:val="00E63063"/>
    <w:rsid w:val="00E675F3"/>
    <w:rsid w:val="00E71778"/>
    <w:rsid w:val="00E86085"/>
    <w:rsid w:val="00E90A8C"/>
    <w:rsid w:val="00E95305"/>
    <w:rsid w:val="00E97313"/>
    <w:rsid w:val="00EB1789"/>
    <w:rsid w:val="00EB3691"/>
    <w:rsid w:val="00EB40EC"/>
    <w:rsid w:val="00EC0FC8"/>
    <w:rsid w:val="00EC1374"/>
    <w:rsid w:val="00EC31DE"/>
    <w:rsid w:val="00EC6896"/>
    <w:rsid w:val="00ED2116"/>
    <w:rsid w:val="00ED5FE5"/>
    <w:rsid w:val="00EE119E"/>
    <w:rsid w:val="00EE3008"/>
    <w:rsid w:val="00EE7F79"/>
    <w:rsid w:val="00EF0A63"/>
    <w:rsid w:val="00EF4033"/>
    <w:rsid w:val="00EF58B3"/>
    <w:rsid w:val="00F011AB"/>
    <w:rsid w:val="00F0608F"/>
    <w:rsid w:val="00F0672E"/>
    <w:rsid w:val="00F06EAC"/>
    <w:rsid w:val="00F13E5C"/>
    <w:rsid w:val="00F21A29"/>
    <w:rsid w:val="00F248D0"/>
    <w:rsid w:val="00F263F1"/>
    <w:rsid w:val="00F32BD3"/>
    <w:rsid w:val="00F338F5"/>
    <w:rsid w:val="00F4070E"/>
    <w:rsid w:val="00F40DF7"/>
    <w:rsid w:val="00F435F5"/>
    <w:rsid w:val="00F55101"/>
    <w:rsid w:val="00F629EF"/>
    <w:rsid w:val="00F62FBE"/>
    <w:rsid w:val="00F668F4"/>
    <w:rsid w:val="00F7414D"/>
    <w:rsid w:val="00F769B4"/>
    <w:rsid w:val="00F80038"/>
    <w:rsid w:val="00F80DAF"/>
    <w:rsid w:val="00F95E47"/>
    <w:rsid w:val="00F95F69"/>
    <w:rsid w:val="00F9731A"/>
    <w:rsid w:val="00F97449"/>
    <w:rsid w:val="00FA52E3"/>
    <w:rsid w:val="00FB333F"/>
    <w:rsid w:val="00FC2FA2"/>
    <w:rsid w:val="00FD67EE"/>
    <w:rsid w:val="00FD7E00"/>
    <w:rsid w:val="00FE1A5A"/>
    <w:rsid w:val="00FE53FD"/>
    <w:rsid w:val="00FF05A4"/>
    <w:rsid w:val="00FF05F6"/>
    <w:rsid w:val="00FF2C3A"/>
    <w:rsid w:val="00FF4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018F22DC"/>
  <w15:docId w15:val="{C6C09FB0-31F9-4DCA-94F0-03554D1B8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styleId="BodyText">
    <w:name w:val="Body Text"/>
    <w:basedOn w:val="Normal"/>
    <w:link w:val="BodyTextChar"/>
    <w:uiPriority w:val="1"/>
    <w:qFormat/>
    <w:rsid w:val="00376A8B"/>
    <w:pPr>
      <w:widowControl w:val="0"/>
      <w:adjustRightInd/>
    </w:pPr>
    <w:rPr>
      <w:rFonts w:ascii="Times New Roman" w:hAnsi="Times New Roman"/>
      <w:sz w:val="24"/>
    </w:rPr>
  </w:style>
  <w:style w:type="character" w:customStyle="1" w:styleId="BodyTextChar">
    <w:name w:val="Body Text Char"/>
    <w:basedOn w:val="DefaultParagraphFont"/>
    <w:link w:val="BodyText"/>
    <w:uiPriority w:val="1"/>
    <w:rsid w:val="00376A8B"/>
    <w:rPr>
      <w:rFonts w:ascii="Times New Roman" w:hAnsi="Times New Roman"/>
      <w:sz w:val="24"/>
      <w:szCs w:val="24"/>
    </w:rPr>
  </w:style>
  <w:style w:type="paragraph" w:styleId="ListParagraph">
    <w:name w:val="List Paragraph"/>
    <w:basedOn w:val="Normal"/>
    <w:uiPriority w:val="34"/>
    <w:qFormat/>
    <w:rsid w:val="00376A8B"/>
    <w:pPr>
      <w:widowControl w:val="0"/>
      <w:adjustRightInd/>
      <w:ind w:left="700" w:hanging="361"/>
    </w:pPr>
    <w:rPr>
      <w:rFonts w:ascii="Times New Roman" w:hAnsi="Times New Roman"/>
      <w:sz w:val="22"/>
      <w:szCs w:val="22"/>
    </w:rPr>
  </w:style>
  <w:style w:type="character" w:styleId="Hyperlink">
    <w:name w:val="Hyperlink"/>
    <w:basedOn w:val="DefaultParagraphFont"/>
    <w:unhideWhenUsed/>
    <w:rsid w:val="00D82F05"/>
    <w:rPr>
      <w:color w:val="0000FF" w:themeColor="hyperlink"/>
      <w:u w:val="single"/>
    </w:rPr>
  </w:style>
  <w:style w:type="character" w:styleId="UnresolvedMention">
    <w:name w:val="Unresolved Mention"/>
    <w:basedOn w:val="DefaultParagraphFont"/>
    <w:uiPriority w:val="99"/>
    <w:semiHidden/>
    <w:unhideWhenUsed/>
    <w:rsid w:val="00D82F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926866">
      <w:bodyDiv w:val="1"/>
      <w:marLeft w:val="0"/>
      <w:marRight w:val="0"/>
      <w:marTop w:val="0"/>
      <w:marBottom w:val="0"/>
      <w:divBdr>
        <w:top w:val="none" w:sz="0" w:space="0" w:color="auto"/>
        <w:left w:val="none" w:sz="0" w:space="0" w:color="auto"/>
        <w:bottom w:val="none" w:sz="0" w:space="0" w:color="auto"/>
        <w:right w:val="none" w:sz="0" w:space="0" w:color="auto"/>
      </w:divBdr>
    </w:div>
    <w:div w:id="220093396">
      <w:bodyDiv w:val="1"/>
      <w:marLeft w:val="0"/>
      <w:marRight w:val="0"/>
      <w:marTop w:val="0"/>
      <w:marBottom w:val="0"/>
      <w:divBdr>
        <w:top w:val="none" w:sz="0" w:space="0" w:color="auto"/>
        <w:left w:val="none" w:sz="0" w:space="0" w:color="auto"/>
        <w:bottom w:val="none" w:sz="0" w:space="0" w:color="auto"/>
        <w:right w:val="none" w:sz="0" w:space="0" w:color="auto"/>
      </w:divBdr>
    </w:div>
    <w:div w:id="1231619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s://records.tceq.texas.gov/cs/idcplg?IdcService=TCEQ_SEARCH"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file:///X:\graphics\\electSign\Sshort.jpg" TargetMode="Externa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58E803282349408D7BA9D93F5BAE02" ma:contentTypeVersion="16" ma:contentTypeDescription="Create a new document." ma:contentTypeScope="" ma:versionID="22b3072ece4b307e97bb49fd92b8d9c1">
  <xsd:schema xmlns:xsd="http://www.w3.org/2001/XMLSchema" xmlns:xs="http://www.w3.org/2001/XMLSchema" xmlns:p="http://schemas.microsoft.com/office/2006/metadata/properties" xmlns:ns1="http://schemas.microsoft.com/sharepoint/v3" xmlns:ns2="99f20e8d-72cb-4a6d-a06b-d0a9d9466ea7" xmlns:ns3="1d5300c2-f757-49bd-abfa-ee99c3934829" targetNamespace="http://schemas.microsoft.com/office/2006/metadata/properties" ma:root="true" ma:fieldsID="1bfa26241718079fdc948949a389d60a" ns1:_="" ns2:_="" ns3:_="">
    <xsd:import namespace="http://schemas.microsoft.com/sharepoint/v3"/>
    <xsd:import namespace="99f20e8d-72cb-4a6d-a06b-d0a9d9466ea7"/>
    <xsd:import namespace="1d5300c2-f757-49bd-abfa-ee99c393482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ObjectDetectorVersions"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SearchProperties" minOccurs="0"/>
                <xsd:element ref="ns2:MediaServiceOCR"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f20e8d-72cb-4a6d-a06b-d0a9d9466e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5300c2-f757-49bd-abfa-ee99c3934829"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4e8e0972-4665-4f12-bc19-739219d7aa78}" ma:internalName="TaxCatchAll" ma:showField="CatchAllData" ma:web="1d5300c2-f757-49bd-abfa-ee99c393482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99f20e8d-72cb-4a6d-a06b-d0a9d9466ea7">
      <Terms xmlns="http://schemas.microsoft.com/office/infopath/2007/PartnerControls"/>
    </lcf76f155ced4ddcb4097134ff3c332f>
    <TaxCatchAll xmlns="1d5300c2-f757-49bd-abfa-ee99c3934829" xsi:nil="true"/>
  </documentManagement>
</p:properties>
</file>

<file path=customXml/itemProps1.xml><?xml version="1.0" encoding="utf-8"?>
<ds:datastoreItem xmlns:ds="http://schemas.openxmlformats.org/officeDocument/2006/customXml" ds:itemID="{A3A60FCE-48E9-4446-AA7F-1975A2A6EFAF}">
  <ds:schemaRefs>
    <ds:schemaRef ds:uri="http://schemas.microsoft.com/sharepoint/v3/contenttype/forms"/>
  </ds:schemaRefs>
</ds:datastoreItem>
</file>

<file path=customXml/itemProps2.xml><?xml version="1.0" encoding="utf-8"?>
<ds:datastoreItem xmlns:ds="http://schemas.openxmlformats.org/officeDocument/2006/customXml" ds:itemID="{09E0DA99-0A92-4355-8BA0-85E59C6CD4B0}"/>
</file>

<file path=customXml/itemProps3.xml><?xml version="1.0" encoding="utf-8"?>
<ds:datastoreItem xmlns:ds="http://schemas.openxmlformats.org/officeDocument/2006/customXml" ds:itemID="{D0B28758-F640-47C3-B1E0-CBC16751B6A3}">
  <ds:schemaRefs>
    <ds:schemaRef ds:uri="http://purl.org/dc/dcmitype/"/>
    <ds:schemaRef ds:uri="http://schemas.microsoft.com/office/2006/metadata/properties"/>
    <ds:schemaRef ds:uri="http://www.w3.org/XML/1998/namespace"/>
    <ds:schemaRef ds:uri="http://schemas.microsoft.com/office/2006/documentManagement/types"/>
    <ds:schemaRef ds:uri="23c6065e-b122-409b-aaed-872e9b234693"/>
    <ds:schemaRef ds:uri="http://purl.org/dc/elements/1.1/"/>
    <ds:schemaRef ds:uri="b4135730-275c-4299-bb14-583e32aecb6b"/>
    <ds:schemaRef ds:uri="http://schemas.microsoft.com/office/infopath/2007/PartnerControls"/>
    <ds:schemaRef ds:uri="http://schemas.openxmlformats.org/package/2006/metadata/core-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3965</Words>
  <Characters>21518</Characters>
  <Application>Microsoft Office Word</Application>
  <DocSecurity>0</DocSecurity>
  <Lines>1655</Lines>
  <Paragraphs>1061</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24422</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Camilla Widenhofer</cp:lastModifiedBy>
  <cp:revision>3</cp:revision>
  <dcterms:created xsi:type="dcterms:W3CDTF">2024-02-21T13:56:00Z</dcterms:created>
  <dcterms:modified xsi:type="dcterms:W3CDTF">2024-02-21T13:59:00Z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0x0101004D2C814AD035B84CBE7593156C958631</vt:lpwstr>
  </property>
</Properties>
</file>