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1957E" w14:textId="3FBE6FCA" w:rsidR="00ED2116" w:rsidRPr="0058728B" w:rsidRDefault="00585AF3" w:rsidP="0065730C">
      <w:pPr>
        <w:jc w:val="right"/>
        <w:rPr>
          <w:lang w:val="en-CA"/>
        </w:rPr>
      </w:pPr>
      <w:r w:rsidRPr="001413EF">
        <w:rPr>
          <w:lang w:val="en-CA"/>
        </w:rPr>
        <w:t>November 30</w:t>
      </w:r>
      <w:r w:rsidR="00362252" w:rsidRPr="001413EF">
        <w:rPr>
          <w:lang w:val="en-CA"/>
        </w:rPr>
        <w:t>, 2022</w:t>
      </w:r>
    </w:p>
    <w:p w14:paraId="2F00F93D" w14:textId="77777777" w:rsidR="00286734" w:rsidRDefault="00286734" w:rsidP="00286734">
      <w:r>
        <w:t>MR JEFFREY ROBINSON</w:t>
      </w:r>
    </w:p>
    <w:p w14:paraId="5366534E" w14:textId="77777777" w:rsidR="00286734" w:rsidRDefault="00286734" w:rsidP="00286734">
      <w:r>
        <w:t>BRANCH CHIEF AIR PERMITS AND MONITORING</w:t>
      </w:r>
    </w:p>
    <w:p w14:paraId="1796AF61" w14:textId="77777777" w:rsidR="00286734" w:rsidRDefault="00286734" w:rsidP="00286734">
      <w:r>
        <w:t>US ENVIRONMENTAL PROTECTION AGENCY REGION 6</w:t>
      </w:r>
    </w:p>
    <w:p w14:paraId="0AD2E020" w14:textId="77777777" w:rsidR="00286734" w:rsidRDefault="00286734" w:rsidP="00286734">
      <w:r>
        <w:t>1201 ELM ST STE 500</w:t>
      </w:r>
    </w:p>
    <w:p w14:paraId="56ECF4D4" w14:textId="77777777" w:rsidR="002A602F" w:rsidRDefault="00286734" w:rsidP="00286734">
      <w:r>
        <w:t>DALLAS TX  75270</w:t>
      </w:r>
    </w:p>
    <w:p w14:paraId="5B79549C" w14:textId="77777777" w:rsidR="00286734" w:rsidRDefault="00286734" w:rsidP="00286734"/>
    <w:p w14:paraId="58AFDE94" w14:textId="77777777" w:rsidR="00BD7424" w:rsidRPr="00C04EA2" w:rsidRDefault="00BD7424" w:rsidP="0065730C"/>
    <w:p w14:paraId="6DFAC1E8"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47EDE1EF" w14:textId="11916161" w:rsidR="00C4738D" w:rsidRPr="00C04EA2" w:rsidRDefault="00AC61C0" w:rsidP="0065730C">
      <w:pPr>
        <w:ind w:left="446"/>
      </w:pPr>
      <w:r>
        <w:t xml:space="preserve">Minor </w:t>
      </w:r>
      <w:r w:rsidR="00362252">
        <w:t>Re</w:t>
      </w:r>
      <w:r>
        <w:t>vision</w:t>
      </w:r>
    </w:p>
    <w:p w14:paraId="0C016305" w14:textId="77777777" w:rsidR="00C4738D" w:rsidRPr="00C04EA2" w:rsidRDefault="00D35BB8" w:rsidP="0065730C">
      <w:pPr>
        <w:ind w:left="446"/>
      </w:pPr>
      <w:r w:rsidRPr="00C04EA2">
        <w:t xml:space="preserve">Permit Number:  </w:t>
      </w:r>
      <w:r w:rsidR="00362252">
        <w:t>O1498</w:t>
      </w:r>
    </w:p>
    <w:p w14:paraId="2C407E73" w14:textId="77777777" w:rsidR="00C4738D" w:rsidRPr="00C04EA2" w:rsidRDefault="00362252" w:rsidP="0065730C">
      <w:pPr>
        <w:ind w:left="446"/>
      </w:pPr>
      <w:r>
        <w:t>The Premcor Refining Group Inc.</w:t>
      </w:r>
    </w:p>
    <w:p w14:paraId="413FCE21" w14:textId="77777777" w:rsidR="00C4738D" w:rsidRPr="00C04EA2" w:rsidRDefault="00362252" w:rsidP="0065730C">
      <w:pPr>
        <w:ind w:left="446"/>
      </w:pPr>
      <w:r>
        <w:t>Valero Port Arthur Refinery</w:t>
      </w:r>
    </w:p>
    <w:p w14:paraId="47D3A559" w14:textId="77777777" w:rsidR="00C4738D" w:rsidRPr="00C04EA2" w:rsidRDefault="00362252" w:rsidP="0065730C">
      <w:pPr>
        <w:ind w:left="446"/>
      </w:pPr>
      <w:r>
        <w:t>Port Arthur, Jefferson County</w:t>
      </w:r>
    </w:p>
    <w:p w14:paraId="1D7B2D9D" w14:textId="77777777" w:rsidR="00C4738D" w:rsidRPr="00C04EA2" w:rsidRDefault="00C4738D" w:rsidP="0065730C">
      <w:pPr>
        <w:ind w:left="446"/>
      </w:pPr>
      <w:r w:rsidRPr="00C04EA2">
        <w:t xml:space="preserve">Regulated Entity Number:  </w:t>
      </w:r>
      <w:r w:rsidR="00362252">
        <w:t>RN102584026</w:t>
      </w:r>
    </w:p>
    <w:p w14:paraId="19919131" w14:textId="77777777" w:rsidR="00C4738D" w:rsidRPr="00C04EA2" w:rsidRDefault="00C4738D" w:rsidP="0065730C">
      <w:pPr>
        <w:ind w:left="446"/>
      </w:pPr>
      <w:r w:rsidRPr="00C04EA2">
        <w:t xml:space="preserve">Customer Reference Number:  </w:t>
      </w:r>
      <w:r w:rsidR="00362252">
        <w:t>CN601420748</w:t>
      </w:r>
    </w:p>
    <w:p w14:paraId="007BBE46" w14:textId="77777777" w:rsidR="00F263F1" w:rsidRPr="00C04EA2" w:rsidRDefault="00F263F1" w:rsidP="0065730C">
      <w:pPr>
        <w:ind w:left="450"/>
      </w:pPr>
    </w:p>
    <w:p w14:paraId="263F431F"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63FEBEDF" w14:textId="77777777" w:rsidR="00AE0188" w:rsidRPr="00C04EA2" w:rsidRDefault="00AE0188" w:rsidP="0065730C"/>
    <w:p w14:paraId="3EED68B6"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34D6DB4B" w14:textId="1EF844DF" w:rsidR="00EC6896" w:rsidRPr="00C04EA2" w:rsidRDefault="00EC6896" w:rsidP="0065730C">
      <w:r w:rsidRPr="00C04EA2">
        <w:t xml:space="preserve">On </w:t>
      </w:r>
      <w:r w:rsidR="00362252">
        <w:t>November 30, 2021</w:t>
      </w:r>
      <w:r w:rsidR="00984F02">
        <w:t>,</w:t>
      </w:r>
      <w:r w:rsidRPr="00C04EA2">
        <w:t xml:space="preserve"> the U.S. Environmental Pr</w:t>
      </w:r>
      <w:r w:rsidR="00F629EF">
        <w:t>otection Agency (EPA) Region 6 O</w:t>
      </w:r>
      <w:r w:rsidRPr="00C04EA2">
        <w:t xml:space="preserve">ffice signed a letter identifying objections </w:t>
      </w:r>
      <w:r w:rsidR="00FE47DE" w:rsidRPr="00C04EA2">
        <w:t>to federal operating permit</w:t>
      </w:r>
      <w:r w:rsidR="00FE47DE">
        <w:t xml:space="preserve"> O1498</w:t>
      </w:r>
      <w:r w:rsidR="00FE47DE" w:rsidRPr="00C04EA2">
        <w:t xml:space="preserve"> for the above referenced site</w:t>
      </w:r>
      <w:r w:rsidR="00FE47DE">
        <w:t xml:space="preserve"> in response to a petition filed on </w:t>
      </w:r>
      <w:r w:rsidR="00161DBF">
        <w:t>February 20, 2018</w:t>
      </w:r>
      <w:r w:rsidRPr="00C04EA2">
        <w:t xml:space="preserve">. </w:t>
      </w:r>
      <w:r w:rsidR="00161DBF" w:rsidRPr="00C04EA2">
        <w:t>In</w:t>
      </w:r>
      <w:r w:rsidR="00161DBF">
        <w:t xml:space="preserve"> accordance with Title </w:t>
      </w:r>
      <w:r w:rsidR="00161DBF" w:rsidRPr="00C04EA2">
        <w:t>30 Texas Administrative Code</w:t>
      </w:r>
      <w:r w:rsidR="00161DBF">
        <w:t xml:space="preserve"> </w:t>
      </w:r>
      <w:r w:rsidR="00161DBF" w:rsidRPr="00C04EA2">
        <w:rPr>
          <w:bCs/>
        </w:rPr>
        <w:t>§</w:t>
      </w:r>
      <w:r w:rsidR="00161DBF">
        <w:rPr>
          <w:bCs/>
        </w:rPr>
        <w:t> </w:t>
      </w:r>
      <w:r w:rsidR="00161DBF" w:rsidRPr="00C04EA2">
        <w:rPr>
          <w:bCs/>
        </w:rPr>
        <w:t>122.3</w:t>
      </w:r>
      <w:r w:rsidR="00161DBF">
        <w:rPr>
          <w:bCs/>
        </w:rPr>
        <w:t>6</w:t>
      </w:r>
      <w:r w:rsidR="00161DBF" w:rsidRPr="00C04EA2">
        <w:rPr>
          <w:bCs/>
        </w:rPr>
        <w:t>0</w:t>
      </w:r>
      <w:r w:rsidR="00161DBF">
        <w:rPr>
          <w:bCs/>
        </w:rPr>
        <w:t xml:space="preserve"> </w:t>
      </w:r>
      <w:r w:rsidR="00161DBF" w:rsidRPr="00EE119E">
        <w:rPr>
          <w:bCs/>
        </w:rPr>
        <w:t>(30 TAC § 122.3</w:t>
      </w:r>
      <w:r w:rsidR="00161DBF">
        <w:rPr>
          <w:bCs/>
        </w:rPr>
        <w:t>6</w:t>
      </w:r>
      <w:r w:rsidR="00161DBF" w:rsidRPr="00EE119E">
        <w:rPr>
          <w:bCs/>
        </w:rPr>
        <w:t>0)</w:t>
      </w:r>
      <w:r w:rsidR="00161DBF" w:rsidRPr="00C04EA2">
        <w:rPr>
          <w:bCs/>
        </w:rPr>
        <w:t xml:space="preserve">, the </w:t>
      </w:r>
      <w:r w:rsidR="00161DBF" w:rsidRPr="00C04EA2">
        <w:t xml:space="preserve">Texas Commission on Environmental Quality (TCEQ) </w:t>
      </w:r>
      <w:r w:rsidR="00161DBF">
        <w:t>shall resolve any objection and revise the permit if necessary</w:t>
      </w:r>
      <w:r w:rsidRPr="00C04EA2">
        <w:t>.</w:t>
      </w:r>
    </w:p>
    <w:p w14:paraId="31A7A988" w14:textId="579C5737" w:rsidR="00EC6896" w:rsidRDefault="00EC6896" w:rsidP="0065730C"/>
    <w:p w14:paraId="34C1B6DD" w14:textId="368C9748" w:rsidR="00161DBF" w:rsidRDefault="00161DBF" w:rsidP="00161DBF">
      <w:bookmarkStart w:id="0" w:name="_Hlk115180831"/>
      <w:r w:rsidRPr="006C5A1E">
        <w:t xml:space="preserve">EPA objections are addressed in a pending minor permit revision application </w:t>
      </w:r>
      <w:r w:rsidR="00205A8D">
        <w:t xml:space="preserve">(project number 32217) </w:t>
      </w:r>
      <w:r w:rsidRPr="006C5A1E">
        <w:t xml:space="preserve">that was submitted on </w:t>
      </w:r>
      <w:r w:rsidR="00C916FD">
        <w:t>May 28</w:t>
      </w:r>
      <w:r w:rsidRPr="006C5A1E">
        <w:t>, 2021</w:t>
      </w:r>
      <w:r>
        <w:t xml:space="preserve">.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bookmarkEnd w:id="0"/>
      <w:r>
        <w:t xml:space="preserve">. </w:t>
      </w:r>
    </w:p>
    <w:p w14:paraId="06910F29" w14:textId="77777777" w:rsidR="00161DBF" w:rsidRDefault="00161DBF" w:rsidP="00161DBF"/>
    <w:p w14:paraId="05FF4754" w14:textId="456BD9AE" w:rsidR="00161DBF" w:rsidRDefault="00161DBF" w:rsidP="00161DBF">
      <w:r>
        <w:t xml:space="preserve">The public announcement period will begin </w:t>
      </w:r>
      <w:r w:rsidR="003F6DD8">
        <w:t xml:space="preserve">December 6, </w:t>
      </w:r>
      <w:r w:rsidRPr="004A1F14">
        <w:t>2022,</w:t>
      </w:r>
      <w:r>
        <w:t xml:space="preserve"> and end </w:t>
      </w:r>
      <w:r w:rsidR="00C6590C" w:rsidRPr="00A36255">
        <w:t>January 5</w:t>
      </w:r>
      <w:r w:rsidRPr="00A36255">
        <w:t>, 202</w:t>
      </w:r>
      <w:r w:rsidR="00C6590C" w:rsidRPr="00A36255">
        <w:t>3</w:t>
      </w:r>
      <w:r w:rsidRPr="00A36255">
        <w:t>.</w:t>
      </w:r>
      <w:r>
        <w:t xml:space="preserve">  In addition, if no comments are received, the EPA review period will run concurrent with the announcement and will end on </w:t>
      </w:r>
      <w:r w:rsidR="00D73964">
        <w:t>January 20</w:t>
      </w:r>
      <w:r w:rsidRPr="003737D4">
        <w:t>, 202</w:t>
      </w:r>
      <w:r w:rsidR="00D73964" w:rsidRPr="003737D4">
        <w:t>3</w:t>
      </w:r>
      <w:r w:rsidRPr="003737D4">
        <w:t>.</w:t>
      </w:r>
      <w:r>
        <w:t xml:space="preserve">  If comments are received, you will be notified.</w:t>
      </w:r>
    </w:p>
    <w:p w14:paraId="2D60142B" w14:textId="77777777" w:rsidR="00161DBF" w:rsidRDefault="00161DBF" w:rsidP="00161DBF"/>
    <w:p w14:paraId="23CAC3AE" w14:textId="3155336D" w:rsidR="00161DBF" w:rsidRDefault="00161DBF" w:rsidP="00161DBF">
      <w:r w:rsidRPr="00C04EA2">
        <w:t xml:space="preserve">Consistent with 30 TAC </w:t>
      </w:r>
      <w:r w:rsidRPr="00C04EA2">
        <w:rPr>
          <w:bCs/>
        </w:rPr>
        <w:t>§122.350, please</w:t>
      </w:r>
      <w:r>
        <w:rPr>
          <w:bCs/>
        </w:rPr>
        <w:t xml:space="preserve"> notify the TCEQ that the EPA will not further object to the issuance of the permit and</w:t>
      </w:r>
      <w:r w:rsidRPr="00C04EA2">
        <w:rPr>
          <w:bCs/>
        </w:rPr>
        <w:t xml:space="preserve"> </w:t>
      </w:r>
      <w:r>
        <w:rPr>
          <w:bCs/>
        </w:rPr>
        <w:t xml:space="preserve">concurs </w:t>
      </w:r>
      <w:r w:rsidRPr="00C04EA2">
        <w:rPr>
          <w:bCs/>
        </w:rPr>
        <w:t xml:space="preserve">resolution </w:t>
      </w:r>
      <w:r>
        <w:rPr>
          <w:bCs/>
        </w:rPr>
        <w:t>of</w:t>
      </w:r>
      <w:r w:rsidRPr="00C04EA2">
        <w:rPr>
          <w:bCs/>
        </w:rPr>
        <w:t xml:space="preserve"> the </w:t>
      </w:r>
      <w:r>
        <w:rPr>
          <w:bCs/>
        </w:rPr>
        <w:t xml:space="preserve">prior </w:t>
      </w:r>
      <w:r w:rsidRPr="00C04EA2">
        <w:rPr>
          <w:bCs/>
        </w:rPr>
        <w:t>objections as soon as possible.</w:t>
      </w:r>
      <w:r>
        <w:rPr>
          <w:bCs/>
        </w:rPr>
        <w:t xml:space="preserve"> </w:t>
      </w:r>
      <w:r w:rsidRPr="00733A58">
        <w:t xml:space="preserve">If the EPA does not </w:t>
      </w:r>
      <w:r>
        <w:t xml:space="preserve">notify the TCEQ or file any further </w:t>
      </w:r>
      <w:r w:rsidRPr="00733A58">
        <w:t>objection</w:t>
      </w:r>
      <w:r>
        <w:t>s</w:t>
      </w:r>
      <w:r w:rsidRPr="00733A58">
        <w:t xml:space="preserve"> to the proposed FOP</w:t>
      </w:r>
      <w:r>
        <w:t xml:space="preserve"> during the 45-day review period</w:t>
      </w:r>
      <w:r w:rsidRPr="00733A58">
        <w:t>, the TCEQ will</w:t>
      </w:r>
      <w:r>
        <w:t xml:space="preserve"> consider the objections resolved and</w:t>
      </w:r>
      <w:r w:rsidRPr="00733A58">
        <w:t xml:space="preserve"> issue the FOP</w:t>
      </w:r>
      <w:r>
        <w:t>.</w:t>
      </w:r>
    </w:p>
    <w:p w14:paraId="14F90C2F" w14:textId="77777777" w:rsidR="00161DBF" w:rsidRPr="00C04EA2" w:rsidRDefault="00161DBF" w:rsidP="00161DBF"/>
    <w:p w14:paraId="4C0D135B" w14:textId="2CA2B9F6" w:rsidR="00EC6896" w:rsidRPr="00C04EA2" w:rsidRDefault="00EC6896" w:rsidP="00E23946">
      <w:pPr>
        <w:keepNext/>
        <w:keepLines/>
      </w:pPr>
      <w:r w:rsidRPr="00C04EA2">
        <w:lastRenderedPageBreak/>
        <w:t>Thank you for your cooperation in this matter.</w:t>
      </w:r>
      <w:r w:rsidRPr="00C04EA2">
        <w:rPr>
          <w:bCs/>
        </w:rPr>
        <w:t xml:space="preserve">  </w:t>
      </w:r>
      <w:r w:rsidR="00B53884" w:rsidRPr="00C04EA2">
        <w:t xml:space="preserve">Please contact </w:t>
      </w:r>
      <w:r w:rsidR="00362252">
        <w:t>Mr. Theo Ezeji</w:t>
      </w:r>
      <w:r w:rsidR="00B53884" w:rsidRPr="00C04EA2">
        <w:t xml:space="preserve"> at </w:t>
      </w:r>
      <w:r w:rsidR="00362252">
        <w:t>(512) 239-6954</w:t>
      </w:r>
      <w:r w:rsidRPr="00C04EA2">
        <w:rPr>
          <w:bCs/>
        </w:rPr>
        <w:t xml:space="preserve"> if you have any questions concerning this matter.</w:t>
      </w:r>
    </w:p>
    <w:p w14:paraId="2CAC73A2" w14:textId="77777777" w:rsidR="00B53884" w:rsidRPr="00C04EA2" w:rsidRDefault="00B53884" w:rsidP="00E23946">
      <w:pPr>
        <w:keepNext/>
        <w:keepLines/>
      </w:pPr>
    </w:p>
    <w:p w14:paraId="6EDCE511" w14:textId="77777777" w:rsidR="00C4738D" w:rsidRPr="00C04EA2" w:rsidRDefault="00C4738D" w:rsidP="00E23946">
      <w:pPr>
        <w:keepNext/>
        <w:keepLines/>
      </w:pPr>
      <w:r w:rsidRPr="00C04EA2">
        <w:t>Sincerely,</w:t>
      </w:r>
    </w:p>
    <w:p w14:paraId="2B4CA780" w14:textId="77777777" w:rsidR="00C4738D" w:rsidRDefault="00C4738D" w:rsidP="00E23946">
      <w:pPr>
        <w:keepNext/>
        <w:keepLines/>
      </w:pPr>
    </w:p>
    <w:p w14:paraId="36C2A9C0" w14:textId="77777777" w:rsidR="00F7414D" w:rsidRDefault="00362252" w:rsidP="00E23946">
      <w:pPr>
        <w:keepNext/>
        <w:keepLines/>
      </w:pPr>
      <w:r>
        <w:rPr>
          <w:noProof/>
        </w:rPr>
        <w:drawing>
          <wp:inline distT="0" distB="0" distL="0" distR="0" wp14:anchorId="48A484E3" wp14:editId="6A8ADF57">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64F6F2D4" w14:textId="77777777" w:rsidR="00F7414D" w:rsidRPr="00C04EA2" w:rsidRDefault="00F7414D" w:rsidP="00E23946">
      <w:pPr>
        <w:keepNext/>
        <w:keepLines/>
      </w:pPr>
    </w:p>
    <w:p w14:paraId="70CEA52D" w14:textId="77777777" w:rsidR="00362252" w:rsidRDefault="00362252" w:rsidP="00E23946">
      <w:pPr>
        <w:keepNext/>
        <w:keepLines/>
      </w:pPr>
      <w:r>
        <w:t>Samuel Short, Deputy Director</w:t>
      </w:r>
    </w:p>
    <w:p w14:paraId="42A39A58" w14:textId="77777777" w:rsidR="00362252" w:rsidRDefault="00362252" w:rsidP="00E23946">
      <w:pPr>
        <w:keepNext/>
        <w:keepLines/>
      </w:pPr>
      <w:r>
        <w:t>Air Permits Division</w:t>
      </w:r>
    </w:p>
    <w:p w14:paraId="19650A7F" w14:textId="77777777" w:rsidR="00C4738D" w:rsidRPr="00C04EA2" w:rsidRDefault="00362252" w:rsidP="00E23946">
      <w:pPr>
        <w:keepNext/>
        <w:keepLines/>
      </w:pPr>
      <w:r>
        <w:t>Office of Air</w:t>
      </w:r>
    </w:p>
    <w:p w14:paraId="54506C86" w14:textId="77777777" w:rsidR="00362252" w:rsidRDefault="00362252" w:rsidP="00E23946">
      <w:pPr>
        <w:keepNext/>
        <w:keepLines/>
      </w:pPr>
      <w:r>
        <w:t>Texas Commission on Environmental Quality</w:t>
      </w:r>
    </w:p>
    <w:p w14:paraId="2C6027F9" w14:textId="77777777" w:rsidR="00C4738D" w:rsidRPr="00C04EA2" w:rsidRDefault="00C4738D" w:rsidP="00E23946">
      <w:pPr>
        <w:keepNext/>
        <w:keepLines/>
      </w:pPr>
    </w:p>
    <w:p w14:paraId="7FEA4662" w14:textId="1C54B7D9" w:rsidR="00362252"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362252">
        <w:tab/>
        <w:t>Mr. Shawn Pritchett, Staff Environmental Engineer, Valero Port Arthur Refinery, Port Arthur</w:t>
      </w:r>
    </w:p>
    <w:p w14:paraId="791DB4CE" w14:textId="4BF8EEDD" w:rsidR="006E6E70" w:rsidRDefault="006E6E70"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Mr. Steven Cary, Operations Director, The Premcor Refining Group Inc., Port Arthur</w:t>
      </w:r>
    </w:p>
    <w:p w14:paraId="599B1004" w14:textId="77777777" w:rsidR="00C4738D" w:rsidRDefault="00362252"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10 - Beaumont</w:t>
      </w:r>
    </w:p>
    <w:p w14:paraId="2CC25161" w14:textId="77777777" w:rsidR="00E23946" w:rsidRDefault="00E23946" w:rsidP="00E23946">
      <w:pPr>
        <w:keepNext/>
        <w:keepLines/>
        <w:ind w:left="734" w:hanging="288"/>
      </w:pPr>
      <w:r>
        <w:t>Air Permit Section Chief, U.S. Environmental Protection Agency, Region 6-Dallas (Electronic copy)</w:t>
      </w:r>
    </w:p>
    <w:p w14:paraId="35B8CD9B" w14:textId="77777777" w:rsidR="00B26D25" w:rsidRPr="00C04EA2" w:rsidRDefault="00B26D25" w:rsidP="00E23946">
      <w:pPr>
        <w:keepNext/>
        <w:keepLines/>
      </w:pPr>
    </w:p>
    <w:p w14:paraId="0DB48535"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61670A2F" w14:textId="77777777" w:rsidR="00C4738D" w:rsidRPr="00C04EA2" w:rsidRDefault="00C4738D" w:rsidP="00E23946">
      <w:pPr>
        <w:keepNext/>
        <w:keepLines/>
        <w:ind w:left="1368"/>
      </w:pPr>
      <w:r w:rsidRPr="00C04EA2">
        <w:t>Proposed Permit</w:t>
      </w:r>
    </w:p>
    <w:p w14:paraId="48FE954D" w14:textId="77777777" w:rsidR="0024486E" w:rsidRPr="00C04EA2" w:rsidRDefault="00D646BA" w:rsidP="00E23946">
      <w:pPr>
        <w:keepNext/>
        <w:keepLines/>
        <w:ind w:left="1368"/>
      </w:pPr>
      <w:r w:rsidRPr="00C04EA2">
        <w:t>Statement of Basis</w:t>
      </w:r>
    </w:p>
    <w:p w14:paraId="69B277D9" w14:textId="77777777" w:rsidR="00D646BA" w:rsidRPr="00C04EA2" w:rsidRDefault="00D646BA" w:rsidP="00E23946">
      <w:pPr>
        <w:keepNext/>
        <w:keepLines/>
      </w:pPr>
    </w:p>
    <w:p w14:paraId="7EACA79B" w14:textId="6DDA4403" w:rsidR="00C4738D" w:rsidRPr="00C04EA2" w:rsidRDefault="00C4738D" w:rsidP="00E23946">
      <w:pPr>
        <w:keepNext/>
        <w:keepLines/>
        <w:rPr>
          <w:sz w:val="16"/>
          <w:szCs w:val="16"/>
        </w:rPr>
      </w:pPr>
      <w:r w:rsidRPr="00C04EA2">
        <w:rPr>
          <w:sz w:val="16"/>
          <w:szCs w:val="16"/>
        </w:rPr>
        <w:t>Project Number:  </w:t>
      </w:r>
      <w:r w:rsidR="00362252">
        <w:rPr>
          <w:sz w:val="16"/>
          <w:szCs w:val="16"/>
        </w:rPr>
        <w:t>16605</w:t>
      </w:r>
      <w:r w:rsidR="00205A8D">
        <w:rPr>
          <w:sz w:val="16"/>
          <w:szCs w:val="16"/>
        </w:rPr>
        <w:t>, 32217</w:t>
      </w:r>
    </w:p>
    <w:p w14:paraId="40A6D51A"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5B4A2095"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45D0E1AD" w14:textId="77777777" w:rsidR="00BD7424" w:rsidRPr="0014747F" w:rsidRDefault="00BD7424" w:rsidP="009458A8">
      <w:pPr>
        <w:numPr>
          <w:ilvl w:val="12"/>
          <w:numId w:val="0"/>
        </w:numPr>
        <w:jc w:val="center"/>
        <w:rPr>
          <w:bCs/>
        </w:rPr>
      </w:pPr>
    </w:p>
    <w:p w14:paraId="796E72C0"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362252">
        <w:rPr>
          <w:rStyle w:val="Strong"/>
        </w:rPr>
        <w:t>O1498</w:t>
      </w:r>
    </w:p>
    <w:p w14:paraId="1D3525D7" w14:textId="77777777" w:rsidR="0084399C" w:rsidRPr="00C04EA2" w:rsidRDefault="0084399C" w:rsidP="009458A8">
      <w:pPr>
        <w:numPr>
          <w:ilvl w:val="12"/>
          <w:numId w:val="0"/>
        </w:numPr>
      </w:pPr>
    </w:p>
    <w:p w14:paraId="1AF966C6"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362252">
        <w:t>renewal</w:t>
      </w:r>
      <w:r w:rsidR="00001360" w:rsidRPr="00C04EA2">
        <w:t xml:space="preserve"> </w:t>
      </w:r>
      <w:r w:rsidRPr="00C04EA2">
        <w:t>of the Federal Operating Permit (FOP) for</w:t>
      </w:r>
      <w:r w:rsidR="00D35365" w:rsidRPr="00C04EA2">
        <w:t xml:space="preserve"> </w:t>
      </w:r>
      <w:r w:rsidR="00362252">
        <w:t>The Premcor Refining Group Inc.</w:t>
      </w:r>
      <w:r w:rsidRPr="00C04EA2">
        <w:t xml:space="preserve">, </w:t>
      </w:r>
      <w:r w:rsidR="00362252">
        <w:t>Valero Port Arthur Refinery</w:t>
      </w:r>
      <w:r w:rsidRPr="00C04EA2">
        <w:t>, Permit No.</w:t>
      </w:r>
      <w:r w:rsidR="00001360" w:rsidRPr="00C04EA2">
        <w:t xml:space="preserve"> </w:t>
      </w:r>
      <w:r w:rsidR="00362252">
        <w:t>O1498</w:t>
      </w:r>
      <w:r w:rsidRPr="00C04EA2">
        <w:t xml:space="preserve">, </w:t>
      </w:r>
      <w:r w:rsidR="00362252">
        <w:t>Jefferson</w:t>
      </w:r>
      <w:r w:rsidR="00D35365" w:rsidRPr="00C04EA2">
        <w:t xml:space="preserve"> County, Texas.</w:t>
      </w:r>
    </w:p>
    <w:p w14:paraId="6CE88036" w14:textId="77777777" w:rsidR="0084399C" w:rsidRPr="00C04EA2" w:rsidRDefault="0084399C" w:rsidP="009458A8">
      <w:pPr>
        <w:numPr>
          <w:ilvl w:val="12"/>
          <w:numId w:val="0"/>
        </w:numPr>
      </w:pPr>
    </w:p>
    <w:p w14:paraId="2E8B7FFE" w14:textId="77777777" w:rsidR="0084399C" w:rsidRPr="009458A8" w:rsidRDefault="0084399C" w:rsidP="009458A8">
      <w:pPr>
        <w:jc w:val="center"/>
        <w:rPr>
          <w:rStyle w:val="Strong"/>
        </w:rPr>
      </w:pPr>
      <w:r w:rsidRPr="009458A8">
        <w:rPr>
          <w:rStyle w:val="Strong"/>
        </w:rPr>
        <w:t>B</w:t>
      </w:r>
      <w:r w:rsidR="0089546D">
        <w:rPr>
          <w:rStyle w:val="Strong"/>
        </w:rPr>
        <w:t>ackground</w:t>
      </w:r>
    </w:p>
    <w:p w14:paraId="38BA0E2A"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4BE2165" w14:textId="77777777" w:rsidR="0084399C" w:rsidRPr="0089546D" w:rsidRDefault="0084399C" w:rsidP="009458A8">
      <w:pPr>
        <w:jc w:val="center"/>
      </w:pPr>
      <w:r w:rsidRPr="0089546D">
        <w:t>Procedural Background</w:t>
      </w:r>
    </w:p>
    <w:p w14:paraId="1D140C1D" w14:textId="77777777" w:rsidR="0084399C" w:rsidRPr="00C04EA2" w:rsidRDefault="0084399C" w:rsidP="006F716D"/>
    <w:p w14:paraId="25218802" w14:textId="4E2EBA92"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362252">
        <w:t>The Premcor Refining Group Inc.</w:t>
      </w:r>
      <w:r w:rsidRPr="00C04EA2">
        <w:rPr>
          <w:szCs w:val="22"/>
        </w:rPr>
        <w:t xml:space="preserve"> applied to the TCEQ for a </w:t>
      </w:r>
      <w:r w:rsidR="00362252">
        <w:rPr>
          <w:szCs w:val="22"/>
        </w:rPr>
        <w:t>renewal</w:t>
      </w:r>
      <w:r w:rsidR="00974EF0" w:rsidRPr="00C04EA2">
        <w:rPr>
          <w:szCs w:val="22"/>
        </w:rPr>
        <w:t xml:space="preserve"> </w:t>
      </w:r>
      <w:r w:rsidRPr="00C04EA2">
        <w:rPr>
          <w:szCs w:val="22"/>
        </w:rPr>
        <w:t xml:space="preserve">of the FOP for the </w:t>
      </w:r>
      <w:r w:rsidR="00362252">
        <w:rPr>
          <w:szCs w:val="22"/>
        </w:rPr>
        <w:t>Valero Port Arthur Refinery</w:t>
      </w:r>
      <w:r w:rsidR="00974EF0" w:rsidRPr="00C04EA2">
        <w:t xml:space="preserve"> </w:t>
      </w:r>
      <w:r w:rsidRPr="00C04EA2">
        <w:rPr>
          <w:szCs w:val="22"/>
        </w:rPr>
        <w:t xml:space="preserve">located in </w:t>
      </w:r>
      <w:r w:rsidR="00362252">
        <w:rPr>
          <w:szCs w:val="22"/>
        </w:rPr>
        <w:t>Port Arthur, Jefferson</w:t>
      </w:r>
      <w:r w:rsidR="00974EF0" w:rsidRPr="00C04EA2">
        <w:rPr>
          <w:szCs w:val="22"/>
        </w:rPr>
        <w:t xml:space="preserve"> </w:t>
      </w:r>
      <w:r w:rsidRPr="00C04EA2">
        <w:rPr>
          <w:szCs w:val="22"/>
        </w:rPr>
        <w:t>County on</w:t>
      </w:r>
      <w:r w:rsidR="00EF58B3" w:rsidRPr="00C04EA2">
        <w:t xml:space="preserve"> </w:t>
      </w:r>
      <w:r w:rsidR="00362252">
        <w:t>July 5, 2011</w:t>
      </w:r>
      <w:r w:rsidRPr="00C04EA2">
        <w:t xml:space="preserve">, and notice was published on </w:t>
      </w:r>
      <w:r w:rsidR="00362252">
        <w:t>December 1</w:t>
      </w:r>
      <w:r w:rsidR="00716C87">
        <w:t>3</w:t>
      </w:r>
      <w:r w:rsidR="00362252">
        <w:t>, 2015</w:t>
      </w:r>
      <w:r w:rsidR="0003019E">
        <w:t>,</w:t>
      </w:r>
      <w:r w:rsidR="00B7451E" w:rsidRPr="00C04EA2">
        <w:t xml:space="preserve"> </w:t>
      </w:r>
      <w:r w:rsidRPr="00C04EA2">
        <w:t>date in</w:t>
      </w:r>
      <w:r w:rsidRPr="00B044C2">
        <w:rPr>
          <w:rStyle w:val="Emphasis"/>
        </w:rPr>
        <w:t xml:space="preserve"> </w:t>
      </w:r>
      <w:r w:rsidR="00362252">
        <w:rPr>
          <w:rStyle w:val="Emphasis"/>
        </w:rPr>
        <w:t>Port Arthur News</w:t>
      </w:r>
      <w:r w:rsidRPr="00B044C2">
        <w:rPr>
          <w:rStyle w:val="Emphasis"/>
        </w:rPr>
        <w:t>.</w:t>
      </w:r>
      <w:r w:rsidRPr="00C04EA2">
        <w:t xml:space="preserve"> The public comment period ended on </w:t>
      </w:r>
      <w:r w:rsidR="00362252">
        <w:t>January 15, 2016</w:t>
      </w:r>
      <w:r w:rsidRPr="00C04EA2">
        <w:t xml:space="preserve">.  </w:t>
      </w:r>
      <w:r w:rsidR="00716C87">
        <w:t xml:space="preserve">A comment was received on the draft permit on January 12, </w:t>
      </w:r>
      <w:r w:rsidR="00113CFC">
        <w:t>2016,</w:t>
      </w:r>
      <w:r w:rsidR="002B1924">
        <w:t xml:space="preserve"> and a response to comments letter was filed on November </w:t>
      </w:r>
      <w:r w:rsidR="003100C9">
        <w:t>3</w:t>
      </w:r>
      <w:r w:rsidR="002B1924">
        <w:t>, 2017</w:t>
      </w:r>
      <w:r w:rsidR="00716C87">
        <w:t xml:space="preserve">. </w:t>
      </w:r>
      <w:r w:rsidR="003100C9">
        <w:t xml:space="preserve">The FOP O1498 was issued on January 2, </w:t>
      </w:r>
      <w:r w:rsidR="00113CFC">
        <w:t>2018,</w:t>
      </w:r>
      <w:r w:rsidR="003100C9">
        <w:t xml:space="preserve"> since no comments were received from EPA d</w:t>
      </w:r>
      <w:r w:rsidR="00D209C0">
        <w:t xml:space="preserve">uring the </w:t>
      </w:r>
      <w:r w:rsidR="003100C9">
        <w:t>45-day</w:t>
      </w:r>
      <w:r w:rsidR="00D209C0">
        <w:t xml:space="preserve"> EPA review period</w:t>
      </w:r>
      <w:r w:rsidR="003100C9">
        <w:t xml:space="preserve">. </w:t>
      </w:r>
      <w:r w:rsidR="00C01F1D">
        <w:t>In response to a petition filed on February 20, 2018</w:t>
      </w:r>
      <w:r w:rsidR="00D209C0">
        <w:t xml:space="preserve">, </w:t>
      </w:r>
      <w:r w:rsidRPr="00C04EA2">
        <w:rPr>
          <w:szCs w:val="22"/>
        </w:rPr>
        <w:t xml:space="preserve">TCEQ received an objection to the permit from EPA on </w:t>
      </w:r>
      <w:r w:rsidR="00C01F1D">
        <w:t>November 30, 2021</w:t>
      </w:r>
      <w:r w:rsidRPr="00C04EA2">
        <w:rPr>
          <w:szCs w:val="22"/>
        </w:rPr>
        <w:t>.</w:t>
      </w:r>
    </w:p>
    <w:p w14:paraId="126B758B" w14:textId="77777777" w:rsidR="0084399C" w:rsidRPr="00C04EA2" w:rsidRDefault="0084399C" w:rsidP="009458A8">
      <w:pPr>
        <w:numPr>
          <w:ilvl w:val="12"/>
          <w:numId w:val="0"/>
        </w:numPr>
      </w:pPr>
    </w:p>
    <w:p w14:paraId="3F890D8B" w14:textId="77777777" w:rsidR="0084399C" w:rsidRPr="00C04EA2" w:rsidRDefault="0084399C" w:rsidP="009458A8">
      <w:pPr>
        <w:numPr>
          <w:ilvl w:val="12"/>
          <w:numId w:val="0"/>
        </w:numPr>
      </w:pPr>
      <w:r w:rsidRPr="00C04EA2">
        <w:rPr>
          <w:szCs w:val="22"/>
        </w:rPr>
        <w:t xml:space="preserve">In accordance with state and federal rules, the permit </w:t>
      </w:r>
      <w:r w:rsidR="00362252">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07D9623E" w14:textId="77777777" w:rsidR="0084399C" w:rsidRPr="00C04EA2" w:rsidRDefault="0084399C" w:rsidP="009458A8">
      <w:pPr>
        <w:numPr>
          <w:ilvl w:val="12"/>
          <w:numId w:val="0"/>
        </w:numPr>
      </w:pPr>
    </w:p>
    <w:p w14:paraId="399AA8B5" w14:textId="77777777" w:rsidR="0084399C" w:rsidRPr="0089546D" w:rsidRDefault="0084399C" w:rsidP="009458A8">
      <w:pPr>
        <w:jc w:val="center"/>
      </w:pPr>
      <w:r w:rsidRPr="0089546D">
        <w:t>Description of Site</w:t>
      </w:r>
    </w:p>
    <w:p w14:paraId="7D470CD4"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29C4227E" w14:textId="6490A3B1" w:rsidR="0084399C" w:rsidRDefault="00362252" w:rsidP="009458A8">
      <w:pPr>
        <w:numPr>
          <w:ilvl w:val="12"/>
          <w:numId w:val="0"/>
        </w:numPr>
      </w:pPr>
      <w:r>
        <w:t>The Premcor Refining Group Inc.</w:t>
      </w:r>
      <w:r w:rsidR="000303A6">
        <w:t xml:space="preserve"> o</w:t>
      </w:r>
      <w:r w:rsidR="00521E39">
        <w:t xml:space="preserve">wns and operates the </w:t>
      </w:r>
      <w:r>
        <w:t>Valero Port Arthur Refinery</w:t>
      </w:r>
      <w:r w:rsidR="00521E39">
        <w:t xml:space="preserve">, located at </w:t>
      </w:r>
      <w:r>
        <w:t>1801 South Gulfway Drive</w:t>
      </w:r>
      <w:r w:rsidR="00DA76A1">
        <w:t xml:space="preserve"> in</w:t>
      </w:r>
      <w:r w:rsidR="00521E39">
        <w:t xml:space="preserve"> </w:t>
      </w:r>
      <w:r>
        <w:t>Port Arthur, Jefferson</w:t>
      </w:r>
      <w:r w:rsidR="00521E39">
        <w:t xml:space="preserve"> Texas</w:t>
      </w:r>
      <w:r>
        <w:t xml:space="preserve"> 77640-4416</w:t>
      </w:r>
      <w:r w:rsidR="00DA76A1">
        <w:t>.</w:t>
      </w:r>
    </w:p>
    <w:p w14:paraId="646C10D1" w14:textId="77777777" w:rsidR="00521E39" w:rsidRPr="00C04EA2" w:rsidRDefault="00521E39" w:rsidP="009458A8">
      <w:pPr>
        <w:numPr>
          <w:ilvl w:val="12"/>
          <w:numId w:val="0"/>
        </w:numPr>
      </w:pPr>
    </w:p>
    <w:p w14:paraId="71ACEDB0" w14:textId="77777777" w:rsidR="00362252" w:rsidRPr="006F2636" w:rsidRDefault="00362252" w:rsidP="00362252">
      <w:pPr>
        <w:tabs>
          <w:tab w:val="left" w:pos="720"/>
          <w:tab w:val="left" w:pos="1440"/>
        </w:tabs>
      </w:pPr>
      <w:r w:rsidRPr="002E0D15">
        <w:t>The Premcor Refining Group, Inc. - Valero Port Arthur Refinery is a petroleum refineries facility</w:t>
      </w:r>
      <w:r>
        <w:t xml:space="preserve">. </w:t>
      </w:r>
      <w:r w:rsidRPr="006F2636">
        <w:t>The</w:t>
      </w:r>
      <w:r>
        <w:t xml:space="preserve"> </w:t>
      </w:r>
      <w:r w:rsidRPr="006F2636">
        <w:t>Valero Port Arthur Refinery is designed to process crude oil into a variety of motor vehicle fuels, hydrocarbon products, and derivatives. Crude is brought into the refinery by pipeline and marine vessels.  The principal products produced at the refinery are light gases, gasoline, kerosene, jet fuels, distillate fuels, coke</w:t>
      </w:r>
      <w:r>
        <w:t>,</w:t>
      </w:r>
      <w:r w:rsidRPr="006F2636">
        <w:t xml:space="preserve"> and sulfur.  These products are transported to marketing areas by pipeline, marine vessels, rail and motor transport. Processing units included: atmospheric vacuuming, saturated gas recovery, hydrofluoric acid processing, catalytic reformer, hydrocracking, fluidized catalytic cracking, delayed coking, gasoline hydrotreating, diesel hydrotreating, sulfur recovery, flare gas recovery, and amine treating.</w:t>
      </w:r>
    </w:p>
    <w:p w14:paraId="1A2EF525" w14:textId="77777777" w:rsidR="00037C5C" w:rsidRPr="009458A8" w:rsidRDefault="00037C5C" w:rsidP="009458A8">
      <w:pPr>
        <w:numPr>
          <w:ilvl w:val="12"/>
          <w:numId w:val="0"/>
        </w:numPr>
      </w:pPr>
    </w:p>
    <w:p w14:paraId="167F42B1" w14:textId="77777777" w:rsidR="0084399C" w:rsidRPr="009458A8" w:rsidRDefault="0084399C" w:rsidP="005B5105">
      <w:r w:rsidRPr="009458A8">
        <w:t>The following responses follow the references used in EPA’s objection letter.</w:t>
      </w:r>
    </w:p>
    <w:p w14:paraId="2B2E4742" w14:textId="77777777" w:rsidR="0084399C" w:rsidRPr="009458A8" w:rsidRDefault="0084399C" w:rsidP="005B5105"/>
    <w:p w14:paraId="5D51AAB1" w14:textId="5416BBD2" w:rsidR="0084399C" w:rsidRPr="004535E5" w:rsidRDefault="0084399C" w:rsidP="007070D0">
      <w:bookmarkStart w:id="1" w:name="_Hlk110430996"/>
      <w:r w:rsidRPr="009458A8">
        <w:rPr>
          <w:rStyle w:val="Strong"/>
        </w:rPr>
        <w:t xml:space="preserve">EPA </w:t>
      </w:r>
      <w:r w:rsidR="0089546D">
        <w:rPr>
          <w:rStyle w:val="Strong"/>
        </w:rPr>
        <w:t>Objection</w:t>
      </w:r>
      <w:r w:rsidR="007070D0">
        <w:rPr>
          <w:rStyle w:val="Strong"/>
        </w:rPr>
        <w:t xml:space="preserve"> Claim A</w:t>
      </w:r>
      <w:r w:rsidRPr="009458A8">
        <w:rPr>
          <w:rStyle w:val="Strong"/>
        </w:rPr>
        <w:t>:</w:t>
      </w:r>
      <w:r w:rsidRPr="009458A8">
        <w:t xml:space="preserve"> </w:t>
      </w:r>
      <w:bookmarkEnd w:id="1"/>
      <w:r w:rsidR="007070D0">
        <w:t>The Proposed Permit Fails to Incorporate</w:t>
      </w:r>
      <w:r w:rsidR="00717455">
        <w:t xml:space="preserve"> </w:t>
      </w:r>
      <w:r w:rsidR="007070D0">
        <w:t>and Assure Compliance with Permit by Rule (PBR) Requirements, Including</w:t>
      </w:r>
      <w:r w:rsidR="00717455">
        <w:t xml:space="preserve"> </w:t>
      </w:r>
      <w:r w:rsidR="007070D0">
        <w:t>Requirements in [Premcor's] Certified PBR Registrations.</w:t>
      </w:r>
    </w:p>
    <w:p w14:paraId="461D5672" w14:textId="38CFCBC3" w:rsidR="007070D0" w:rsidRDefault="007070D0" w:rsidP="004535E5">
      <w:pPr>
        <w:rPr>
          <w:rStyle w:val="Strong"/>
        </w:rPr>
      </w:pPr>
    </w:p>
    <w:p w14:paraId="16C8DA26" w14:textId="14006C58" w:rsidR="00FF6934" w:rsidRPr="00FF6934" w:rsidRDefault="00FF6934" w:rsidP="00FF6934">
      <w:pPr>
        <w:rPr>
          <w:rStyle w:val="Strong"/>
          <w:rFonts w:cs="Arial"/>
          <w:szCs w:val="20"/>
        </w:rPr>
      </w:pPr>
      <w:r w:rsidRPr="00FF6934">
        <w:rPr>
          <w:rFonts w:cs="Arial"/>
          <w:color w:val="2C2A2D"/>
          <w:szCs w:val="20"/>
        </w:rPr>
        <w:t xml:space="preserve">TCEQ must explain to </w:t>
      </w:r>
      <w:r w:rsidRPr="00FF6934">
        <w:rPr>
          <w:rFonts w:cs="Arial"/>
          <w:color w:val="3B3A3B"/>
          <w:szCs w:val="20"/>
        </w:rPr>
        <w:t xml:space="preserve">which emission </w:t>
      </w:r>
      <w:r w:rsidRPr="00FF6934">
        <w:rPr>
          <w:rFonts w:cs="Arial"/>
          <w:color w:val="2C2A2D"/>
          <w:szCs w:val="20"/>
        </w:rPr>
        <w:t>units PBRs 106</w:t>
      </w:r>
      <w:r w:rsidRPr="00FF6934">
        <w:rPr>
          <w:rFonts w:cs="Arial"/>
          <w:color w:val="4D4A4D"/>
          <w:szCs w:val="20"/>
        </w:rPr>
        <w:t>.</w:t>
      </w:r>
      <w:r w:rsidRPr="00FF6934">
        <w:rPr>
          <w:rFonts w:cs="Arial"/>
          <w:color w:val="2C2A2D"/>
          <w:szCs w:val="20"/>
        </w:rPr>
        <w:t>183</w:t>
      </w:r>
      <w:r w:rsidRPr="00FF6934">
        <w:rPr>
          <w:rFonts w:cs="Arial"/>
          <w:color w:val="4D4A4D"/>
          <w:szCs w:val="20"/>
        </w:rPr>
        <w:t xml:space="preserve">, </w:t>
      </w:r>
      <w:r w:rsidRPr="00FF6934">
        <w:rPr>
          <w:rFonts w:cs="Arial"/>
          <w:color w:val="2C2A2D"/>
          <w:szCs w:val="20"/>
        </w:rPr>
        <w:t>106.263</w:t>
      </w:r>
      <w:r w:rsidRPr="00FF6934">
        <w:rPr>
          <w:rFonts w:cs="Arial"/>
          <w:color w:val="605E5F"/>
          <w:szCs w:val="20"/>
        </w:rPr>
        <w:t xml:space="preserve">, </w:t>
      </w:r>
      <w:r w:rsidRPr="00FF6934">
        <w:rPr>
          <w:rFonts w:cs="Arial"/>
          <w:color w:val="2C2A2D"/>
          <w:szCs w:val="20"/>
        </w:rPr>
        <w:t>and</w:t>
      </w:r>
      <w:r w:rsidR="00EA71AA">
        <w:rPr>
          <w:rFonts w:cs="Arial"/>
          <w:color w:val="2C2A2D"/>
          <w:szCs w:val="20"/>
        </w:rPr>
        <w:t xml:space="preserve"> </w:t>
      </w:r>
      <w:r w:rsidRPr="00FF6934">
        <w:rPr>
          <w:rFonts w:cs="Arial"/>
          <w:color w:val="2C2A2D"/>
          <w:szCs w:val="20"/>
        </w:rPr>
        <w:t xml:space="preserve">106.371 apply. If TCEQ believes that </w:t>
      </w:r>
      <w:r w:rsidRPr="00FF6934">
        <w:rPr>
          <w:rFonts w:cs="Arial"/>
          <w:color w:val="3B3A3B"/>
          <w:szCs w:val="20"/>
        </w:rPr>
        <w:t xml:space="preserve">some </w:t>
      </w:r>
      <w:r w:rsidRPr="00FF6934">
        <w:rPr>
          <w:rFonts w:cs="Arial"/>
          <w:color w:val="2C2A2D"/>
          <w:szCs w:val="20"/>
        </w:rPr>
        <w:t>or all of these PBRs onl</w:t>
      </w:r>
      <w:r w:rsidRPr="00FF6934">
        <w:rPr>
          <w:rFonts w:cs="Arial"/>
          <w:color w:val="4D4A4D"/>
          <w:szCs w:val="20"/>
        </w:rPr>
        <w:t xml:space="preserve">y </w:t>
      </w:r>
      <w:r w:rsidRPr="00FF6934">
        <w:rPr>
          <w:rFonts w:cs="Arial"/>
          <w:color w:val="2C2A2D"/>
          <w:szCs w:val="20"/>
        </w:rPr>
        <w:t>apply to insignificant units</w:t>
      </w:r>
      <w:r w:rsidRPr="00FF6934">
        <w:rPr>
          <w:rFonts w:cs="Arial"/>
          <w:color w:val="4D4A4D"/>
          <w:szCs w:val="20"/>
        </w:rPr>
        <w:t>,</w:t>
      </w:r>
      <w:r w:rsidR="00EA71AA">
        <w:rPr>
          <w:rFonts w:cs="Arial"/>
          <w:color w:val="4D4A4D"/>
          <w:szCs w:val="20"/>
        </w:rPr>
        <w:t xml:space="preserve"> </w:t>
      </w:r>
      <w:r w:rsidRPr="00FF6934">
        <w:rPr>
          <w:rFonts w:cs="Arial"/>
          <w:color w:val="2C2A2D"/>
          <w:szCs w:val="20"/>
        </w:rPr>
        <w:t>then TCEQ should provide such explanation in the permi</w:t>
      </w:r>
      <w:r w:rsidRPr="00FF6934">
        <w:rPr>
          <w:rFonts w:cs="Arial"/>
          <w:color w:val="26214A"/>
          <w:szCs w:val="20"/>
        </w:rPr>
        <w:t xml:space="preserve">t </w:t>
      </w:r>
      <w:r w:rsidRPr="00FF6934">
        <w:rPr>
          <w:rFonts w:cs="Arial"/>
          <w:color w:val="2C2A2D"/>
          <w:szCs w:val="20"/>
        </w:rPr>
        <w:t>record and include a list of those PBRs</w:t>
      </w:r>
      <w:r w:rsidR="00EA71AA">
        <w:rPr>
          <w:rFonts w:cs="Arial"/>
          <w:color w:val="2C2A2D"/>
          <w:szCs w:val="20"/>
        </w:rPr>
        <w:t xml:space="preserve"> </w:t>
      </w:r>
      <w:r w:rsidRPr="00FF6934">
        <w:rPr>
          <w:rFonts w:cs="Arial"/>
          <w:color w:val="2C2A2D"/>
          <w:szCs w:val="20"/>
        </w:rPr>
        <w:t>in the statement of basis. For any remaining PBRs that do not appl</w:t>
      </w:r>
      <w:r w:rsidRPr="00FF6934">
        <w:rPr>
          <w:rFonts w:cs="Arial"/>
          <w:color w:val="4D4A4D"/>
          <w:szCs w:val="20"/>
        </w:rPr>
        <w:t xml:space="preserve">y </w:t>
      </w:r>
      <w:r w:rsidRPr="00FF6934">
        <w:rPr>
          <w:rFonts w:cs="Arial"/>
          <w:color w:val="2C2A2D"/>
          <w:szCs w:val="20"/>
        </w:rPr>
        <w:t>to insignificant units</w:t>
      </w:r>
      <w:r w:rsidRPr="00FF6934">
        <w:rPr>
          <w:rFonts w:cs="Arial"/>
          <w:color w:val="4D4A4D"/>
          <w:szCs w:val="20"/>
        </w:rPr>
        <w:t xml:space="preserve">, </w:t>
      </w:r>
      <w:r w:rsidRPr="00FF6934">
        <w:rPr>
          <w:rFonts w:cs="Arial"/>
          <w:color w:val="2C2A2D"/>
          <w:szCs w:val="20"/>
        </w:rPr>
        <w:t>TCEQ</w:t>
      </w:r>
      <w:r w:rsidR="00EA71AA">
        <w:rPr>
          <w:rFonts w:cs="Arial"/>
          <w:color w:val="2C2A2D"/>
          <w:szCs w:val="20"/>
        </w:rPr>
        <w:t xml:space="preserve"> </w:t>
      </w:r>
      <w:r w:rsidRPr="00FF6934">
        <w:rPr>
          <w:rFonts w:cs="Arial"/>
          <w:color w:val="2C2A2D"/>
          <w:szCs w:val="20"/>
        </w:rPr>
        <w:t>should update the title V permit and list these PBRs next to the applicable emission units in the</w:t>
      </w:r>
      <w:r w:rsidR="00EA71AA">
        <w:rPr>
          <w:rFonts w:cs="Arial"/>
          <w:color w:val="2C2A2D"/>
          <w:szCs w:val="20"/>
        </w:rPr>
        <w:t xml:space="preserve"> </w:t>
      </w:r>
      <w:r w:rsidRPr="00FF6934">
        <w:rPr>
          <w:rFonts w:cs="Arial"/>
          <w:color w:val="4D4A4D"/>
          <w:szCs w:val="20"/>
        </w:rPr>
        <w:t>"</w:t>
      </w:r>
      <w:r w:rsidRPr="00FF6934">
        <w:rPr>
          <w:rFonts w:cs="Arial"/>
          <w:color w:val="2C2A2D"/>
          <w:szCs w:val="20"/>
        </w:rPr>
        <w:t>New Source Re</w:t>
      </w:r>
      <w:r w:rsidRPr="00FF6934">
        <w:rPr>
          <w:rFonts w:cs="Arial"/>
          <w:color w:val="4D4A4D"/>
          <w:szCs w:val="20"/>
        </w:rPr>
        <w:t>v</w:t>
      </w:r>
      <w:r w:rsidRPr="00FF6934">
        <w:rPr>
          <w:rFonts w:cs="Arial"/>
          <w:color w:val="2C2A2D"/>
          <w:szCs w:val="20"/>
        </w:rPr>
        <w:t xml:space="preserve">iew Authorization References by Emission </w:t>
      </w:r>
      <w:r w:rsidRPr="00FF6934">
        <w:rPr>
          <w:rFonts w:cs="Arial"/>
          <w:color w:val="3B3A3B"/>
          <w:szCs w:val="20"/>
        </w:rPr>
        <w:t xml:space="preserve">Unit" </w:t>
      </w:r>
      <w:r w:rsidRPr="00FF6934">
        <w:rPr>
          <w:rFonts w:cs="Arial"/>
          <w:color w:val="2C2A2D"/>
          <w:szCs w:val="20"/>
        </w:rPr>
        <w:t>table</w:t>
      </w:r>
      <w:r w:rsidRPr="00FF6934">
        <w:rPr>
          <w:rFonts w:cs="Arial"/>
          <w:color w:val="4D4A4D"/>
          <w:szCs w:val="20"/>
        </w:rPr>
        <w:t>.</w:t>
      </w:r>
    </w:p>
    <w:p w14:paraId="060BA87F" w14:textId="77777777" w:rsidR="00FF6934" w:rsidRDefault="00FF6934" w:rsidP="00620FD9">
      <w:pPr>
        <w:rPr>
          <w:rStyle w:val="Strong"/>
        </w:rPr>
      </w:pPr>
    </w:p>
    <w:p w14:paraId="67C9F9DE" w14:textId="77777777" w:rsidR="009727C8" w:rsidRPr="009C1876" w:rsidRDefault="0084399C" w:rsidP="009727C8">
      <w:r w:rsidRPr="00725612">
        <w:rPr>
          <w:rStyle w:val="Strong"/>
        </w:rPr>
        <w:t>TCEQ R</w:t>
      </w:r>
      <w:r w:rsidR="0089546D">
        <w:rPr>
          <w:rStyle w:val="Strong"/>
        </w:rPr>
        <w:t>esponse</w:t>
      </w:r>
      <w:r w:rsidR="00C41AFC">
        <w:rPr>
          <w:rStyle w:val="Strong"/>
        </w:rPr>
        <w:t xml:space="preserve"> to EPA Objection Claim A</w:t>
      </w:r>
      <w:r w:rsidRPr="00725612">
        <w:rPr>
          <w:rStyle w:val="Strong"/>
        </w:rPr>
        <w:t>:</w:t>
      </w:r>
      <w:r w:rsidRPr="00725612">
        <w:t xml:space="preserve"> </w:t>
      </w:r>
      <w:r w:rsidR="009727C8" w:rsidRPr="009C1876">
        <w:rPr>
          <w:rFonts w:cs="Arial"/>
          <w:szCs w:val="20"/>
        </w:rPr>
        <w:t xml:space="preserve">As directed by EPA, the proposed permit specifies the monitoring, recordkeeping, and reporting that assures compliance with the requirements </w:t>
      </w:r>
      <w:r w:rsidR="009727C8">
        <w:rPr>
          <w:rFonts w:cs="Arial"/>
          <w:szCs w:val="20"/>
        </w:rPr>
        <w:t>for</w:t>
      </w:r>
      <w:r w:rsidR="009727C8" w:rsidRPr="009C1876">
        <w:rPr>
          <w:rFonts w:cs="Arial"/>
          <w:szCs w:val="20"/>
        </w:rPr>
        <w:t xml:space="preserve"> </w:t>
      </w:r>
      <w:r w:rsidR="009727C8">
        <w:rPr>
          <w:rFonts w:cs="Arial"/>
          <w:szCs w:val="20"/>
        </w:rPr>
        <w:t>all</w:t>
      </w:r>
      <w:r w:rsidR="009727C8" w:rsidRPr="009C1876">
        <w:rPr>
          <w:rFonts w:cs="Arial"/>
          <w:szCs w:val="20"/>
        </w:rPr>
        <w:t xml:space="preserve"> PBRs </w:t>
      </w:r>
      <w:r w:rsidR="009727C8">
        <w:rPr>
          <w:rFonts w:cs="Arial"/>
          <w:szCs w:val="20"/>
        </w:rPr>
        <w:lastRenderedPageBreak/>
        <w:t xml:space="preserve">(including registered PBRs, </w:t>
      </w:r>
      <w:r w:rsidR="009727C8">
        <w:t>claimed but not registered PBRs and PBRs</w:t>
      </w:r>
      <w:r w:rsidR="009727C8">
        <w:rPr>
          <w:rFonts w:cs="Arial"/>
          <w:szCs w:val="20"/>
        </w:rPr>
        <w:t xml:space="preserve"> </w:t>
      </w:r>
      <w:r w:rsidR="009727C8" w:rsidRPr="009C1876">
        <w:rPr>
          <w:rFonts w:cs="Arial"/>
          <w:szCs w:val="20"/>
        </w:rPr>
        <w:t>that apply to non-insignificant units</w:t>
      </w:r>
      <w:r w:rsidR="009727C8">
        <w:rPr>
          <w:rFonts w:cs="Arial"/>
          <w:szCs w:val="20"/>
        </w:rPr>
        <w:t>)</w:t>
      </w:r>
      <w:r w:rsidR="009727C8" w:rsidRPr="009C1876">
        <w:rPr>
          <w:rFonts w:cs="Arial"/>
          <w:szCs w:val="20"/>
        </w:rPr>
        <w:t xml:space="preserve"> </w:t>
      </w:r>
      <w:r w:rsidR="009727C8" w:rsidRPr="009C1876">
        <w:t xml:space="preserve">as follows: </w:t>
      </w:r>
    </w:p>
    <w:p w14:paraId="4A83A16C" w14:textId="77777777" w:rsidR="009727C8" w:rsidRPr="009C1876" w:rsidRDefault="009727C8" w:rsidP="009727C8"/>
    <w:p w14:paraId="36D49C07" w14:textId="33E30B8F" w:rsidR="009727C8" w:rsidRPr="00D01FF0" w:rsidRDefault="009727C8" w:rsidP="009727C8">
      <w:pPr>
        <w:numPr>
          <w:ilvl w:val="0"/>
          <w:numId w:val="17"/>
        </w:numPr>
        <w:contextualSpacing/>
        <w:rPr>
          <w:rFonts w:cs="Arial"/>
          <w:szCs w:val="20"/>
        </w:rPr>
      </w:pPr>
      <w:r w:rsidRPr="00D01FF0">
        <w:t xml:space="preserve">New Source Review </w:t>
      </w:r>
      <w:r w:rsidRPr="00C136ED">
        <w:t>Authorization References by Emissions Unit Table in FOP O14</w:t>
      </w:r>
      <w:r>
        <w:t>98</w:t>
      </w:r>
      <w:r w:rsidRPr="00C136ED">
        <w:t xml:space="preserve"> is revised to </w:t>
      </w:r>
      <w:r w:rsidR="00D02FA7">
        <w:t xml:space="preserve">identify units authorized under </w:t>
      </w:r>
      <w:r w:rsidR="00D02FA7" w:rsidRPr="00FF6934">
        <w:rPr>
          <w:rFonts w:cs="Arial"/>
          <w:color w:val="2C2A2D"/>
          <w:szCs w:val="20"/>
        </w:rPr>
        <w:t>106</w:t>
      </w:r>
      <w:r w:rsidR="00D02FA7" w:rsidRPr="00FF6934">
        <w:rPr>
          <w:rFonts w:cs="Arial"/>
          <w:color w:val="4D4A4D"/>
          <w:szCs w:val="20"/>
        </w:rPr>
        <w:t>.</w:t>
      </w:r>
      <w:r w:rsidR="00D02FA7" w:rsidRPr="00FF6934">
        <w:rPr>
          <w:rFonts w:cs="Arial"/>
          <w:color w:val="2C2A2D"/>
          <w:szCs w:val="20"/>
        </w:rPr>
        <w:t>183</w:t>
      </w:r>
      <w:r w:rsidR="00D02FA7" w:rsidRPr="00FF6934">
        <w:rPr>
          <w:rFonts w:cs="Arial"/>
          <w:color w:val="4D4A4D"/>
          <w:szCs w:val="20"/>
        </w:rPr>
        <w:t xml:space="preserve">, </w:t>
      </w:r>
      <w:r w:rsidR="00D02FA7" w:rsidRPr="00FF6934">
        <w:rPr>
          <w:rFonts w:cs="Arial"/>
          <w:color w:val="2C2A2D"/>
          <w:szCs w:val="20"/>
        </w:rPr>
        <w:t>106.263</w:t>
      </w:r>
      <w:r w:rsidR="00D02FA7" w:rsidRPr="00FF6934">
        <w:rPr>
          <w:rFonts w:cs="Arial"/>
          <w:color w:val="605E5F"/>
          <w:szCs w:val="20"/>
        </w:rPr>
        <w:t xml:space="preserve">, </w:t>
      </w:r>
      <w:r w:rsidR="00D02FA7" w:rsidRPr="00FF6934">
        <w:rPr>
          <w:rFonts w:cs="Arial"/>
          <w:color w:val="2C2A2D"/>
          <w:szCs w:val="20"/>
        </w:rPr>
        <w:t>and</w:t>
      </w:r>
      <w:r w:rsidR="00D02FA7">
        <w:rPr>
          <w:rFonts w:cs="Arial"/>
          <w:color w:val="2C2A2D"/>
          <w:szCs w:val="20"/>
        </w:rPr>
        <w:t xml:space="preserve"> </w:t>
      </w:r>
      <w:r w:rsidR="00D02FA7" w:rsidRPr="00FF6934">
        <w:rPr>
          <w:rFonts w:cs="Arial"/>
          <w:color w:val="2C2A2D"/>
          <w:szCs w:val="20"/>
        </w:rPr>
        <w:t>106.371</w:t>
      </w:r>
      <w:r>
        <w:t xml:space="preserve">. </w:t>
      </w:r>
      <w:r w:rsidR="00D02FA7">
        <w:t>Specifically, PBR 106.183 is deleted</w:t>
      </w:r>
      <w:r w:rsidR="00465D89">
        <w:t>. Units authorized under PBR 106.263 include</w:t>
      </w:r>
      <w:r w:rsidR="00C976BB">
        <w:t xml:space="preserve">: </w:t>
      </w:r>
      <w:r w:rsidR="00C976BB" w:rsidRPr="009D2D8F">
        <w:t>T-2106</w:t>
      </w:r>
      <w:r w:rsidR="00C976BB">
        <w:t xml:space="preserve">, </w:t>
      </w:r>
      <w:r w:rsidR="00F13E26" w:rsidRPr="009D2D8F">
        <w:t>E-01-241, E-01-242, E-01-243, E-01-244A, E-01-244B, E-01-245,</w:t>
      </w:r>
      <w:r w:rsidR="00547D14" w:rsidRPr="009D2D8F">
        <w:t xml:space="preserve"> </w:t>
      </w:r>
      <w:r w:rsidR="00517A41">
        <w:t xml:space="preserve">and </w:t>
      </w:r>
      <w:r w:rsidR="00547D14" w:rsidRPr="009D2D8F">
        <w:t>E-01-246</w:t>
      </w:r>
      <w:r w:rsidR="00F13E26">
        <w:t>.</w:t>
      </w:r>
      <w:r w:rsidR="00C976BB">
        <w:t xml:space="preserve"> </w:t>
      </w:r>
      <w:r w:rsidR="00517A41">
        <w:t>The following units</w:t>
      </w:r>
      <w:r w:rsidR="00517A41">
        <w:rPr>
          <w:lang w:val="es-ES"/>
        </w:rPr>
        <w:t xml:space="preserve"> </w:t>
      </w:r>
      <w:r w:rsidR="00517A41" w:rsidRPr="000F6120">
        <w:t>were consolidated into 6825A during the most recent renewal application and are no longer authorized through PBR</w:t>
      </w:r>
      <w:r w:rsidR="00517A41">
        <w:t>:</w:t>
      </w:r>
      <w:r w:rsidR="000F6120">
        <w:rPr>
          <w:lang w:val="es-ES"/>
        </w:rPr>
        <w:t xml:space="preserve"> </w:t>
      </w:r>
      <w:r w:rsidR="000F6120" w:rsidRPr="00517A41">
        <w:rPr>
          <w:lang w:val="es-ES"/>
        </w:rPr>
        <w:t>F-SRTF</w:t>
      </w:r>
      <w:r w:rsidR="000F6120">
        <w:rPr>
          <w:lang w:val="es-ES"/>
        </w:rPr>
        <w:t>, E-01-146,</w:t>
      </w:r>
      <w:r w:rsidR="00517A41">
        <w:rPr>
          <w:lang w:val="es-ES"/>
        </w:rPr>
        <w:t xml:space="preserve"> E-02-146,</w:t>
      </w:r>
      <w:r w:rsidR="000F6120">
        <w:rPr>
          <w:lang w:val="es-ES"/>
        </w:rPr>
        <w:t xml:space="preserve"> E-01-147,</w:t>
      </w:r>
      <w:r w:rsidR="00517A41">
        <w:rPr>
          <w:lang w:val="es-ES"/>
        </w:rPr>
        <w:t xml:space="preserve"> E-02-147,</w:t>
      </w:r>
      <w:r w:rsidR="000F6120">
        <w:rPr>
          <w:lang w:val="es-ES"/>
        </w:rPr>
        <w:t xml:space="preserve"> E-01-1344, E-02-1344, E-03-1344, E-01-843, E-02-843, E-03-843, E-01-942, </w:t>
      </w:r>
      <w:r w:rsidR="00517A41">
        <w:rPr>
          <w:lang w:val="es-ES"/>
        </w:rPr>
        <w:t xml:space="preserve">E-01-943, </w:t>
      </w:r>
      <w:r w:rsidR="000F6120">
        <w:rPr>
          <w:lang w:val="es-ES"/>
        </w:rPr>
        <w:t>HCU-942-H3, E-02-943, and E-01-443</w:t>
      </w:r>
      <w:r w:rsidR="000F6120" w:rsidRPr="000F6120">
        <w:t xml:space="preserve">. </w:t>
      </w:r>
      <w:r w:rsidR="00F13E26">
        <w:t>Units authorized under PBR 106.371 include:</w:t>
      </w:r>
      <w:r w:rsidR="00BD1486" w:rsidRPr="00BD1486">
        <w:t xml:space="preserve"> </w:t>
      </w:r>
      <w:r w:rsidR="00BD1486" w:rsidRPr="00F13E26">
        <w:t>E-CT-10</w:t>
      </w:r>
      <w:r w:rsidR="00BD1486">
        <w:t xml:space="preserve">0, </w:t>
      </w:r>
      <w:r w:rsidR="00F13E26" w:rsidRPr="00F13E26">
        <w:t>E-CT-101</w:t>
      </w:r>
      <w:r w:rsidR="00F13E26">
        <w:t xml:space="preserve">, </w:t>
      </w:r>
      <w:r w:rsidR="00F13E26" w:rsidRPr="00F13E26">
        <w:t>E-CT-</w:t>
      </w:r>
      <w:r w:rsidR="00F13E26">
        <w:t>233,</w:t>
      </w:r>
      <w:r w:rsidR="00BD1486" w:rsidRPr="00BD1486">
        <w:t xml:space="preserve"> </w:t>
      </w:r>
      <w:r w:rsidR="00BD1486" w:rsidRPr="00F13E26">
        <w:t>E-CT-</w:t>
      </w:r>
      <w:r w:rsidR="00BD1486">
        <w:t>244,</w:t>
      </w:r>
      <w:r w:rsidR="00F13E26">
        <w:t xml:space="preserve"> </w:t>
      </w:r>
      <w:r w:rsidR="00F13E26" w:rsidRPr="00F13E26">
        <w:t>E-CT-</w:t>
      </w:r>
      <w:r w:rsidR="004A23DE">
        <w:t xml:space="preserve">354, </w:t>
      </w:r>
      <w:r w:rsidR="004A23DE" w:rsidRPr="00F13E26">
        <w:t>E-CT-</w:t>
      </w:r>
      <w:r w:rsidR="004A23DE">
        <w:t xml:space="preserve">360, </w:t>
      </w:r>
      <w:r w:rsidR="004A23DE" w:rsidRPr="00F13E26">
        <w:t>E-CT-</w:t>
      </w:r>
      <w:r w:rsidR="004A23DE">
        <w:t xml:space="preserve">363, </w:t>
      </w:r>
      <w:r w:rsidR="004A23DE" w:rsidRPr="00F13E26">
        <w:t>E-CT-</w:t>
      </w:r>
      <w:r w:rsidR="004A23DE">
        <w:t xml:space="preserve">N1 and </w:t>
      </w:r>
      <w:r w:rsidR="004A23DE" w:rsidRPr="00F13E26">
        <w:t>E-CT-</w:t>
      </w:r>
      <w:r w:rsidR="004A23DE">
        <w:t>601U.</w:t>
      </w:r>
    </w:p>
    <w:p w14:paraId="157292AF" w14:textId="7B5BFB9A" w:rsidR="009727C8" w:rsidRPr="009C1876" w:rsidRDefault="009727C8" w:rsidP="009727C8">
      <w:pPr>
        <w:numPr>
          <w:ilvl w:val="0"/>
          <w:numId w:val="17"/>
        </w:numPr>
        <w:contextualSpacing/>
        <w:rPr>
          <w:rFonts w:cs="Arial"/>
          <w:szCs w:val="20"/>
        </w:rPr>
      </w:pPr>
      <w:r w:rsidRPr="009C1876">
        <w:t>The PBR Supplemental Table (OP-PBRSUP) which is included in a Title V application becomes part of the permit record. A reference to the PBR Supplemental Table was added in the Special Term and Condition</w:t>
      </w:r>
      <w:r>
        <w:t xml:space="preserve"> </w:t>
      </w:r>
      <w:r w:rsidR="008D05D0">
        <w:t>23</w:t>
      </w:r>
      <w:r w:rsidRPr="00613168">
        <w:t xml:space="preserve"> </w:t>
      </w:r>
      <w:r w:rsidRPr="00D01FF0">
        <w:t xml:space="preserve">in the </w:t>
      </w:r>
      <w:r w:rsidRPr="00613168">
        <w:t xml:space="preserve">proposed permit to include the text “(including the </w:t>
      </w:r>
      <w:r w:rsidR="00207E36" w:rsidRPr="00207E36">
        <w:t xml:space="preserve">terms, conditions, monitoring, recordkeeping, and reporting identified in registered PBRs </w:t>
      </w:r>
      <w:r w:rsidRPr="00613168">
        <w:t xml:space="preserve">and permits by rule identified in the PBR Supplemental Tables dated </w:t>
      </w:r>
      <w:r w:rsidR="00950493">
        <w:t>November 1</w:t>
      </w:r>
      <w:r w:rsidR="00517A41">
        <w:t>5</w:t>
      </w:r>
      <w:r w:rsidRPr="008D05D0">
        <w:t>, 2022</w:t>
      </w:r>
      <w:r>
        <w:t>,</w:t>
      </w:r>
      <w:r w:rsidRPr="00613168">
        <w:t xml:space="preserve"> in the application for project </w:t>
      </w:r>
      <w:r w:rsidR="0064004B" w:rsidRPr="008D05D0">
        <w:t>32217</w:t>
      </w:r>
      <w:r w:rsidRPr="00613168">
        <w:t>)”</w:t>
      </w:r>
      <w:r w:rsidRPr="009C1876">
        <w:t xml:space="preserve">. </w:t>
      </w:r>
    </w:p>
    <w:p w14:paraId="67720AC1" w14:textId="75CF1172" w:rsidR="009727C8" w:rsidRPr="009C1876" w:rsidRDefault="009727C8" w:rsidP="009727C8">
      <w:pPr>
        <w:numPr>
          <w:ilvl w:val="0"/>
          <w:numId w:val="17"/>
        </w:numPr>
        <w:contextualSpacing/>
        <w:rPr>
          <w:rFonts w:cs="Arial"/>
          <w:szCs w:val="20"/>
        </w:rPr>
      </w:pPr>
      <w:r w:rsidRPr="009C1876">
        <w:t xml:space="preserve">The statement of basis (SOB) was updated to revise the insignificant activities list and add a reference to the PBR Supplemental Table, and the Special Term and Condition </w:t>
      </w:r>
      <w:r w:rsidR="008D05D0">
        <w:t>23</w:t>
      </w:r>
      <w:r w:rsidRPr="009C1876">
        <w:t xml:space="preserve"> listed in the FOP.</w:t>
      </w:r>
    </w:p>
    <w:p w14:paraId="1D137D62" w14:textId="47FEC397" w:rsidR="009727C8" w:rsidRPr="009C1876" w:rsidRDefault="009727C8" w:rsidP="009727C8">
      <w:pPr>
        <w:numPr>
          <w:ilvl w:val="0"/>
          <w:numId w:val="17"/>
        </w:numPr>
        <w:contextualSpacing/>
        <w:rPr>
          <w:rFonts w:cs="Arial"/>
          <w:color w:val="0000FF" w:themeColor="hyperlink"/>
          <w:szCs w:val="20"/>
          <w:u w:val="single"/>
        </w:rPr>
      </w:pPr>
      <w:r>
        <w:t xml:space="preserve">Unit specific PBR monitoring requirements for </w:t>
      </w:r>
      <w:r w:rsidRPr="009C1876">
        <w:t>registered PBRs</w:t>
      </w:r>
      <w:r>
        <w:t xml:space="preserve"> and claimed (but not registered) PBRs are documented in </w:t>
      </w:r>
      <w:r w:rsidRPr="009C1876">
        <w:rPr>
          <w:rFonts w:cs="Arial"/>
          <w:szCs w:val="20"/>
        </w:rPr>
        <w:t xml:space="preserve">Table </w:t>
      </w:r>
      <w:r>
        <w:rPr>
          <w:rFonts w:cs="Arial"/>
          <w:szCs w:val="20"/>
        </w:rPr>
        <w:t>D</w:t>
      </w:r>
      <w:r w:rsidRPr="009C1876">
        <w:rPr>
          <w:rFonts w:cs="Arial"/>
          <w:szCs w:val="20"/>
        </w:rPr>
        <w:t xml:space="preserve"> of the OP-PBRSUP table dated</w:t>
      </w:r>
      <w:r w:rsidR="001B0BC3">
        <w:rPr>
          <w:rFonts w:cs="Arial"/>
          <w:szCs w:val="20"/>
        </w:rPr>
        <w:t xml:space="preserve"> </w:t>
      </w:r>
      <w:r w:rsidR="00950493">
        <w:t>November 1</w:t>
      </w:r>
      <w:r w:rsidR="00517A41">
        <w:t>5</w:t>
      </w:r>
      <w:r w:rsidR="001B0BC3" w:rsidRPr="008D05D0">
        <w:t>, 2022</w:t>
      </w:r>
      <w:r>
        <w:rPr>
          <w:rFonts w:cs="Arial"/>
          <w:szCs w:val="20"/>
        </w:rPr>
        <w:t>.</w:t>
      </w:r>
      <w:r w:rsidRPr="009C1876">
        <w:rPr>
          <w:rFonts w:cs="Arial"/>
          <w:szCs w:val="20"/>
        </w:rPr>
        <w:t xml:space="preserve"> </w:t>
      </w:r>
    </w:p>
    <w:p w14:paraId="0FBDE854" w14:textId="77777777" w:rsidR="009727C8" w:rsidRPr="009C1876" w:rsidRDefault="009727C8" w:rsidP="009727C8">
      <w:pPr>
        <w:numPr>
          <w:ilvl w:val="0"/>
          <w:numId w:val="17"/>
        </w:numPr>
        <w:contextualSpacing/>
        <w:rPr>
          <w:rFonts w:cs="Arial"/>
          <w:szCs w:val="20"/>
        </w:rPr>
      </w:pPr>
      <w:r w:rsidRPr="009C1876">
        <w:rPr>
          <w:rFonts w:cs="Arial"/>
          <w:szCs w:val="20"/>
        </w:rPr>
        <w:t>The SOB was updated to identify insignificant activities and emission units not required to be addressed in the operating permit application.</w:t>
      </w:r>
    </w:p>
    <w:p w14:paraId="210E2B35" w14:textId="3A211B40" w:rsidR="009F4248" w:rsidRPr="00725612" w:rsidRDefault="009F4248" w:rsidP="009727C8"/>
    <w:p w14:paraId="379C611A" w14:textId="77777777" w:rsidR="005157B4" w:rsidRPr="004535E5" w:rsidRDefault="005157B4" w:rsidP="004535E5"/>
    <w:p w14:paraId="6EC439EF" w14:textId="683A4181" w:rsidR="00382365" w:rsidRPr="00382365" w:rsidRDefault="00C41AFC" w:rsidP="00382365">
      <w:r w:rsidRPr="009458A8">
        <w:rPr>
          <w:rStyle w:val="Strong"/>
        </w:rPr>
        <w:t xml:space="preserve">EPA </w:t>
      </w:r>
      <w:r>
        <w:rPr>
          <w:rStyle w:val="Strong"/>
        </w:rPr>
        <w:t xml:space="preserve">Objection Claim </w:t>
      </w:r>
      <w:r w:rsidR="007355D0">
        <w:rPr>
          <w:rStyle w:val="Strong"/>
        </w:rPr>
        <w:t>B</w:t>
      </w:r>
      <w:r w:rsidRPr="009458A8">
        <w:rPr>
          <w:rStyle w:val="Strong"/>
        </w:rPr>
        <w:t>:</w:t>
      </w:r>
      <w:r w:rsidR="00B561A0">
        <w:rPr>
          <w:rStyle w:val="Strong"/>
        </w:rPr>
        <w:t xml:space="preserve"> </w:t>
      </w:r>
      <w:r w:rsidR="00382365" w:rsidRPr="00382365">
        <w:t>The Proposed Permit Fails to Include</w:t>
      </w:r>
      <w:r w:rsidR="00025301">
        <w:t xml:space="preserve"> </w:t>
      </w:r>
      <w:r w:rsidR="00382365" w:rsidRPr="00382365">
        <w:t>Monitoring, Testing, and Recordkeeping Provisions that Assure Compliance with</w:t>
      </w:r>
      <w:r w:rsidR="00025301">
        <w:t xml:space="preserve"> </w:t>
      </w:r>
      <w:r w:rsidR="00382365" w:rsidRPr="00382365">
        <w:t>Applicable Requirements</w:t>
      </w:r>
      <w:r w:rsidR="00382365">
        <w:t>.</w:t>
      </w:r>
    </w:p>
    <w:p w14:paraId="402AFE07" w14:textId="78EF73F7" w:rsidR="00C41AFC" w:rsidRDefault="00C41AFC" w:rsidP="004535E5">
      <w:pPr>
        <w:rPr>
          <w:rStyle w:val="Strong"/>
        </w:rPr>
      </w:pPr>
    </w:p>
    <w:p w14:paraId="3157CF62" w14:textId="2452ADBA" w:rsidR="00216177" w:rsidRDefault="00216177" w:rsidP="00216177">
      <w:pPr>
        <w:rPr>
          <w:rFonts w:ascii="Calibri" w:hAnsi="Calibri"/>
          <w:szCs w:val="22"/>
        </w:rPr>
      </w:pPr>
      <w:r w:rsidRPr="00725612">
        <w:rPr>
          <w:rStyle w:val="Strong"/>
        </w:rPr>
        <w:t>TCEQ R</w:t>
      </w:r>
      <w:r>
        <w:rPr>
          <w:rStyle w:val="Strong"/>
        </w:rPr>
        <w:t>esponse to EPA Objection Claim B</w:t>
      </w:r>
      <w:r w:rsidRPr="00725612">
        <w:rPr>
          <w:rStyle w:val="Strong"/>
        </w:rPr>
        <w:t>:</w:t>
      </w:r>
      <w:r w:rsidRPr="00725612">
        <w:t xml:space="preserve"> </w:t>
      </w:r>
      <w:r w:rsidR="005E3943">
        <w:t xml:space="preserve">The Proposed Permit and NSR permits </w:t>
      </w:r>
      <w:r w:rsidR="00055D54">
        <w:t>6825A and 158399 have been revised to i</w:t>
      </w:r>
      <w:r w:rsidR="00055D54" w:rsidRPr="00382365">
        <w:t>nclude</w:t>
      </w:r>
      <w:r w:rsidR="00055D54">
        <w:t xml:space="preserve"> </w:t>
      </w:r>
      <w:r w:rsidR="00055D54" w:rsidRPr="00382365">
        <w:t xml:space="preserve">Monitoring, Testing, Recordkeeping </w:t>
      </w:r>
      <w:r w:rsidR="00055D54">
        <w:t xml:space="preserve">and Reporting requirements </w:t>
      </w:r>
      <w:r w:rsidR="00055D54" w:rsidRPr="00382365">
        <w:t xml:space="preserve">that </w:t>
      </w:r>
      <w:r w:rsidR="00055D54">
        <w:t>a</w:t>
      </w:r>
      <w:r w:rsidR="00055D54" w:rsidRPr="00382365">
        <w:t xml:space="preserve">ssure </w:t>
      </w:r>
      <w:r w:rsidR="00055D54">
        <w:t>c</w:t>
      </w:r>
      <w:r w:rsidR="00055D54" w:rsidRPr="00382365">
        <w:t>ompliance with</w:t>
      </w:r>
      <w:r w:rsidR="00055D54">
        <w:t xml:space="preserve"> a</w:t>
      </w:r>
      <w:r w:rsidR="00055D54" w:rsidRPr="00382365">
        <w:t xml:space="preserve">pplicable </w:t>
      </w:r>
      <w:r w:rsidR="00055D54">
        <w:t>r</w:t>
      </w:r>
      <w:r w:rsidR="00055D54" w:rsidRPr="00382365">
        <w:t>equirements</w:t>
      </w:r>
      <w:r>
        <w:t xml:space="preserve">.  </w:t>
      </w:r>
    </w:p>
    <w:p w14:paraId="750488D4" w14:textId="77777777" w:rsidR="00216177" w:rsidRDefault="00216177" w:rsidP="00366FE7">
      <w:pPr>
        <w:rPr>
          <w:rStyle w:val="Strong"/>
        </w:rPr>
      </w:pPr>
    </w:p>
    <w:p w14:paraId="5053296F" w14:textId="30E8FB7C" w:rsidR="00366FE7" w:rsidRPr="00366FE7" w:rsidRDefault="00366FE7" w:rsidP="00366FE7">
      <w:pPr>
        <w:rPr>
          <w:rFonts w:cs="Arial"/>
          <w:color w:val="232523"/>
          <w:szCs w:val="20"/>
        </w:rPr>
      </w:pPr>
      <w:r w:rsidRPr="009458A8">
        <w:rPr>
          <w:rStyle w:val="Strong"/>
        </w:rPr>
        <w:t xml:space="preserve">EPA </w:t>
      </w:r>
      <w:r>
        <w:rPr>
          <w:rStyle w:val="Strong"/>
        </w:rPr>
        <w:t>Objection Claim B.1</w:t>
      </w:r>
      <w:r w:rsidRPr="009458A8">
        <w:rPr>
          <w:rStyle w:val="Strong"/>
        </w:rPr>
        <w:t>:</w:t>
      </w:r>
      <w:r>
        <w:rPr>
          <w:rStyle w:val="Strong"/>
        </w:rPr>
        <w:t xml:space="preserve"> </w:t>
      </w:r>
      <w:r w:rsidRPr="00366FE7">
        <w:rPr>
          <w:rFonts w:cs="Arial"/>
          <w:color w:val="232523"/>
          <w:szCs w:val="20"/>
        </w:rPr>
        <w:t xml:space="preserve">Monitoring Associated with PBRs, Standard </w:t>
      </w:r>
      <w:r w:rsidRPr="00366FE7">
        <w:rPr>
          <w:rFonts w:cs="Arial"/>
          <w:color w:val="373836"/>
          <w:szCs w:val="20"/>
        </w:rPr>
        <w:t xml:space="preserve">Exemptions, </w:t>
      </w:r>
      <w:r w:rsidRPr="00366FE7">
        <w:rPr>
          <w:rFonts w:cs="Arial"/>
          <w:color w:val="232523"/>
          <w:szCs w:val="20"/>
        </w:rPr>
        <w:t>and Standard</w:t>
      </w:r>
    </w:p>
    <w:p w14:paraId="37851283" w14:textId="21695BB2" w:rsidR="00366FE7" w:rsidRPr="00366FE7" w:rsidRDefault="00366FE7" w:rsidP="00366FE7">
      <w:pPr>
        <w:rPr>
          <w:rStyle w:val="Strong"/>
          <w:rFonts w:cs="Arial"/>
          <w:szCs w:val="20"/>
        </w:rPr>
      </w:pPr>
      <w:r w:rsidRPr="00366FE7">
        <w:rPr>
          <w:rFonts w:cs="Arial"/>
          <w:color w:val="232523"/>
          <w:szCs w:val="20"/>
        </w:rPr>
        <w:t>Permits</w:t>
      </w:r>
    </w:p>
    <w:p w14:paraId="0D8C2C25" w14:textId="1EFBD605" w:rsidR="00366FE7" w:rsidRDefault="00366FE7" w:rsidP="004535E5">
      <w:pPr>
        <w:rPr>
          <w:rStyle w:val="Strong"/>
          <w:rFonts w:cs="Arial"/>
          <w:szCs w:val="20"/>
        </w:rPr>
      </w:pPr>
    </w:p>
    <w:p w14:paraId="08855CA4" w14:textId="08280902" w:rsidR="009C67C1" w:rsidRPr="009C67C1" w:rsidRDefault="009C67C1" w:rsidP="009C67C1">
      <w:pPr>
        <w:rPr>
          <w:rFonts w:cs="Arial"/>
          <w:color w:val="333233"/>
          <w:szCs w:val="20"/>
        </w:rPr>
      </w:pPr>
      <w:r w:rsidRPr="009C67C1">
        <w:rPr>
          <w:rFonts w:cs="Arial"/>
          <w:color w:val="333233"/>
          <w:szCs w:val="20"/>
        </w:rPr>
        <w:t>In re</w:t>
      </w:r>
      <w:r w:rsidRPr="009C67C1">
        <w:rPr>
          <w:rFonts w:cs="Arial"/>
          <w:color w:val="4D4B4B"/>
          <w:szCs w:val="20"/>
        </w:rPr>
        <w:t>s</w:t>
      </w:r>
      <w:r w:rsidRPr="009C67C1">
        <w:rPr>
          <w:rFonts w:cs="Arial"/>
          <w:color w:val="333233"/>
          <w:szCs w:val="20"/>
        </w:rPr>
        <w:t>pondin</w:t>
      </w:r>
      <w:r w:rsidRPr="009C67C1">
        <w:rPr>
          <w:rFonts w:cs="Arial"/>
          <w:color w:val="4D4B4B"/>
          <w:szCs w:val="20"/>
        </w:rPr>
        <w:t xml:space="preserve">g </w:t>
      </w:r>
      <w:r w:rsidRPr="009C67C1">
        <w:rPr>
          <w:rFonts w:cs="Arial"/>
          <w:color w:val="333233"/>
          <w:szCs w:val="20"/>
        </w:rPr>
        <w:t>to thi</w:t>
      </w:r>
      <w:r w:rsidRPr="009C67C1">
        <w:rPr>
          <w:rFonts w:cs="Arial"/>
          <w:color w:val="4D4B4B"/>
          <w:szCs w:val="20"/>
        </w:rPr>
        <w:t xml:space="preserve">s </w:t>
      </w:r>
      <w:r w:rsidRPr="009C67C1">
        <w:rPr>
          <w:rFonts w:cs="Arial"/>
          <w:color w:val="333233"/>
          <w:szCs w:val="20"/>
        </w:rPr>
        <w:t>order</w:t>
      </w:r>
      <w:r w:rsidRPr="009C67C1">
        <w:rPr>
          <w:rFonts w:cs="Arial"/>
          <w:color w:val="4D4B4B"/>
          <w:szCs w:val="20"/>
        </w:rPr>
        <w:t xml:space="preserve">, </w:t>
      </w:r>
      <w:r w:rsidRPr="009C67C1">
        <w:rPr>
          <w:rFonts w:cs="Arial"/>
          <w:color w:val="333233"/>
          <w:szCs w:val="20"/>
        </w:rPr>
        <w:t>TC</w:t>
      </w:r>
      <w:r w:rsidRPr="009C67C1">
        <w:rPr>
          <w:rFonts w:cs="Arial"/>
          <w:color w:val="4D4B4B"/>
          <w:szCs w:val="20"/>
        </w:rPr>
        <w:t>E</w:t>
      </w:r>
      <w:r w:rsidRPr="009C67C1">
        <w:rPr>
          <w:rFonts w:cs="Arial"/>
          <w:color w:val="333233"/>
          <w:szCs w:val="20"/>
        </w:rPr>
        <w:t xml:space="preserve">Q </w:t>
      </w:r>
      <w:r w:rsidRPr="009C67C1">
        <w:rPr>
          <w:rFonts w:cs="Arial"/>
          <w:color w:val="4D4B4B"/>
          <w:szCs w:val="20"/>
        </w:rPr>
        <w:t>s</w:t>
      </w:r>
      <w:r w:rsidRPr="009C67C1">
        <w:rPr>
          <w:rFonts w:cs="Arial"/>
          <w:color w:val="333233"/>
          <w:szCs w:val="20"/>
        </w:rPr>
        <w:t xml:space="preserve">hould specify the </w:t>
      </w:r>
      <w:bookmarkStart w:id="2" w:name="_Hlk116306107"/>
      <w:r w:rsidRPr="009C67C1">
        <w:rPr>
          <w:rFonts w:cs="Arial"/>
          <w:color w:val="333233"/>
          <w:szCs w:val="20"/>
        </w:rPr>
        <w:t>monitoring</w:t>
      </w:r>
      <w:r w:rsidRPr="009C67C1">
        <w:rPr>
          <w:rFonts w:cs="Arial"/>
          <w:color w:val="4D4B4B"/>
          <w:szCs w:val="20"/>
        </w:rPr>
        <w:t>,</w:t>
      </w:r>
      <w:r w:rsidR="00EF0915">
        <w:rPr>
          <w:rFonts w:cs="Arial"/>
          <w:color w:val="4D4B4B"/>
          <w:szCs w:val="20"/>
        </w:rPr>
        <w:t xml:space="preserve"> </w:t>
      </w:r>
      <w:r w:rsidRPr="009C67C1">
        <w:rPr>
          <w:rFonts w:cs="Arial"/>
          <w:color w:val="333233"/>
          <w:szCs w:val="20"/>
        </w:rPr>
        <w:t>recordkeepin</w:t>
      </w:r>
      <w:r w:rsidRPr="009C67C1">
        <w:rPr>
          <w:rFonts w:cs="Arial"/>
          <w:color w:val="4D4B4B"/>
          <w:szCs w:val="20"/>
        </w:rPr>
        <w:t xml:space="preserve">g, </w:t>
      </w:r>
      <w:r w:rsidRPr="009C67C1">
        <w:rPr>
          <w:rFonts w:cs="Arial"/>
          <w:color w:val="333233"/>
          <w:szCs w:val="20"/>
        </w:rPr>
        <w:t>and reportin</w:t>
      </w:r>
      <w:r w:rsidRPr="009C67C1">
        <w:rPr>
          <w:rFonts w:cs="Arial"/>
          <w:color w:val="4D4B4B"/>
          <w:szCs w:val="20"/>
        </w:rPr>
        <w:t xml:space="preserve">g </w:t>
      </w:r>
      <w:r w:rsidRPr="009C67C1">
        <w:rPr>
          <w:rFonts w:cs="Arial"/>
          <w:color w:val="333233"/>
          <w:szCs w:val="20"/>
        </w:rPr>
        <w:t xml:space="preserve">that assures compliance </w:t>
      </w:r>
      <w:r w:rsidRPr="009C67C1">
        <w:rPr>
          <w:rFonts w:cs="Arial"/>
          <w:color w:val="4D4B4B"/>
          <w:szCs w:val="20"/>
        </w:rPr>
        <w:t>w</w:t>
      </w:r>
      <w:r w:rsidRPr="009C67C1">
        <w:rPr>
          <w:rFonts w:cs="Arial"/>
          <w:color w:val="333233"/>
          <w:szCs w:val="20"/>
        </w:rPr>
        <w:t>ith the requirements of the PBRs</w:t>
      </w:r>
      <w:r w:rsidRPr="009C67C1">
        <w:rPr>
          <w:rFonts w:cs="Arial"/>
          <w:color w:val="4D4B4B"/>
          <w:szCs w:val="20"/>
        </w:rPr>
        <w:t>,</w:t>
      </w:r>
      <w:r w:rsidR="00EF0915">
        <w:rPr>
          <w:rFonts w:cs="Arial"/>
          <w:color w:val="4D4B4B"/>
          <w:szCs w:val="20"/>
        </w:rPr>
        <w:t xml:space="preserve"> </w:t>
      </w:r>
      <w:r w:rsidRPr="009C67C1">
        <w:rPr>
          <w:rFonts w:cs="Arial"/>
          <w:color w:val="333233"/>
          <w:szCs w:val="20"/>
        </w:rPr>
        <w:t>Standard Exemptions</w:t>
      </w:r>
      <w:r w:rsidRPr="009C67C1">
        <w:rPr>
          <w:rFonts w:cs="Arial"/>
          <w:color w:val="4D4B4B"/>
          <w:szCs w:val="20"/>
        </w:rPr>
        <w:t xml:space="preserve">, </w:t>
      </w:r>
      <w:r w:rsidRPr="009C67C1">
        <w:rPr>
          <w:rFonts w:cs="Arial"/>
          <w:color w:val="333233"/>
          <w:szCs w:val="20"/>
        </w:rPr>
        <w:t>and Standard Permits that appl</w:t>
      </w:r>
      <w:r w:rsidRPr="009C67C1">
        <w:rPr>
          <w:rFonts w:cs="Arial"/>
          <w:color w:val="4D4B4B"/>
          <w:szCs w:val="20"/>
        </w:rPr>
        <w:t xml:space="preserve">y </w:t>
      </w:r>
      <w:r w:rsidRPr="009C67C1">
        <w:rPr>
          <w:rFonts w:cs="Arial"/>
          <w:color w:val="333233"/>
          <w:szCs w:val="20"/>
        </w:rPr>
        <w:t>to non-insignificant units in the Premcor</w:t>
      </w:r>
      <w:r w:rsidR="00EF0915">
        <w:rPr>
          <w:rFonts w:cs="Arial"/>
          <w:color w:val="333233"/>
          <w:szCs w:val="20"/>
        </w:rPr>
        <w:t xml:space="preserve"> </w:t>
      </w:r>
      <w:r w:rsidRPr="009C67C1">
        <w:rPr>
          <w:rFonts w:cs="Arial"/>
          <w:color w:val="333233"/>
          <w:szCs w:val="20"/>
        </w:rPr>
        <w:t>title V permit</w:t>
      </w:r>
      <w:bookmarkEnd w:id="2"/>
      <w:r w:rsidRPr="009C67C1">
        <w:rPr>
          <w:rFonts w:cs="Arial"/>
          <w:color w:val="333233"/>
          <w:szCs w:val="20"/>
        </w:rPr>
        <w:t>. If the underl</w:t>
      </w:r>
      <w:r w:rsidRPr="009C67C1">
        <w:rPr>
          <w:rFonts w:cs="Arial"/>
          <w:color w:val="4D4B4B"/>
          <w:szCs w:val="20"/>
        </w:rPr>
        <w:t>y</w:t>
      </w:r>
      <w:r w:rsidRPr="009C67C1">
        <w:rPr>
          <w:rFonts w:cs="Arial"/>
          <w:color w:val="333233"/>
          <w:szCs w:val="20"/>
        </w:rPr>
        <w:t>in</w:t>
      </w:r>
      <w:r w:rsidRPr="009C67C1">
        <w:rPr>
          <w:rFonts w:cs="Arial"/>
          <w:color w:val="4D4B4B"/>
          <w:szCs w:val="20"/>
        </w:rPr>
        <w:t xml:space="preserve">g </w:t>
      </w:r>
      <w:r w:rsidRPr="009C67C1">
        <w:rPr>
          <w:rFonts w:cs="Arial"/>
          <w:color w:val="333233"/>
          <w:szCs w:val="20"/>
        </w:rPr>
        <w:t>PBR</w:t>
      </w:r>
      <w:r w:rsidRPr="009C67C1">
        <w:rPr>
          <w:rFonts w:cs="Arial"/>
          <w:color w:val="4D4B4B"/>
          <w:szCs w:val="20"/>
        </w:rPr>
        <w:t xml:space="preserve">, </w:t>
      </w:r>
      <w:r w:rsidRPr="009C67C1">
        <w:rPr>
          <w:rFonts w:cs="Arial"/>
          <w:color w:val="333233"/>
          <w:szCs w:val="20"/>
        </w:rPr>
        <w:t xml:space="preserve">Standard </w:t>
      </w:r>
      <w:r w:rsidRPr="009C67C1">
        <w:rPr>
          <w:rFonts w:cs="Arial"/>
          <w:color w:val="4D4B4B"/>
          <w:szCs w:val="20"/>
        </w:rPr>
        <w:t>Ex</w:t>
      </w:r>
      <w:r w:rsidRPr="009C67C1">
        <w:rPr>
          <w:rFonts w:cs="Arial"/>
          <w:color w:val="333233"/>
          <w:szCs w:val="20"/>
        </w:rPr>
        <w:t>emption</w:t>
      </w:r>
      <w:r w:rsidRPr="009C67C1">
        <w:rPr>
          <w:rFonts w:cs="Arial"/>
          <w:color w:val="4D4B4B"/>
          <w:szCs w:val="20"/>
        </w:rPr>
        <w:t xml:space="preserve">, </w:t>
      </w:r>
      <w:r w:rsidRPr="009C67C1">
        <w:rPr>
          <w:rFonts w:cs="Arial"/>
          <w:color w:val="333233"/>
          <w:szCs w:val="20"/>
        </w:rPr>
        <w:t>or Standard Permit contains</w:t>
      </w:r>
      <w:r w:rsidR="00EF0915">
        <w:rPr>
          <w:rFonts w:cs="Arial"/>
          <w:color w:val="333233"/>
          <w:szCs w:val="20"/>
        </w:rPr>
        <w:t xml:space="preserve"> </w:t>
      </w:r>
      <w:r w:rsidRPr="009C67C1">
        <w:rPr>
          <w:rFonts w:cs="Arial"/>
          <w:color w:val="333233"/>
          <w:szCs w:val="20"/>
        </w:rPr>
        <w:t>monitoring</w:t>
      </w:r>
      <w:r w:rsidRPr="009C67C1">
        <w:rPr>
          <w:rFonts w:cs="Arial"/>
          <w:color w:val="4D4B4B"/>
          <w:szCs w:val="20"/>
        </w:rPr>
        <w:t xml:space="preserve">, </w:t>
      </w:r>
      <w:r w:rsidRPr="009C67C1">
        <w:rPr>
          <w:rFonts w:cs="Arial"/>
          <w:color w:val="333233"/>
          <w:szCs w:val="20"/>
        </w:rPr>
        <w:t>recordke</w:t>
      </w:r>
      <w:r w:rsidRPr="009C67C1">
        <w:rPr>
          <w:rFonts w:cs="Arial"/>
          <w:color w:val="4D4B4B"/>
          <w:szCs w:val="20"/>
        </w:rPr>
        <w:t>e</w:t>
      </w:r>
      <w:r w:rsidRPr="009C67C1">
        <w:rPr>
          <w:rFonts w:cs="Arial"/>
          <w:color w:val="333233"/>
          <w:szCs w:val="20"/>
        </w:rPr>
        <w:t>ping</w:t>
      </w:r>
      <w:r w:rsidRPr="009C67C1">
        <w:rPr>
          <w:rFonts w:cs="Arial"/>
          <w:color w:val="686666"/>
          <w:szCs w:val="20"/>
        </w:rPr>
        <w:t xml:space="preserve">, </w:t>
      </w:r>
      <w:r w:rsidRPr="009C67C1">
        <w:rPr>
          <w:rFonts w:cs="Arial"/>
          <w:color w:val="333233"/>
          <w:szCs w:val="20"/>
        </w:rPr>
        <w:t>and reporting</w:t>
      </w:r>
      <w:r w:rsidRPr="009C67C1">
        <w:rPr>
          <w:rFonts w:cs="Arial"/>
          <w:color w:val="686666"/>
          <w:szCs w:val="20"/>
        </w:rPr>
        <w:t xml:space="preserve">, </w:t>
      </w:r>
      <w:r w:rsidRPr="009C67C1">
        <w:rPr>
          <w:rFonts w:cs="Arial"/>
          <w:color w:val="333233"/>
          <w:szCs w:val="20"/>
        </w:rPr>
        <w:t>TC</w:t>
      </w:r>
      <w:r w:rsidRPr="009C67C1">
        <w:rPr>
          <w:rFonts w:cs="Arial"/>
          <w:color w:val="4D4B4B"/>
          <w:szCs w:val="20"/>
        </w:rPr>
        <w:t>E</w:t>
      </w:r>
      <w:r w:rsidRPr="009C67C1">
        <w:rPr>
          <w:rFonts w:cs="Arial"/>
          <w:color w:val="333233"/>
          <w:szCs w:val="20"/>
        </w:rPr>
        <w:t>Q should identify tho</w:t>
      </w:r>
      <w:r w:rsidRPr="009C67C1">
        <w:rPr>
          <w:rFonts w:cs="Arial"/>
          <w:color w:val="4D4B4B"/>
          <w:szCs w:val="20"/>
        </w:rPr>
        <w:t>s</w:t>
      </w:r>
      <w:r w:rsidRPr="009C67C1">
        <w:rPr>
          <w:rFonts w:cs="Arial"/>
          <w:color w:val="333233"/>
          <w:szCs w:val="20"/>
        </w:rPr>
        <w:t>e in the permit record and</w:t>
      </w:r>
      <w:r w:rsidR="00EF0915">
        <w:rPr>
          <w:rFonts w:cs="Arial"/>
          <w:color w:val="333233"/>
          <w:szCs w:val="20"/>
        </w:rPr>
        <w:t xml:space="preserve"> </w:t>
      </w:r>
      <w:r w:rsidRPr="009C67C1">
        <w:rPr>
          <w:rFonts w:cs="Arial"/>
          <w:color w:val="333233"/>
          <w:szCs w:val="20"/>
        </w:rPr>
        <w:t>determine if the monitor</w:t>
      </w:r>
      <w:r w:rsidRPr="009C67C1">
        <w:rPr>
          <w:rFonts w:cs="Arial"/>
          <w:color w:val="2E2B59"/>
          <w:szCs w:val="20"/>
        </w:rPr>
        <w:t>i</w:t>
      </w:r>
      <w:r w:rsidRPr="009C67C1">
        <w:rPr>
          <w:rFonts w:cs="Arial"/>
          <w:color w:val="333233"/>
          <w:szCs w:val="20"/>
        </w:rPr>
        <w:t>n</w:t>
      </w:r>
      <w:r w:rsidRPr="009C67C1">
        <w:rPr>
          <w:rFonts w:cs="Arial"/>
          <w:color w:val="4D4B4B"/>
          <w:szCs w:val="20"/>
        </w:rPr>
        <w:t xml:space="preserve">g </w:t>
      </w:r>
      <w:r w:rsidRPr="009C67C1">
        <w:rPr>
          <w:rFonts w:cs="Arial"/>
          <w:color w:val="333233"/>
          <w:szCs w:val="20"/>
        </w:rPr>
        <w:t>in those PBRs</w:t>
      </w:r>
      <w:r w:rsidRPr="009C67C1">
        <w:rPr>
          <w:rFonts w:cs="Arial"/>
          <w:color w:val="686666"/>
          <w:szCs w:val="20"/>
        </w:rPr>
        <w:t xml:space="preserve">, </w:t>
      </w:r>
      <w:r w:rsidRPr="009C67C1">
        <w:rPr>
          <w:rFonts w:cs="Arial"/>
          <w:color w:val="333233"/>
          <w:szCs w:val="20"/>
        </w:rPr>
        <w:t xml:space="preserve">Standard </w:t>
      </w:r>
      <w:r w:rsidRPr="009C67C1">
        <w:rPr>
          <w:rFonts w:cs="Arial"/>
          <w:color w:val="4D4B4B"/>
          <w:szCs w:val="20"/>
        </w:rPr>
        <w:t>Ex</w:t>
      </w:r>
      <w:r w:rsidRPr="009C67C1">
        <w:rPr>
          <w:rFonts w:cs="Arial"/>
          <w:color w:val="333233"/>
          <w:szCs w:val="20"/>
        </w:rPr>
        <w:t>emptions</w:t>
      </w:r>
      <w:r w:rsidRPr="009C67C1">
        <w:rPr>
          <w:rFonts w:cs="Arial"/>
          <w:color w:val="4D4B4B"/>
          <w:szCs w:val="20"/>
        </w:rPr>
        <w:t xml:space="preserve">, </w:t>
      </w:r>
      <w:r w:rsidRPr="009C67C1">
        <w:rPr>
          <w:rFonts w:cs="Arial"/>
          <w:color w:val="333233"/>
          <w:szCs w:val="20"/>
        </w:rPr>
        <w:t>and Standard Permits is</w:t>
      </w:r>
      <w:r w:rsidR="00EF0915">
        <w:rPr>
          <w:rFonts w:cs="Arial"/>
          <w:color w:val="333233"/>
          <w:szCs w:val="20"/>
        </w:rPr>
        <w:t xml:space="preserve"> </w:t>
      </w:r>
      <w:r w:rsidRPr="009C67C1">
        <w:rPr>
          <w:rFonts w:cs="Arial"/>
          <w:color w:val="333233"/>
          <w:szCs w:val="20"/>
        </w:rPr>
        <w:t>adequate. On the other hand</w:t>
      </w:r>
      <w:r w:rsidRPr="009C67C1">
        <w:rPr>
          <w:rFonts w:cs="Arial"/>
          <w:color w:val="686666"/>
          <w:szCs w:val="20"/>
        </w:rPr>
        <w:t xml:space="preserve">, </w:t>
      </w:r>
      <w:r w:rsidRPr="009C67C1">
        <w:rPr>
          <w:rFonts w:cs="Arial"/>
          <w:color w:val="333233"/>
          <w:szCs w:val="20"/>
        </w:rPr>
        <w:t>if the PBRs</w:t>
      </w:r>
      <w:r w:rsidRPr="009C67C1">
        <w:rPr>
          <w:rFonts w:cs="Arial"/>
          <w:color w:val="686666"/>
          <w:szCs w:val="20"/>
        </w:rPr>
        <w:t xml:space="preserve">, </w:t>
      </w:r>
      <w:r w:rsidRPr="009C67C1">
        <w:rPr>
          <w:rFonts w:cs="Arial"/>
          <w:color w:val="333233"/>
          <w:szCs w:val="20"/>
        </w:rPr>
        <w:t>Standard Exemptions and Standard Permits do not</w:t>
      </w:r>
    </w:p>
    <w:p w14:paraId="3E4E3BDC" w14:textId="7B3A9DDB" w:rsidR="009C67C1" w:rsidRPr="009C67C1" w:rsidRDefault="009C67C1" w:rsidP="009C67C1">
      <w:pPr>
        <w:rPr>
          <w:rStyle w:val="Strong"/>
          <w:rFonts w:cs="Arial"/>
          <w:szCs w:val="20"/>
        </w:rPr>
      </w:pPr>
      <w:r w:rsidRPr="009C67C1">
        <w:rPr>
          <w:rFonts w:cs="Arial"/>
          <w:color w:val="333233"/>
          <w:szCs w:val="20"/>
        </w:rPr>
        <w:t>contain any underl</w:t>
      </w:r>
      <w:r w:rsidRPr="009C67C1">
        <w:rPr>
          <w:rFonts w:cs="Arial"/>
          <w:color w:val="4D4B4B"/>
          <w:szCs w:val="20"/>
        </w:rPr>
        <w:t>y</w:t>
      </w:r>
      <w:r w:rsidRPr="009C67C1">
        <w:rPr>
          <w:rFonts w:cs="Arial"/>
          <w:color w:val="333233"/>
          <w:szCs w:val="20"/>
        </w:rPr>
        <w:t>ing monitoring</w:t>
      </w:r>
      <w:r w:rsidRPr="009C67C1">
        <w:rPr>
          <w:rFonts w:cs="Arial"/>
          <w:color w:val="4D4B4B"/>
          <w:szCs w:val="20"/>
        </w:rPr>
        <w:t xml:space="preserve">, </w:t>
      </w:r>
      <w:r w:rsidRPr="009C67C1">
        <w:rPr>
          <w:rFonts w:cs="Arial"/>
          <w:color w:val="333233"/>
          <w:szCs w:val="20"/>
        </w:rPr>
        <w:t>recordkeeping</w:t>
      </w:r>
      <w:r w:rsidRPr="009C67C1">
        <w:rPr>
          <w:rFonts w:cs="Arial"/>
          <w:color w:val="4D4B4B"/>
          <w:szCs w:val="20"/>
        </w:rPr>
        <w:t xml:space="preserve">, </w:t>
      </w:r>
      <w:r w:rsidRPr="009C67C1">
        <w:rPr>
          <w:rFonts w:cs="Arial"/>
          <w:color w:val="333233"/>
          <w:szCs w:val="20"/>
        </w:rPr>
        <w:t>or reporting</w:t>
      </w:r>
      <w:r w:rsidRPr="009C67C1">
        <w:rPr>
          <w:rFonts w:cs="Arial"/>
          <w:color w:val="4D4B4B"/>
          <w:szCs w:val="20"/>
        </w:rPr>
        <w:t xml:space="preserve">, </w:t>
      </w:r>
      <w:r w:rsidRPr="009C67C1">
        <w:rPr>
          <w:rFonts w:cs="Arial"/>
          <w:color w:val="333233"/>
          <w:szCs w:val="20"/>
        </w:rPr>
        <w:t>like PBR 30 TAC 106.261 and</w:t>
      </w:r>
      <w:r w:rsidR="00EF0915">
        <w:rPr>
          <w:rFonts w:cs="Arial"/>
          <w:color w:val="333233"/>
          <w:szCs w:val="20"/>
        </w:rPr>
        <w:t xml:space="preserve"> </w:t>
      </w:r>
      <w:r w:rsidRPr="009C67C1">
        <w:rPr>
          <w:rFonts w:cs="Arial"/>
          <w:color w:val="333233"/>
          <w:szCs w:val="20"/>
        </w:rPr>
        <w:t>106.263</w:t>
      </w:r>
      <w:r w:rsidRPr="009C67C1">
        <w:rPr>
          <w:rFonts w:cs="Arial"/>
          <w:color w:val="4D4B4B"/>
          <w:szCs w:val="20"/>
        </w:rPr>
        <w:t xml:space="preserve">, </w:t>
      </w:r>
      <w:r w:rsidRPr="009C67C1">
        <w:rPr>
          <w:rFonts w:cs="Arial"/>
          <w:color w:val="333233"/>
          <w:szCs w:val="20"/>
        </w:rPr>
        <w:t>then TC</w:t>
      </w:r>
      <w:r w:rsidRPr="009C67C1">
        <w:rPr>
          <w:rFonts w:cs="Arial"/>
          <w:color w:val="4D4B4B"/>
          <w:szCs w:val="20"/>
        </w:rPr>
        <w:t>E</w:t>
      </w:r>
      <w:r w:rsidRPr="009C67C1">
        <w:rPr>
          <w:rFonts w:cs="Arial"/>
          <w:color w:val="333233"/>
          <w:szCs w:val="20"/>
        </w:rPr>
        <w:t>Q should specify what monitoring</w:t>
      </w:r>
      <w:r w:rsidRPr="009C67C1">
        <w:rPr>
          <w:rFonts w:cs="Arial"/>
          <w:color w:val="4D4B4B"/>
          <w:szCs w:val="20"/>
        </w:rPr>
        <w:t xml:space="preserve">, </w:t>
      </w:r>
      <w:r w:rsidRPr="009C67C1">
        <w:rPr>
          <w:rFonts w:cs="Arial"/>
          <w:color w:val="333233"/>
          <w:szCs w:val="20"/>
        </w:rPr>
        <w:t>recordkeeping</w:t>
      </w:r>
      <w:r w:rsidRPr="009C67C1">
        <w:rPr>
          <w:rFonts w:cs="Arial"/>
          <w:color w:val="4D4B4B"/>
          <w:szCs w:val="20"/>
        </w:rPr>
        <w:t xml:space="preserve">, </w:t>
      </w:r>
      <w:r w:rsidRPr="009C67C1">
        <w:rPr>
          <w:rFonts w:cs="Arial"/>
          <w:color w:val="333233"/>
          <w:szCs w:val="20"/>
        </w:rPr>
        <w:t>or reportin</w:t>
      </w:r>
      <w:r w:rsidRPr="009C67C1">
        <w:rPr>
          <w:rFonts w:cs="Arial"/>
          <w:color w:val="4D4B4B"/>
          <w:szCs w:val="20"/>
        </w:rPr>
        <w:t xml:space="preserve">g </w:t>
      </w:r>
      <w:r w:rsidRPr="009C67C1">
        <w:rPr>
          <w:rFonts w:cs="Arial"/>
          <w:color w:val="333233"/>
          <w:szCs w:val="20"/>
        </w:rPr>
        <w:t>will assure</w:t>
      </w:r>
      <w:r w:rsidR="00EF0915">
        <w:rPr>
          <w:rFonts w:cs="Arial"/>
          <w:color w:val="333233"/>
          <w:szCs w:val="20"/>
        </w:rPr>
        <w:t xml:space="preserve"> </w:t>
      </w:r>
      <w:r w:rsidRPr="009C67C1">
        <w:rPr>
          <w:rFonts w:cs="Arial"/>
          <w:color w:val="333233"/>
          <w:szCs w:val="20"/>
        </w:rPr>
        <w:t>compliance with the requirements of those PBRs and the emission limits in 30 TAC 106.4(a</w:t>
      </w:r>
      <w:r w:rsidRPr="009C67C1">
        <w:rPr>
          <w:rFonts w:cs="Arial"/>
          <w:color w:val="4D4B4B"/>
          <w:szCs w:val="20"/>
        </w:rPr>
        <w:t xml:space="preserve">)( </w:t>
      </w:r>
      <w:r w:rsidRPr="009C67C1">
        <w:rPr>
          <w:rFonts w:cs="Arial"/>
          <w:color w:val="333233"/>
          <w:szCs w:val="20"/>
        </w:rPr>
        <w:t xml:space="preserve">l </w:t>
      </w:r>
      <w:r w:rsidRPr="009C67C1">
        <w:rPr>
          <w:rFonts w:cs="Arial"/>
          <w:color w:val="4D4B4B"/>
          <w:szCs w:val="20"/>
        </w:rPr>
        <w:t>)</w:t>
      </w:r>
      <w:r w:rsidR="00EF0915">
        <w:rPr>
          <w:rFonts w:cs="Arial"/>
          <w:color w:val="4D4B4B"/>
          <w:szCs w:val="20"/>
        </w:rPr>
        <w:t xml:space="preserve"> </w:t>
      </w:r>
      <w:r w:rsidRPr="009C67C1">
        <w:rPr>
          <w:rFonts w:cs="Arial"/>
          <w:color w:val="333233"/>
          <w:szCs w:val="20"/>
        </w:rPr>
        <w:t>as the</w:t>
      </w:r>
      <w:r w:rsidRPr="009C67C1">
        <w:rPr>
          <w:rFonts w:cs="Arial"/>
          <w:color w:val="4D4B4B"/>
          <w:szCs w:val="20"/>
        </w:rPr>
        <w:t xml:space="preserve">y </w:t>
      </w:r>
      <w:r w:rsidRPr="009C67C1">
        <w:rPr>
          <w:rFonts w:cs="Arial"/>
          <w:color w:val="333233"/>
          <w:szCs w:val="20"/>
        </w:rPr>
        <w:t>appl</w:t>
      </w:r>
      <w:r w:rsidRPr="009C67C1">
        <w:rPr>
          <w:rFonts w:cs="Arial"/>
          <w:color w:val="4D4B4B"/>
          <w:szCs w:val="20"/>
        </w:rPr>
        <w:t xml:space="preserve">y </w:t>
      </w:r>
      <w:r w:rsidRPr="009C67C1">
        <w:rPr>
          <w:rFonts w:cs="Arial"/>
          <w:color w:val="333233"/>
          <w:szCs w:val="20"/>
        </w:rPr>
        <w:t>to units authoriz</w:t>
      </w:r>
      <w:r w:rsidRPr="009C67C1">
        <w:rPr>
          <w:rFonts w:cs="Arial"/>
          <w:color w:val="4D4B4B"/>
          <w:szCs w:val="20"/>
        </w:rPr>
        <w:t>e</w:t>
      </w:r>
      <w:r w:rsidRPr="009C67C1">
        <w:rPr>
          <w:rFonts w:cs="Arial"/>
          <w:color w:val="333233"/>
          <w:szCs w:val="20"/>
        </w:rPr>
        <w:t>d b</w:t>
      </w:r>
      <w:r w:rsidRPr="009C67C1">
        <w:rPr>
          <w:rFonts w:cs="Arial"/>
          <w:color w:val="4D4B4B"/>
          <w:szCs w:val="20"/>
        </w:rPr>
        <w:t xml:space="preserve">y </w:t>
      </w:r>
      <w:r w:rsidRPr="009C67C1">
        <w:rPr>
          <w:rFonts w:cs="Arial"/>
          <w:color w:val="333233"/>
          <w:szCs w:val="20"/>
        </w:rPr>
        <w:t>those PBRs</w:t>
      </w:r>
      <w:r w:rsidRPr="009C67C1">
        <w:rPr>
          <w:rFonts w:cs="Arial"/>
          <w:color w:val="4D4B4B"/>
          <w:szCs w:val="20"/>
        </w:rPr>
        <w:t xml:space="preserve">. </w:t>
      </w:r>
      <w:r w:rsidRPr="009C67C1">
        <w:rPr>
          <w:rFonts w:cs="Arial"/>
          <w:color w:val="333233"/>
          <w:szCs w:val="20"/>
        </w:rPr>
        <w:t>If the Permit</w:t>
      </w:r>
      <w:r w:rsidRPr="009C67C1">
        <w:rPr>
          <w:rFonts w:cs="Arial"/>
          <w:color w:val="4D4B4B"/>
          <w:szCs w:val="20"/>
        </w:rPr>
        <w:t xml:space="preserve">, </w:t>
      </w:r>
      <w:r w:rsidRPr="009C67C1">
        <w:rPr>
          <w:rFonts w:cs="Arial"/>
          <w:color w:val="333233"/>
          <w:szCs w:val="20"/>
        </w:rPr>
        <w:t>Chapter 116 NSR permits</w:t>
      </w:r>
      <w:r w:rsidRPr="009C67C1">
        <w:rPr>
          <w:rFonts w:cs="Arial"/>
          <w:color w:val="4D4B4B"/>
          <w:szCs w:val="20"/>
        </w:rPr>
        <w:t xml:space="preserve">, </w:t>
      </w:r>
      <w:r w:rsidRPr="009C67C1">
        <w:rPr>
          <w:rFonts w:cs="Arial"/>
          <w:color w:val="333233"/>
          <w:szCs w:val="20"/>
        </w:rPr>
        <w:t>NSPS</w:t>
      </w:r>
      <w:r w:rsidRPr="009C67C1">
        <w:rPr>
          <w:rFonts w:cs="Arial"/>
          <w:color w:val="4D4B4B"/>
          <w:szCs w:val="20"/>
        </w:rPr>
        <w:t>,</w:t>
      </w:r>
      <w:r w:rsidR="00EF0915">
        <w:rPr>
          <w:rFonts w:cs="Arial"/>
          <w:color w:val="4D4B4B"/>
          <w:szCs w:val="20"/>
        </w:rPr>
        <w:t xml:space="preserve"> </w:t>
      </w:r>
      <w:r w:rsidRPr="009C67C1">
        <w:rPr>
          <w:rFonts w:cs="Arial"/>
          <w:color w:val="333233"/>
          <w:szCs w:val="20"/>
        </w:rPr>
        <w:t>N</w:t>
      </w:r>
      <w:r w:rsidRPr="009C67C1">
        <w:rPr>
          <w:rFonts w:cs="Arial"/>
          <w:color w:val="4D4B4B"/>
          <w:szCs w:val="20"/>
        </w:rPr>
        <w:t>E</w:t>
      </w:r>
      <w:r w:rsidRPr="009C67C1">
        <w:rPr>
          <w:rFonts w:cs="Arial"/>
          <w:color w:val="333233"/>
          <w:szCs w:val="20"/>
        </w:rPr>
        <w:t>SHAP</w:t>
      </w:r>
      <w:r w:rsidRPr="009C67C1">
        <w:rPr>
          <w:rFonts w:cs="Arial"/>
          <w:color w:val="4D4B4B"/>
          <w:szCs w:val="20"/>
        </w:rPr>
        <w:t xml:space="preserve">, </w:t>
      </w:r>
      <w:r w:rsidRPr="009C67C1">
        <w:rPr>
          <w:rFonts w:cs="Arial"/>
          <w:color w:val="333233"/>
          <w:szCs w:val="20"/>
        </w:rPr>
        <w:t>or enforceable representations in an application already contain adequate terms to</w:t>
      </w:r>
      <w:r w:rsidR="00EF0915">
        <w:rPr>
          <w:rFonts w:cs="Arial"/>
          <w:color w:val="333233"/>
          <w:szCs w:val="20"/>
        </w:rPr>
        <w:t xml:space="preserve"> </w:t>
      </w:r>
      <w:r w:rsidRPr="009C67C1">
        <w:rPr>
          <w:rFonts w:cs="Arial"/>
          <w:color w:val="333233"/>
          <w:szCs w:val="20"/>
        </w:rPr>
        <w:t>assure complianc</w:t>
      </w:r>
      <w:r w:rsidRPr="009C67C1">
        <w:rPr>
          <w:rFonts w:cs="Arial"/>
          <w:color w:val="4D4B4B"/>
          <w:szCs w:val="20"/>
        </w:rPr>
        <w:t>e w</w:t>
      </w:r>
      <w:r w:rsidRPr="009C67C1">
        <w:rPr>
          <w:rFonts w:cs="Arial"/>
          <w:color w:val="333233"/>
          <w:szCs w:val="20"/>
        </w:rPr>
        <w:t>ith PBRs</w:t>
      </w:r>
      <w:r w:rsidRPr="009C67C1">
        <w:rPr>
          <w:rFonts w:cs="Arial"/>
          <w:color w:val="4D4B4B"/>
          <w:szCs w:val="20"/>
        </w:rPr>
        <w:t xml:space="preserve">, </w:t>
      </w:r>
      <w:r w:rsidRPr="009C67C1">
        <w:rPr>
          <w:rFonts w:cs="Arial"/>
          <w:color w:val="333233"/>
          <w:szCs w:val="20"/>
        </w:rPr>
        <w:t xml:space="preserve">Standard </w:t>
      </w:r>
      <w:r w:rsidRPr="009C67C1">
        <w:rPr>
          <w:rFonts w:cs="Arial"/>
          <w:color w:val="4D4B4B"/>
          <w:szCs w:val="20"/>
        </w:rPr>
        <w:t>Ex</w:t>
      </w:r>
      <w:r w:rsidRPr="009C67C1">
        <w:rPr>
          <w:rFonts w:cs="Arial"/>
          <w:color w:val="333233"/>
          <w:szCs w:val="20"/>
        </w:rPr>
        <w:t>emptions</w:t>
      </w:r>
      <w:r w:rsidRPr="009C67C1">
        <w:rPr>
          <w:rFonts w:cs="Arial"/>
          <w:color w:val="4D4B4B"/>
          <w:szCs w:val="20"/>
        </w:rPr>
        <w:t xml:space="preserve">, </w:t>
      </w:r>
      <w:r w:rsidRPr="009C67C1">
        <w:rPr>
          <w:rFonts w:cs="Arial"/>
          <w:color w:val="333233"/>
          <w:szCs w:val="20"/>
        </w:rPr>
        <w:t>or Standard Permits</w:t>
      </w:r>
      <w:r w:rsidRPr="009C67C1">
        <w:rPr>
          <w:rFonts w:cs="Arial"/>
          <w:color w:val="4D4B4B"/>
          <w:szCs w:val="20"/>
        </w:rPr>
        <w:t xml:space="preserve">, </w:t>
      </w:r>
      <w:r w:rsidRPr="009C67C1">
        <w:rPr>
          <w:rFonts w:cs="Arial"/>
          <w:color w:val="333233"/>
          <w:szCs w:val="20"/>
        </w:rPr>
        <w:t>then TC</w:t>
      </w:r>
      <w:r w:rsidRPr="009C67C1">
        <w:rPr>
          <w:rFonts w:cs="Arial"/>
          <w:color w:val="4D4B4B"/>
          <w:szCs w:val="20"/>
        </w:rPr>
        <w:t>E</w:t>
      </w:r>
      <w:r w:rsidRPr="009C67C1">
        <w:rPr>
          <w:rFonts w:cs="Arial"/>
          <w:color w:val="333233"/>
          <w:szCs w:val="20"/>
        </w:rPr>
        <w:t>Q should</w:t>
      </w:r>
      <w:r w:rsidR="00EF0915">
        <w:rPr>
          <w:rFonts w:cs="Arial"/>
          <w:color w:val="333233"/>
          <w:szCs w:val="20"/>
        </w:rPr>
        <w:t xml:space="preserve"> </w:t>
      </w:r>
      <w:r w:rsidRPr="009C67C1">
        <w:rPr>
          <w:rFonts w:cs="Arial"/>
          <w:color w:val="333233"/>
          <w:szCs w:val="20"/>
        </w:rPr>
        <w:t>amend the Permit to identify such terms and e</w:t>
      </w:r>
      <w:r w:rsidRPr="009C67C1">
        <w:rPr>
          <w:rFonts w:cs="Arial"/>
          <w:color w:val="4D4B4B"/>
          <w:szCs w:val="20"/>
        </w:rPr>
        <w:t>x</w:t>
      </w:r>
      <w:r w:rsidRPr="009C67C1">
        <w:rPr>
          <w:rFonts w:cs="Arial"/>
          <w:color w:val="333233"/>
          <w:szCs w:val="20"/>
        </w:rPr>
        <w:t>plain how these requirements assure compliance</w:t>
      </w:r>
      <w:r w:rsidR="00EF0915">
        <w:rPr>
          <w:rFonts w:cs="Arial"/>
          <w:color w:val="333233"/>
          <w:szCs w:val="20"/>
        </w:rPr>
        <w:t xml:space="preserve"> </w:t>
      </w:r>
      <w:r w:rsidRPr="009C67C1">
        <w:rPr>
          <w:rFonts w:cs="Arial"/>
          <w:color w:val="333233"/>
          <w:szCs w:val="20"/>
        </w:rPr>
        <w:t xml:space="preserve">with the requirements and emission limits for each PBR that applies to </w:t>
      </w:r>
      <w:r w:rsidRPr="009C67C1">
        <w:rPr>
          <w:rFonts w:cs="Arial"/>
          <w:color w:val="4D4B4B"/>
          <w:szCs w:val="20"/>
        </w:rPr>
        <w:t>s</w:t>
      </w:r>
      <w:r w:rsidRPr="009C67C1">
        <w:rPr>
          <w:rFonts w:cs="Arial"/>
          <w:color w:val="333233"/>
          <w:szCs w:val="20"/>
        </w:rPr>
        <w:t xml:space="preserve">ignificant units. </w:t>
      </w:r>
      <w:r w:rsidRPr="009C67C1">
        <w:rPr>
          <w:rFonts w:cs="Arial"/>
          <w:color w:val="4D4B4B"/>
          <w:szCs w:val="20"/>
        </w:rPr>
        <w:t>1</w:t>
      </w:r>
      <w:r w:rsidRPr="009C67C1">
        <w:rPr>
          <w:rFonts w:cs="Arial"/>
          <w:color w:val="686666"/>
          <w:szCs w:val="20"/>
        </w:rPr>
        <w:t>9</w:t>
      </w:r>
      <w:r w:rsidR="00EF0915">
        <w:rPr>
          <w:rFonts w:cs="Arial"/>
          <w:color w:val="686666"/>
          <w:szCs w:val="20"/>
        </w:rPr>
        <w:t xml:space="preserve">. </w:t>
      </w:r>
      <w:r w:rsidRPr="009C67C1">
        <w:rPr>
          <w:rFonts w:cs="Arial"/>
          <w:color w:val="333233"/>
          <w:szCs w:val="20"/>
        </w:rPr>
        <w:t>However</w:t>
      </w:r>
      <w:r w:rsidRPr="009C67C1">
        <w:rPr>
          <w:rFonts w:cs="Arial"/>
          <w:color w:val="4D4B4B"/>
          <w:szCs w:val="20"/>
        </w:rPr>
        <w:t xml:space="preserve">, </w:t>
      </w:r>
      <w:r w:rsidRPr="009C67C1">
        <w:rPr>
          <w:rFonts w:cs="Arial"/>
          <w:color w:val="333233"/>
          <w:szCs w:val="20"/>
        </w:rPr>
        <w:t>if the P</w:t>
      </w:r>
      <w:r w:rsidRPr="009C67C1">
        <w:rPr>
          <w:rFonts w:cs="Arial"/>
          <w:color w:val="4D4B4B"/>
          <w:szCs w:val="20"/>
        </w:rPr>
        <w:t>e</w:t>
      </w:r>
      <w:r w:rsidRPr="009C67C1">
        <w:rPr>
          <w:rFonts w:cs="Arial"/>
          <w:color w:val="333233"/>
          <w:szCs w:val="20"/>
        </w:rPr>
        <w:t>rmit and all enforceable</w:t>
      </w:r>
      <w:r w:rsidRPr="009C67C1">
        <w:rPr>
          <w:rFonts w:cs="Arial"/>
          <w:color w:val="4D4B4B"/>
          <w:szCs w:val="20"/>
        </w:rPr>
        <w:t xml:space="preserve">, </w:t>
      </w:r>
      <w:r w:rsidRPr="009C67C1">
        <w:rPr>
          <w:rFonts w:cs="Arial"/>
          <w:color w:val="333233"/>
          <w:szCs w:val="20"/>
        </w:rPr>
        <w:t>properly incorporated documents do not contain</w:t>
      </w:r>
      <w:r w:rsidR="00EF0915">
        <w:rPr>
          <w:rFonts w:cs="Arial"/>
          <w:color w:val="333233"/>
          <w:szCs w:val="20"/>
        </w:rPr>
        <w:t xml:space="preserve"> </w:t>
      </w:r>
      <w:r w:rsidRPr="009C67C1">
        <w:rPr>
          <w:rFonts w:cs="Arial"/>
          <w:color w:val="333233"/>
          <w:szCs w:val="20"/>
        </w:rPr>
        <w:t>adequate monitoring</w:t>
      </w:r>
      <w:r w:rsidRPr="009C67C1">
        <w:rPr>
          <w:rFonts w:cs="Arial"/>
          <w:color w:val="4D4B4B"/>
          <w:szCs w:val="20"/>
        </w:rPr>
        <w:t xml:space="preserve">, </w:t>
      </w:r>
      <w:r w:rsidRPr="009C67C1">
        <w:rPr>
          <w:rFonts w:cs="Arial"/>
          <w:color w:val="333233"/>
          <w:szCs w:val="20"/>
        </w:rPr>
        <w:t>recordkeeping</w:t>
      </w:r>
      <w:r w:rsidRPr="009C67C1">
        <w:rPr>
          <w:rFonts w:cs="Arial"/>
          <w:color w:val="4D4B4B"/>
          <w:szCs w:val="20"/>
        </w:rPr>
        <w:t xml:space="preserve">, </w:t>
      </w:r>
      <w:r w:rsidRPr="009C67C1">
        <w:rPr>
          <w:rFonts w:cs="Arial"/>
          <w:color w:val="333233"/>
          <w:szCs w:val="20"/>
        </w:rPr>
        <w:t>and reporting that assures compliance with the PBR</w:t>
      </w:r>
      <w:r w:rsidR="00EF0915">
        <w:rPr>
          <w:rFonts w:cs="Arial"/>
          <w:color w:val="333233"/>
          <w:szCs w:val="20"/>
        </w:rPr>
        <w:t xml:space="preserve"> </w:t>
      </w:r>
      <w:r w:rsidRPr="009C67C1">
        <w:rPr>
          <w:rFonts w:cs="Arial"/>
          <w:color w:val="333233"/>
          <w:szCs w:val="20"/>
        </w:rPr>
        <w:t>requirements</w:t>
      </w:r>
      <w:r w:rsidRPr="009C67C1">
        <w:rPr>
          <w:rFonts w:cs="Arial"/>
          <w:color w:val="4D4B4B"/>
          <w:szCs w:val="20"/>
        </w:rPr>
        <w:t xml:space="preserve">, </w:t>
      </w:r>
      <w:r w:rsidRPr="009C67C1">
        <w:rPr>
          <w:rFonts w:cs="Arial"/>
          <w:color w:val="333233"/>
          <w:szCs w:val="20"/>
        </w:rPr>
        <w:t>then TC</w:t>
      </w:r>
      <w:r w:rsidRPr="009C67C1">
        <w:rPr>
          <w:rFonts w:cs="Arial"/>
          <w:color w:val="4D4B4B"/>
          <w:szCs w:val="20"/>
        </w:rPr>
        <w:t>E</w:t>
      </w:r>
      <w:r w:rsidRPr="009C67C1">
        <w:rPr>
          <w:rFonts w:cs="Arial"/>
          <w:color w:val="333233"/>
          <w:szCs w:val="20"/>
        </w:rPr>
        <w:t>Q should add such terms to th</w:t>
      </w:r>
      <w:r w:rsidRPr="009C67C1">
        <w:rPr>
          <w:rFonts w:cs="Arial"/>
          <w:color w:val="4D4B4B"/>
          <w:szCs w:val="20"/>
        </w:rPr>
        <w:t xml:space="preserve">e </w:t>
      </w:r>
      <w:r w:rsidRPr="009C67C1">
        <w:rPr>
          <w:rFonts w:cs="Arial"/>
          <w:color w:val="333233"/>
          <w:szCs w:val="20"/>
        </w:rPr>
        <w:t>Permit.</w:t>
      </w:r>
      <w:r w:rsidR="00EF0915">
        <w:rPr>
          <w:rFonts w:cs="Arial"/>
          <w:color w:val="333233"/>
          <w:szCs w:val="20"/>
        </w:rPr>
        <w:t xml:space="preserve"> </w:t>
      </w:r>
      <w:r w:rsidRPr="009C67C1">
        <w:rPr>
          <w:rFonts w:cs="Arial"/>
          <w:color w:val="333233"/>
          <w:szCs w:val="20"/>
        </w:rPr>
        <w:t xml:space="preserve">The </w:t>
      </w:r>
      <w:r w:rsidRPr="009C67C1">
        <w:rPr>
          <w:rFonts w:cs="Arial"/>
          <w:color w:val="4D4B4B"/>
          <w:szCs w:val="20"/>
        </w:rPr>
        <w:t>E</w:t>
      </w:r>
      <w:r w:rsidRPr="009C67C1">
        <w:rPr>
          <w:rFonts w:cs="Arial"/>
          <w:color w:val="333233"/>
          <w:szCs w:val="20"/>
        </w:rPr>
        <w:t xml:space="preserve">PA notes </w:t>
      </w:r>
      <w:r w:rsidRPr="009C67C1">
        <w:rPr>
          <w:rFonts w:cs="Arial"/>
          <w:color w:val="333233"/>
          <w:szCs w:val="20"/>
        </w:rPr>
        <w:lastRenderedPageBreak/>
        <w:t>that TCEQ is already plannin</w:t>
      </w:r>
      <w:r w:rsidRPr="009C67C1">
        <w:rPr>
          <w:rFonts w:cs="Arial"/>
          <w:color w:val="4D4B4B"/>
          <w:szCs w:val="20"/>
        </w:rPr>
        <w:t xml:space="preserve">g </w:t>
      </w:r>
      <w:r w:rsidRPr="009C67C1">
        <w:rPr>
          <w:rFonts w:cs="Arial"/>
          <w:color w:val="333233"/>
          <w:szCs w:val="20"/>
        </w:rPr>
        <w:t xml:space="preserve">to begin </w:t>
      </w:r>
      <w:r w:rsidRPr="009C67C1">
        <w:rPr>
          <w:rFonts w:cs="Arial"/>
          <w:color w:val="4D4B4B"/>
          <w:szCs w:val="20"/>
        </w:rPr>
        <w:t>s</w:t>
      </w:r>
      <w:r w:rsidRPr="009C67C1">
        <w:rPr>
          <w:rFonts w:cs="Arial"/>
          <w:color w:val="333233"/>
          <w:szCs w:val="20"/>
        </w:rPr>
        <w:t>pecifying the monitoring for certain</w:t>
      </w:r>
      <w:r w:rsidR="00EF0915">
        <w:rPr>
          <w:rFonts w:cs="Arial"/>
          <w:color w:val="333233"/>
          <w:szCs w:val="20"/>
        </w:rPr>
        <w:t xml:space="preserve"> </w:t>
      </w:r>
      <w:r w:rsidRPr="009C67C1">
        <w:rPr>
          <w:rFonts w:cs="Arial"/>
          <w:color w:val="333233"/>
          <w:szCs w:val="20"/>
        </w:rPr>
        <w:t>PBRs in a PBR Supplemental Table pro</w:t>
      </w:r>
      <w:r w:rsidRPr="009C67C1">
        <w:rPr>
          <w:rFonts w:cs="Arial"/>
          <w:color w:val="4D4B4B"/>
          <w:szCs w:val="20"/>
        </w:rPr>
        <w:t>v</w:t>
      </w:r>
      <w:r w:rsidRPr="009C67C1">
        <w:rPr>
          <w:rFonts w:cs="Arial"/>
          <w:color w:val="333233"/>
          <w:szCs w:val="20"/>
        </w:rPr>
        <w:t>ided by applicants. Specificall</w:t>
      </w:r>
      <w:r w:rsidRPr="009C67C1">
        <w:rPr>
          <w:rFonts w:cs="Arial"/>
          <w:color w:val="4D4B4B"/>
          <w:szCs w:val="20"/>
        </w:rPr>
        <w:t xml:space="preserve">y, </w:t>
      </w:r>
      <w:r w:rsidRPr="009C67C1">
        <w:rPr>
          <w:rFonts w:cs="Arial"/>
          <w:color w:val="333233"/>
          <w:szCs w:val="20"/>
        </w:rPr>
        <w:t>the EPA</w:t>
      </w:r>
      <w:r w:rsidR="00EF0915">
        <w:rPr>
          <w:rFonts w:cs="Arial"/>
          <w:color w:val="333233"/>
          <w:szCs w:val="20"/>
        </w:rPr>
        <w:t xml:space="preserve"> </w:t>
      </w:r>
      <w:r w:rsidRPr="009C67C1">
        <w:rPr>
          <w:rFonts w:cs="Arial"/>
          <w:color w:val="333233"/>
          <w:szCs w:val="20"/>
        </w:rPr>
        <w:t>understands that TC</w:t>
      </w:r>
      <w:r w:rsidRPr="009C67C1">
        <w:rPr>
          <w:rFonts w:cs="Arial"/>
          <w:color w:val="4D4B4B"/>
          <w:szCs w:val="20"/>
        </w:rPr>
        <w:t>E</w:t>
      </w:r>
      <w:r w:rsidRPr="009C67C1">
        <w:rPr>
          <w:rFonts w:cs="Arial"/>
          <w:color w:val="333233"/>
          <w:szCs w:val="20"/>
        </w:rPr>
        <w:t>Q is now requiring title V applicants to fill out the PBR Supplement</w:t>
      </w:r>
      <w:r w:rsidRPr="009C67C1">
        <w:rPr>
          <w:rFonts w:cs="Arial"/>
          <w:color w:val="4D4B4B"/>
          <w:szCs w:val="20"/>
        </w:rPr>
        <w:t>a</w:t>
      </w:r>
      <w:r w:rsidRPr="009C67C1">
        <w:rPr>
          <w:rFonts w:cs="Arial"/>
          <w:color w:val="333233"/>
          <w:szCs w:val="20"/>
        </w:rPr>
        <w:t>l</w:t>
      </w:r>
      <w:r w:rsidR="00EF0915">
        <w:rPr>
          <w:rFonts w:cs="Arial"/>
          <w:color w:val="333233"/>
          <w:szCs w:val="20"/>
        </w:rPr>
        <w:t xml:space="preserve"> </w:t>
      </w:r>
      <w:r w:rsidRPr="009C67C1">
        <w:rPr>
          <w:rFonts w:cs="Arial"/>
          <w:color w:val="333233"/>
          <w:szCs w:val="20"/>
        </w:rPr>
        <w:t>Table</w:t>
      </w:r>
      <w:r w:rsidRPr="009C67C1">
        <w:rPr>
          <w:rFonts w:cs="Arial"/>
          <w:color w:val="4D4B4B"/>
          <w:szCs w:val="20"/>
        </w:rPr>
        <w:t xml:space="preserve">, </w:t>
      </w:r>
      <w:r w:rsidRPr="009C67C1">
        <w:rPr>
          <w:rFonts w:cs="Arial"/>
          <w:color w:val="333233"/>
          <w:szCs w:val="20"/>
        </w:rPr>
        <w:t>which TC</w:t>
      </w:r>
      <w:r w:rsidRPr="009C67C1">
        <w:rPr>
          <w:rFonts w:cs="Arial"/>
          <w:color w:val="4D4B4B"/>
          <w:szCs w:val="20"/>
        </w:rPr>
        <w:t>E</w:t>
      </w:r>
      <w:r w:rsidRPr="009C67C1">
        <w:rPr>
          <w:rFonts w:cs="Arial"/>
          <w:color w:val="333233"/>
          <w:szCs w:val="20"/>
        </w:rPr>
        <w:t>Q will then incorporate into the title V permit through a general condition in</w:t>
      </w:r>
      <w:r w:rsidR="00EF0915">
        <w:rPr>
          <w:rFonts w:cs="Arial"/>
          <w:color w:val="333233"/>
          <w:szCs w:val="20"/>
        </w:rPr>
        <w:t xml:space="preserve"> </w:t>
      </w:r>
      <w:r w:rsidRPr="009C67C1">
        <w:rPr>
          <w:rFonts w:cs="Arial"/>
          <w:color w:val="333233"/>
          <w:szCs w:val="20"/>
        </w:rPr>
        <w:t>the title V permit itself.</w:t>
      </w:r>
    </w:p>
    <w:p w14:paraId="463699FC" w14:textId="77777777" w:rsidR="00021C1A" w:rsidRDefault="00021C1A" w:rsidP="004535E5">
      <w:pPr>
        <w:rPr>
          <w:rStyle w:val="Strong"/>
        </w:rPr>
      </w:pPr>
    </w:p>
    <w:p w14:paraId="0E1F16A2" w14:textId="55CE83B4" w:rsidR="00FF4EEA" w:rsidRDefault="00AA01C0" w:rsidP="004535E5">
      <w:r w:rsidRPr="00725612">
        <w:rPr>
          <w:rStyle w:val="Strong"/>
        </w:rPr>
        <w:t>TCEQ R</w:t>
      </w:r>
      <w:r>
        <w:rPr>
          <w:rStyle w:val="Strong"/>
        </w:rPr>
        <w:t>esponse to EPA Objection Claim B.1</w:t>
      </w:r>
      <w:r w:rsidRPr="00725612">
        <w:rPr>
          <w:rStyle w:val="Strong"/>
        </w:rPr>
        <w:t>:</w:t>
      </w:r>
      <w:r w:rsidRPr="00725612">
        <w:t xml:space="preserve"> </w:t>
      </w:r>
      <w:r w:rsidR="007538DC" w:rsidRPr="007538DC">
        <w:t xml:space="preserve">As </w:t>
      </w:r>
      <w:r w:rsidR="007538DC">
        <w:t>described in TCEQ response to EPA objection A above</w:t>
      </w:r>
      <w:r w:rsidR="007538DC" w:rsidRPr="007538DC">
        <w:t xml:space="preserve">, </w:t>
      </w:r>
      <w:r w:rsidR="00CC0D0A">
        <w:t xml:space="preserve">revised </w:t>
      </w:r>
      <w:r w:rsidR="00CC0D0A" w:rsidRPr="0005481B">
        <w:rPr>
          <w:rStyle w:val="Strong"/>
          <w:b w:val="0"/>
          <w:bCs w:val="0"/>
        </w:rPr>
        <w:t>OP-PBRSUP Table</w:t>
      </w:r>
      <w:r w:rsidR="00CC0D0A" w:rsidRPr="007538DC">
        <w:t xml:space="preserve"> </w:t>
      </w:r>
      <w:r w:rsidR="00FF4EEA" w:rsidRPr="00613168">
        <w:t xml:space="preserve">dated </w:t>
      </w:r>
      <w:r w:rsidR="00950493">
        <w:t>November 1</w:t>
      </w:r>
      <w:r w:rsidR="00517A41">
        <w:t>5</w:t>
      </w:r>
      <w:r w:rsidR="00FF4EEA" w:rsidRPr="001B0BC3">
        <w:t>, 2022</w:t>
      </w:r>
      <w:r w:rsidR="007F6D9F">
        <w:t>,</w:t>
      </w:r>
      <w:r w:rsidR="00FF4EEA">
        <w:t xml:space="preserve"> submitted</w:t>
      </w:r>
      <w:r w:rsidR="00FF4EEA" w:rsidRPr="00613168">
        <w:t xml:space="preserve"> in the application for project </w:t>
      </w:r>
      <w:r w:rsidR="00FF4EEA" w:rsidRPr="001B0BC3">
        <w:t>32217</w:t>
      </w:r>
      <w:r w:rsidR="00FF4EEA">
        <w:t xml:space="preserve"> includes </w:t>
      </w:r>
      <w:r w:rsidR="00FF4EEA" w:rsidRPr="00FF4EEA">
        <w:t xml:space="preserve">monitoring, recordkeeping, and reporting </w:t>
      </w:r>
      <w:r w:rsidR="00506AB4">
        <w:t xml:space="preserve">requirements for all units in the application area including </w:t>
      </w:r>
      <w:r w:rsidR="00506AB4" w:rsidRPr="00FF4EEA">
        <w:t xml:space="preserve">non-insignificant units </w:t>
      </w:r>
      <w:r w:rsidR="00506AB4">
        <w:t>that are authorized under</w:t>
      </w:r>
      <w:r w:rsidR="00506AB4" w:rsidRPr="00FF4EEA">
        <w:t xml:space="preserve"> </w:t>
      </w:r>
      <w:r w:rsidR="00205DD2" w:rsidRPr="00FF4EEA">
        <w:t xml:space="preserve">the PBRs, Standard Exemptions, and Standard Permits </w:t>
      </w:r>
      <w:r w:rsidR="00205DD2">
        <w:t>to</w:t>
      </w:r>
      <w:r w:rsidR="00FF4EEA" w:rsidRPr="00FF4EEA">
        <w:t xml:space="preserve"> assure compliance with the </w:t>
      </w:r>
      <w:r w:rsidR="00205DD2">
        <w:t xml:space="preserve">applicable </w:t>
      </w:r>
      <w:r w:rsidR="00FF4EEA" w:rsidRPr="00FF4EEA">
        <w:t>requirements</w:t>
      </w:r>
      <w:r w:rsidR="00205DD2">
        <w:t xml:space="preserve">. As noted above, </w:t>
      </w:r>
      <w:r w:rsidR="00205DD2">
        <w:rPr>
          <w:rFonts w:cs="Arial"/>
          <w:szCs w:val="20"/>
        </w:rPr>
        <w:t>t</w:t>
      </w:r>
      <w:r w:rsidR="00205DD2" w:rsidRPr="009C1876">
        <w:rPr>
          <w:rFonts w:cs="Arial"/>
          <w:szCs w:val="20"/>
        </w:rPr>
        <w:t>he SOB was updated to identify insignificant activities and emission units not required to be addressed in the operating permit application</w:t>
      </w:r>
      <w:r w:rsidR="00205DD2">
        <w:rPr>
          <w:rFonts w:cs="Arial"/>
          <w:szCs w:val="20"/>
        </w:rPr>
        <w:t>.</w:t>
      </w:r>
    </w:p>
    <w:p w14:paraId="61EEB780" w14:textId="77777777" w:rsidR="00565FCD" w:rsidRDefault="00565FCD" w:rsidP="004535E5">
      <w:pPr>
        <w:rPr>
          <w:rStyle w:val="Strong"/>
        </w:rPr>
      </w:pPr>
      <w:bookmarkStart w:id="3" w:name="_Hlk110432495"/>
    </w:p>
    <w:p w14:paraId="30CB1130" w14:textId="2902B966" w:rsidR="0031708C" w:rsidRDefault="0031708C" w:rsidP="004535E5">
      <w:pPr>
        <w:rPr>
          <w:rStyle w:val="Strong"/>
        </w:rPr>
      </w:pPr>
      <w:r w:rsidRPr="009458A8">
        <w:rPr>
          <w:rStyle w:val="Strong"/>
        </w:rPr>
        <w:t xml:space="preserve">EPA </w:t>
      </w:r>
      <w:r>
        <w:rPr>
          <w:rStyle w:val="Strong"/>
        </w:rPr>
        <w:t>Objection Claim B.3</w:t>
      </w:r>
      <w:r w:rsidRPr="009458A8">
        <w:rPr>
          <w:rStyle w:val="Strong"/>
        </w:rPr>
        <w:t>:</w:t>
      </w:r>
      <w:r>
        <w:rPr>
          <w:rStyle w:val="Strong"/>
        </w:rPr>
        <w:t xml:space="preserve"> </w:t>
      </w:r>
      <w:bookmarkEnd w:id="3"/>
      <w:r w:rsidRPr="0031708C">
        <w:rPr>
          <w:rFonts w:cs="Arial"/>
          <w:color w:val="202221"/>
          <w:szCs w:val="20"/>
        </w:rPr>
        <w:t>Stack Testing Requirements</w:t>
      </w:r>
    </w:p>
    <w:p w14:paraId="3E13E785" w14:textId="18F82658" w:rsidR="0031708C" w:rsidRDefault="0031708C" w:rsidP="004535E5">
      <w:pPr>
        <w:rPr>
          <w:rStyle w:val="Strong"/>
        </w:rPr>
      </w:pPr>
    </w:p>
    <w:p w14:paraId="011C1DE9" w14:textId="6D34ECF2" w:rsidR="000F6CA0" w:rsidRPr="000F6CA0" w:rsidRDefault="000F6CA0" w:rsidP="000F6CA0">
      <w:pPr>
        <w:rPr>
          <w:rFonts w:cs="Arial"/>
          <w:szCs w:val="20"/>
        </w:rPr>
      </w:pPr>
      <w:r w:rsidRPr="000F6CA0">
        <w:rPr>
          <w:rFonts w:cs="Arial"/>
          <w:color w:val="323432"/>
          <w:szCs w:val="20"/>
        </w:rPr>
        <w:t xml:space="preserve">In responding to </w:t>
      </w:r>
      <w:r w:rsidRPr="000F6CA0">
        <w:rPr>
          <w:rFonts w:cs="Arial"/>
          <w:color w:val="1E201E"/>
          <w:szCs w:val="20"/>
        </w:rPr>
        <w:t xml:space="preserve">this </w:t>
      </w:r>
      <w:r w:rsidRPr="000F6CA0">
        <w:rPr>
          <w:rFonts w:cs="Arial"/>
          <w:color w:val="323432"/>
          <w:szCs w:val="20"/>
        </w:rPr>
        <w:t>Order</w:t>
      </w:r>
      <w:r w:rsidRPr="000F6CA0">
        <w:rPr>
          <w:rFonts w:cs="Arial"/>
          <w:color w:val="575856"/>
          <w:szCs w:val="20"/>
        </w:rPr>
        <w:t xml:space="preserve">, </w:t>
      </w:r>
      <w:r w:rsidRPr="000F6CA0">
        <w:rPr>
          <w:rFonts w:cs="Arial"/>
          <w:color w:val="323432"/>
          <w:szCs w:val="20"/>
        </w:rPr>
        <w:t xml:space="preserve">TCEQ should </w:t>
      </w:r>
      <w:r w:rsidRPr="000F6CA0">
        <w:rPr>
          <w:rFonts w:cs="Arial"/>
          <w:color w:val="1E201E"/>
          <w:szCs w:val="20"/>
        </w:rPr>
        <w:t xml:space="preserve">provide </w:t>
      </w:r>
      <w:r w:rsidRPr="000F6CA0">
        <w:rPr>
          <w:rFonts w:cs="Arial"/>
          <w:color w:val="323432"/>
          <w:szCs w:val="20"/>
        </w:rPr>
        <w:t>the regulatory authority</w:t>
      </w:r>
      <w:r w:rsidR="00307284">
        <w:rPr>
          <w:rFonts w:cs="Arial"/>
          <w:color w:val="323432"/>
          <w:szCs w:val="20"/>
        </w:rPr>
        <w:t xml:space="preserve"> </w:t>
      </w:r>
      <w:r w:rsidRPr="000F6CA0">
        <w:rPr>
          <w:rFonts w:cs="Arial"/>
          <w:color w:val="323432"/>
          <w:szCs w:val="20"/>
        </w:rPr>
        <w:t xml:space="preserve">that would allow </w:t>
      </w:r>
      <w:r w:rsidRPr="000F6CA0">
        <w:rPr>
          <w:rFonts w:cs="Arial"/>
          <w:color w:val="575856"/>
          <w:szCs w:val="20"/>
        </w:rPr>
        <w:t>"</w:t>
      </w:r>
      <w:r w:rsidRPr="000F6CA0">
        <w:rPr>
          <w:rFonts w:cs="Arial"/>
          <w:color w:val="323432"/>
          <w:szCs w:val="20"/>
        </w:rPr>
        <w:t>waivers</w:t>
      </w:r>
      <w:r w:rsidRPr="000F6CA0">
        <w:rPr>
          <w:rFonts w:cs="Arial"/>
          <w:color w:val="575856"/>
          <w:szCs w:val="20"/>
        </w:rPr>
        <w:t xml:space="preserve">" </w:t>
      </w:r>
      <w:r w:rsidRPr="000F6CA0">
        <w:rPr>
          <w:rFonts w:cs="Arial"/>
          <w:color w:val="323432"/>
          <w:szCs w:val="20"/>
        </w:rPr>
        <w:t xml:space="preserve">of </w:t>
      </w:r>
      <w:r w:rsidRPr="000F6CA0">
        <w:rPr>
          <w:rFonts w:cs="Arial"/>
          <w:color w:val="1E201E"/>
          <w:szCs w:val="20"/>
        </w:rPr>
        <w:t xml:space="preserve">testing </w:t>
      </w:r>
      <w:r w:rsidRPr="000F6CA0">
        <w:rPr>
          <w:rFonts w:cs="Arial"/>
          <w:color w:val="323432"/>
          <w:szCs w:val="20"/>
        </w:rPr>
        <w:t>requirements and</w:t>
      </w:r>
      <w:r w:rsidR="00307284">
        <w:rPr>
          <w:rFonts w:cs="Arial"/>
          <w:color w:val="323432"/>
          <w:szCs w:val="20"/>
        </w:rPr>
        <w:t xml:space="preserve"> i</w:t>
      </w:r>
      <w:r w:rsidRPr="000F6CA0">
        <w:rPr>
          <w:rFonts w:cs="Arial"/>
          <w:color w:val="323432"/>
          <w:szCs w:val="20"/>
        </w:rPr>
        <w:t>nc</w:t>
      </w:r>
      <w:r w:rsidR="00307284">
        <w:rPr>
          <w:rFonts w:cs="Arial"/>
          <w:color w:val="323432"/>
          <w:szCs w:val="20"/>
        </w:rPr>
        <w:t>l</w:t>
      </w:r>
      <w:r w:rsidRPr="000F6CA0">
        <w:rPr>
          <w:rFonts w:cs="Arial"/>
          <w:color w:val="323432"/>
          <w:szCs w:val="20"/>
        </w:rPr>
        <w:t xml:space="preserve">ude </w:t>
      </w:r>
      <w:r w:rsidRPr="000F6CA0">
        <w:rPr>
          <w:rFonts w:cs="Arial"/>
          <w:color w:val="1E201E"/>
          <w:szCs w:val="20"/>
        </w:rPr>
        <w:t xml:space="preserve">this </w:t>
      </w:r>
      <w:r w:rsidRPr="000F6CA0">
        <w:rPr>
          <w:rFonts w:cs="Arial"/>
          <w:color w:val="323432"/>
          <w:szCs w:val="20"/>
        </w:rPr>
        <w:t xml:space="preserve">within </w:t>
      </w:r>
      <w:r w:rsidRPr="000F6CA0">
        <w:rPr>
          <w:rFonts w:cs="Arial"/>
          <w:color w:val="1E201E"/>
          <w:szCs w:val="20"/>
        </w:rPr>
        <w:t xml:space="preserve">the permit </w:t>
      </w:r>
      <w:r w:rsidRPr="000F6CA0">
        <w:rPr>
          <w:rFonts w:cs="Arial"/>
          <w:color w:val="323432"/>
          <w:szCs w:val="20"/>
        </w:rPr>
        <w:t>record. If</w:t>
      </w:r>
      <w:r w:rsidR="00307284">
        <w:rPr>
          <w:rFonts w:cs="Arial"/>
          <w:color w:val="323432"/>
          <w:szCs w:val="20"/>
        </w:rPr>
        <w:t xml:space="preserve"> </w:t>
      </w:r>
      <w:r w:rsidRPr="000F6CA0">
        <w:rPr>
          <w:rFonts w:cs="Arial"/>
          <w:color w:val="323432"/>
          <w:szCs w:val="20"/>
        </w:rPr>
        <w:t>such authority exists</w:t>
      </w:r>
      <w:r w:rsidRPr="000F6CA0">
        <w:rPr>
          <w:rFonts w:cs="Arial"/>
          <w:color w:val="575856"/>
          <w:szCs w:val="20"/>
        </w:rPr>
        <w:t xml:space="preserve">, </w:t>
      </w:r>
      <w:r w:rsidRPr="000F6CA0">
        <w:rPr>
          <w:rFonts w:cs="Arial"/>
          <w:color w:val="323432"/>
          <w:szCs w:val="20"/>
        </w:rPr>
        <w:t xml:space="preserve">TCEQ should provide an explanation or analysis for </w:t>
      </w:r>
      <w:r w:rsidRPr="000F6CA0">
        <w:rPr>
          <w:rFonts w:cs="Arial"/>
          <w:color w:val="1E201E"/>
          <w:szCs w:val="20"/>
        </w:rPr>
        <w:t xml:space="preserve">how </w:t>
      </w:r>
      <w:r w:rsidRPr="000F6CA0">
        <w:rPr>
          <w:rFonts w:cs="Arial"/>
          <w:color w:val="323432"/>
          <w:szCs w:val="20"/>
        </w:rPr>
        <w:t xml:space="preserve">waiving </w:t>
      </w:r>
      <w:r w:rsidRPr="000F6CA0">
        <w:rPr>
          <w:rFonts w:cs="Arial"/>
          <w:color w:val="1E201E"/>
          <w:szCs w:val="20"/>
        </w:rPr>
        <w:t xml:space="preserve">testing </w:t>
      </w:r>
      <w:r w:rsidRPr="000F6CA0">
        <w:rPr>
          <w:rFonts w:cs="Arial"/>
          <w:color w:val="393B38"/>
          <w:szCs w:val="20"/>
        </w:rPr>
        <w:t xml:space="preserve">ensures </w:t>
      </w:r>
      <w:r w:rsidRPr="000F6CA0">
        <w:rPr>
          <w:rFonts w:cs="Arial"/>
          <w:color w:val="252826"/>
          <w:szCs w:val="20"/>
        </w:rPr>
        <w:t xml:space="preserve">that there is </w:t>
      </w:r>
      <w:r w:rsidRPr="000F6CA0">
        <w:rPr>
          <w:rFonts w:cs="Arial"/>
          <w:color w:val="393B38"/>
          <w:szCs w:val="20"/>
        </w:rPr>
        <w:t xml:space="preserve">adequate </w:t>
      </w:r>
      <w:r w:rsidRPr="000F6CA0">
        <w:rPr>
          <w:rFonts w:cs="Arial"/>
          <w:color w:val="252826"/>
          <w:szCs w:val="20"/>
        </w:rPr>
        <w:t xml:space="preserve">monitoring to </w:t>
      </w:r>
      <w:r w:rsidRPr="000F6CA0">
        <w:rPr>
          <w:rFonts w:cs="Arial"/>
          <w:color w:val="393B38"/>
          <w:szCs w:val="20"/>
        </w:rPr>
        <w:t xml:space="preserve">assure compliance with </w:t>
      </w:r>
      <w:r w:rsidRPr="000F6CA0">
        <w:rPr>
          <w:rFonts w:cs="Arial"/>
          <w:color w:val="252826"/>
          <w:szCs w:val="20"/>
        </w:rPr>
        <w:t xml:space="preserve">permit terms </w:t>
      </w:r>
      <w:r w:rsidRPr="000F6CA0">
        <w:rPr>
          <w:rFonts w:cs="Arial"/>
          <w:color w:val="393B38"/>
          <w:szCs w:val="20"/>
        </w:rPr>
        <w:t>and conditions.</w:t>
      </w:r>
      <w:r w:rsidR="00307284">
        <w:rPr>
          <w:rFonts w:cs="Arial"/>
          <w:color w:val="393B38"/>
          <w:szCs w:val="20"/>
        </w:rPr>
        <w:t xml:space="preserve"> </w:t>
      </w:r>
      <w:r w:rsidRPr="000F6CA0">
        <w:rPr>
          <w:rFonts w:cs="Arial"/>
          <w:color w:val="393B38"/>
          <w:szCs w:val="20"/>
        </w:rPr>
        <w:t>Alternatively</w:t>
      </w:r>
      <w:r w:rsidRPr="000F6CA0">
        <w:rPr>
          <w:rFonts w:cs="Arial"/>
          <w:color w:val="525350"/>
          <w:szCs w:val="20"/>
        </w:rPr>
        <w:t xml:space="preserve">, </w:t>
      </w:r>
      <w:r w:rsidRPr="000F6CA0">
        <w:rPr>
          <w:rFonts w:cs="Arial"/>
          <w:color w:val="393B38"/>
          <w:szCs w:val="20"/>
        </w:rPr>
        <w:t>TC</w:t>
      </w:r>
      <w:r w:rsidRPr="000F6CA0">
        <w:rPr>
          <w:rFonts w:cs="Arial"/>
          <w:color w:val="525350"/>
          <w:szCs w:val="20"/>
        </w:rPr>
        <w:t>E</w:t>
      </w:r>
      <w:r w:rsidRPr="000F6CA0">
        <w:rPr>
          <w:rFonts w:cs="Arial"/>
          <w:color w:val="393B38"/>
          <w:szCs w:val="20"/>
        </w:rPr>
        <w:t xml:space="preserve">Q should </w:t>
      </w:r>
      <w:r w:rsidRPr="000F6CA0">
        <w:rPr>
          <w:rFonts w:cs="Arial"/>
          <w:color w:val="252826"/>
          <w:szCs w:val="20"/>
        </w:rPr>
        <w:t xml:space="preserve">remove the language that </w:t>
      </w:r>
      <w:r w:rsidRPr="000F6CA0">
        <w:rPr>
          <w:rFonts w:cs="Arial"/>
          <w:color w:val="393B38"/>
          <w:szCs w:val="20"/>
        </w:rPr>
        <w:t xml:space="preserve">allows waivers of </w:t>
      </w:r>
      <w:r w:rsidRPr="000F6CA0">
        <w:rPr>
          <w:rFonts w:cs="Arial"/>
          <w:color w:val="252826"/>
          <w:szCs w:val="20"/>
        </w:rPr>
        <w:t xml:space="preserve">testing </w:t>
      </w:r>
      <w:r w:rsidRPr="000F6CA0">
        <w:rPr>
          <w:rFonts w:cs="Arial"/>
          <w:color w:val="393B38"/>
          <w:szCs w:val="20"/>
        </w:rPr>
        <w:t xml:space="preserve">or </w:t>
      </w:r>
      <w:r w:rsidRPr="000F6CA0">
        <w:rPr>
          <w:rFonts w:cs="Arial"/>
          <w:color w:val="252826"/>
          <w:szCs w:val="20"/>
        </w:rPr>
        <w:t xml:space="preserve">provide </w:t>
      </w:r>
      <w:r w:rsidRPr="000F6CA0">
        <w:rPr>
          <w:rFonts w:cs="Arial"/>
          <w:color w:val="393B38"/>
          <w:szCs w:val="20"/>
        </w:rPr>
        <w:t>edits</w:t>
      </w:r>
      <w:r w:rsidR="00307284">
        <w:rPr>
          <w:rFonts w:cs="Arial"/>
          <w:color w:val="393B38"/>
          <w:szCs w:val="20"/>
        </w:rPr>
        <w:t xml:space="preserve"> </w:t>
      </w:r>
      <w:r w:rsidRPr="000F6CA0">
        <w:rPr>
          <w:rFonts w:cs="Arial"/>
          <w:color w:val="393B38"/>
          <w:szCs w:val="20"/>
        </w:rPr>
        <w:t xml:space="preserve">to the </w:t>
      </w:r>
      <w:r w:rsidRPr="000F6CA0">
        <w:rPr>
          <w:rFonts w:cs="Arial"/>
          <w:color w:val="252826"/>
          <w:szCs w:val="20"/>
        </w:rPr>
        <w:t xml:space="preserve">language </w:t>
      </w:r>
      <w:r w:rsidRPr="000F6CA0">
        <w:rPr>
          <w:rFonts w:cs="Arial"/>
          <w:color w:val="393B38"/>
          <w:szCs w:val="20"/>
        </w:rPr>
        <w:t xml:space="preserve">to only </w:t>
      </w:r>
      <w:r w:rsidRPr="000F6CA0">
        <w:rPr>
          <w:rFonts w:cs="Arial"/>
          <w:color w:val="252826"/>
          <w:szCs w:val="20"/>
        </w:rPr>
        <w:t xml:space="preserve">include references to minor </w:t>
      </w:r>
      <w:r w:rsidRPr="000F6CA0">
        <w:rPr>
          <w:rFonts w:cs="Arial"/>
          <w:color w:val="393B38"/>
          <w:szCs w:val="20"/>
        </w:rPr>
        <w:t xml:space="preserve">changes </w:t>
      </w:r>
      <w:r w:rsidRPr="000F6CA0">
        <w:rPr>
          <w:rFonts w:cs="Arial"/>
          <w:color w:val="252826"/>
          <w:szCs w:val="20"/>
        </w:rPr>
        <w:t xml:space="preserve">from </w:t>
      </w:r>
      <w:r w:rsidRPr="000F6CA0">
        <w:rPr>
          <w:rFonts w:cs="Arial"/>
          <w:color w:val="393B38"/>
          <w:szCs w:val="20"/>
        </w:rPr>
        <w:t xml:space="preserve">stack sampling </w:t>
      </w:r>
      <w:r w:rsidRPr="000F6CA0">
        <w:rPr>
          <w:rFonts w:cs="Arial"/>
          <w:color w:val="252826"/>
          <w:szCs w:val="20"/>
        </w:rPr>
        <w:t>procedures that</w:t>
      </w:r>
      <w:r w:rsidR="00307284">
        <w:rPr>
          <w:rFonts w:cs="Arial"/>
          <w:color w:val="252826"/>
          <w:szCs w:val="20"/>
        </w:rPr>
        <w:t xml:space="preserve"> </w:t>
      </w:r>
      <w:r w:rsidRPr="000F6CA0">
        <w:rPr>
          <w:rFonts w:cs="Arial"/>
          <w:color w:val="393B38"/>
          <w:szCs w:val="20"/>
        </w:rPr>
        <w:t xml:space="preserve">can </w:t>
      </w:r>
      <w:r w:rsidRPr="000F6CA0">
        <w:rPr>
          <w:rFonts w:cs="Arial"/>
          <w:color w:val="252826"/>
          <w:szCs w:val="20"/>
        </w:rPr>
        <w:t xml:space="preserve">be pre-approved under 40 </w:t>
      </w:r>
      <w:r w:rsidRPr="000F6CA0">
        <w:rPr>
          <w:rFonts w:cs="Arial"/>
          <w:color w:val="393B38"/>
          <w:szCs w:val="20"/>
        </w:rPr>
        <w:t xml:space="preserve">CFR </w:t>
      </w:r>
      <w:r w:rsidRPr="000F6CA0">
        <w:rPr>
          <w:rFonts w:cs="Arial"/>
          <w:color w:val="252826"/>
          <w:szCs w:val="20"/>
        </w:rPr>
        <w:t>part 60</w:t>
      </w:r>
      <w:r w:rsidRPr="000F6CA0">
        <w:rPr>
          <w:rFonts w:cs="Arial"/>
          <w:color w:val="525350"/>
          <w:szCs w:val="20"/>
        </w:rPr>
        <w:t>.</w:t>
      </w:r>
    </w:p>
    <w:p w14:paraId="02E3CF45" w14:textId="77777777" w:rsidR="000F6CA0" w:rsidRDefault="000F6CA0" w:rsidP="004535E5">
      <w:pPr>
        <w:rPr>
          <w:rStyle w:val="Strong"/>
        </w:rPr>
      </w:pPr>
    </w:p>
    <w:p w14:paraId="34737035" w14:textId="78328670" w:rsidR="00757DCE" w:rsidRPr="00757DCE" w:rsidRDefault="00D048D2" w:rsidP="00757DCE">
      <w:pPr>
        <w:rPr>
          <w:rStyle w:val="Strong"/>
          <w:b w:val="0"/>
          <w:bCs w:val="0"/>
        </w:rPr>
      </w:pPr>
      <w:bookmarkStart w:id="4" w:name="_Hlk110433374"/>
      <w:r w:rsidRPr="00725612">
        <w:rPr>
          <w:rStyle w:val="Strong"/>
        </w:rPr>
        <w:t>TCEQ R</w:t>
      </w:r>
      <w:r>
        <w:rPr>
          <w:rStyle w:val="Strong"/>
        </w:rPr>
        <w:t>esponse to EPA Objection Claim B.</w:t>
      </w:r>
      <w:r w:rsidR="00F34E29">
        <w:rPr>
          <w:rStyle w:val="Strong"/>
        </w:rPr>
        <w:t>3</w:t>
      </w:r>
      <w:r w:rsidRPr="00725612">
        <w:rPr>
          <w:rStyle w:val="Strong"/>
        </w:rPr>
        <w:t>:</w:t>
      </w:r>
      <w:r w:rsidR="002773F2">
        <w:rPr>
          <w:rStyle w:val="Strong"/>
        </w:rPr>
        <w:t xml:space="preserve"> </w:t>
      </w:r>
      <w:r w:rsidR="00757DCE" w:rsidRPr="00757DCE">
        <w:rPr>
          <w:rStyle w:val="Strong"/>
          <w:b w:val="0"/>
          <w:bCs w:val="0"/>
        </w:rPr>
        <w:t>EPA order</w:t>
      </w:r>
      <w:r w:rsidR="00905B12">
        <w:rPr>
          <w:rStyle w:val="Strong"/>
          <w:b w:val="0"/>
          <w:bCs w:val="0"/>
        </w:rPr>
        <w:t xml:space="preserve"> states</w:t>
      </w:r>
      <w:r w:rsidR="00757DCE" w:rsidRPr="00757DCE">
        <w:rPr>
          <w:rStyle w:val="Strong"/>
          <w:b w:val="0"/>
          <w:bCs w:val="0"/>
        </w:rPr>
        <w:t xml:space="preserve"> TCEQ should provide the regulatory authority that would allow "'waivers'' of testing requirements and include this within the permit record. Subpart A, delegable authority is provided to TCEQ under 40 CFR § 63.91(g), which states "Waivers can be granted only by the appropriate delegated agency". Similar delegable authority is also provided to TCEQ under 40 CFR 60.8(b)(4).</w:t>
      </w:r>
    </w:p>
    <w:p w14:paraId="4BA4631E" w14:textId="77777777" w:rsidR="00757DCE" w:rsidRPr="00757DCE" w:rsidRDefault="00757DCE" w:rsidP="00757DCE">
      <w:pPr>
        <w:rPr>
          <w:rStyle w:val="Strong"/>
          <w:b w:val="0"/>
          <w:bCs w:val="0"/>
        </w:rPr>
      </w:pPr>
    </w:p>
    <w:p w14:paraId="7C7B42C6" w14:textId="416E646E" w:rsidR="00757DCE" w:rsidRPr="00757DCE" w:rsidRDefault="00757DCE" w:rsidP="00757DCE">
      <w:pPr>
        <w:rPr>
          <w:rStyle w:val="Strong"/>
          <w:b w:val="0"/>
          <w:bCs w:val="0"/>
        </w:rPr>
      </w:pPr>
      <w:r w:rsidRPr="00757DCE">
        <w:rPr>
          <w:rStyle w:val="Strong"/>
          <w:b w:val="0"/>
          <w:bCs w:val="0"/>
        </w:rPr>
        <w:t xml:space="preserve">In response to the EPA order, </w:t>
      </w:r>
      <w:r w:rsidR="0084599B">
        <w:rPr>
          <w:rStyle w:val="Strong"/>
          <w:b w:val="0"/>
          <w:bCs w:val="0"/>
        </w:rPr>
        <w:t xml:space="preserve">TCEQ </w:t>
      </w:r>
      <w:r w:rsidRPr="00757DCE">
        <w:rPr>
          <w:rStyle w:val="Strong"/>
          <w:b w:val="0"/>
          <w:bCs w:val="0"/>
        </w:rPr>
        <w:t xml:space="preserve">provides the following "explanation or analysis for how waiving testing ensures that there is </w:t>
      </w:r>
      <w:bookmarkStart w:id="5" w:name="_Hlk116296749"/>
      <w:r w:rsidRPr="00757DCE">
        <w:rPr>
          <w:rStyle w:val="Strong"/>
          <w:b w:val="0"/>
          <w:bCs w:val="0"/>
        </w:rPr>
        <w:t>adequate monitoring to assure compliance with permit terms and conditions</w:t>
      </w:r>
      <w:bookmarkEnd w:id="5"/>
      <w:r w:rsidRPr="00757DCE">
        <w:rPr>
          <w:rStyle w:val="Strong"/>
          <w:b w:val="0"/>
          <w:bCs w:val="0"/>
        </w:rPr>
        <w:t>". MRRT requirements for units listed under Claim B.3 are contained in NSR Permit Numbers 6825A, PSDTX49M2, N65, and GHGPSDTX167M1 as noted below:</w:t>
      </w:r>
    </w:p>
    <w:p w14:paraId="45F22242" w14:textId="77777777" w:rsidR="00757DCE" w:rsidRPr="00757DCE" w:rsidRDefault="00757DCE" w:rsidP="00757DCE">
      <w:pPr>
        <w:rPr>
          <w:rStyle w:val="Strong"/>
          <w:b w:val="0"/>
          <w:bCs w:val="0"/>
        </w:rPr>
      </w:pPr>
    </w:p>
    <w:p w14:paraId="75191F15" w14:textId="430F9558" w:rsidR="00757DCE" w:rsidRDefault="00757DCE" w:rsidP="00757DCE">
      <w:pPr>
        <w:rPr>
          <w:rStyle w:val="Strong"/>
          <w:b w:val="0"/>
          <w:bCs w:val="0"/>
        </w:rPr>
      </w:pPr>
      <w:r w:rsidRPr="00757DCE">
        <w:rPr>
          <w:rStyle w:val="Strong"/>
          <w:b w:val="0"/>
          <w:bCs w:val="0"/>
        </w:rPr>
        <w:t>• The FCCU Wet Gas Scrubber Stack (EPN E-01-WGS): See special conditions 19.A through19.F, SC 20, and SC 21 for additional detail.</w:t>
      </w:r>
    </w:p>
    <w:p w14:paraId="47E13273" w14:textId="77777777" w:rsidR="0084599B" w:rsidRPr="00757DCE" w:rsidRDefault="0084599B" w:rsidP="00757DCE">
      <w:pPr>
        <w:rPr>
          <w:rStyle w:val="Strong"/>
          <w:b w:val="0"/>
          <w:bCs w:val="0"/>
        </w:rPr>
      </w:pPr>
    </w:p>
    <w:p w14:paraId="5FCA520D" w14:textId="25594BAF" w:rsidR="00757DCE" w:rsidRDefault="00757DCE" w:rsidP="00757DCE">
      <w:pPr>
        <w:rPr>
          <w:rStyle w:val="Strong"/>
          <w:b w:val="0"/>
          <w:bCs w:val="0"/>
        </w:rPr>
      </w:pPr>
      <w:r w:rsidRPr="00757DCE">
        <w:rPr>
          <w:rStyle w:val="Strong"/>
          <w:b w:val="0"/>
          <w:bCs w:val="0"/>
        </w:rPr>
        <w:t>• The TGI Stacks of the SRUs 543, 544, 545, and 546 (EPNs E-01-SCOT, E-02-SCOT, E-03-SCOT, and E-04-SCOT, respectively): See special conditions 25, SC 26, SC 27, SC 28, SC 29, SC 30, SC 31, SC 32, and SC 33 for additional detail.</w:t>
      </w:r>
    </w:p>
    <w:p w14:paraId="6DB92D3F" w14:textId="77777777" w:rsidR="0084599B" w:rsidRPr="00757DCE" w:rsidRDefault="0084599B" w:rsidP="00757DCE">
      <w:pPr>
        <w:rPr>
          <w:rStyle w:val="Strong"/>
          <w:b w:val="0"/>
          <w:bCs w:val="0"/>
        </w:rPr>
      </w:pPr>
    </w:p>
    <w:p w14:paraId="6FBAAC70" w14:textId="7409BE53" w:rsidR="00757DCE" w:rsidRDefault="00757DCE" w:rsidP="00757DCE">
      <w:pPr>
        <w:rPr>
          <w:rStyle w:val="Strong"/>
          <w:b w:val="0"/>
          <w:bCs w:val="0"/>
        </w:rPr>
      </w:pPr>
      <w:r w:rsidRPr="00757DCE">
        <w:rPr>
          <w:rStyle w:val="Strong"/>
          <w:b w:val="0"/>
          <w:bCs w:val="0"/>
        </w:rPr>
        <w:t>• All boilers, heaters, etc., with firing rates of 40 MMBtu/hr or greater; and: See special conditions 34, SC 35, and SC 36 for additional detail</w:t>
      </w:r>
    </w:p>
    <w:p w14:paraId="34D75A7B" w14:textId="77777777" w:rsidR="0084599B" w:rsidRPr="00757DCE" w:rsidRDefault="0084599B" w:rsidP="00757DCE">
      <w:pPr>
        <w:rPr>
          <w:rStyle w:val="Strong"/>
          <w:b w:val="0"/>
          <w:bCs w:val="0"/>
        </w:rPr>
      </w:pPr>
    </w:p>
    <w:p w14:paraId="67763E38" w14:textId="77777777" w:rsidR="00757DCE" w:rsidRPr="00757DCE" w:rsidRDefault="00757DCE" w:rsidP="00757DCE">
      <w:pPr>
        <w:rPr>
          <w:rStyle w:val="Strong"/>
          <w:b w:val="0"/>
          <w:bCs w:val="0"/>
        </w:rPr>
      </w:pPr>
      <w:r w:rsidRPr="00757DCE">
        <w:rPr>
          <w:rStyle w:val="Strong"/>
          <w:b w:val="0"/>
          <w:bCs w:val="0"/>
        </w:rPr>
        <w:t>• The Gasoline Hydrotreater (EPN E-01-245); one-time stack test. See special condition 76 for additional detail.</w:t>
      </w:r>
    </w:p>
    <w:p w14:paraId="3E3DDC29" w14:textId="77777777" w:rsidR="00757DCE" w:rsidRPr="00757DCE" w:rsidRDefault="00757DCE" w:rsidP="00757DCE">
      <w:pPr>
        <w:rPr>
          <w:rStyle w:val="Strong"/>
          <w:b w:val="0"/>
          <w:bCs w:val="0"/>
        </w:rPr>
      </w:pPr>
    </w:p>
    <w:p w14:paraId="6633E75C" w14:textId="11F24E3F" w:rsidR="00757DCE" w:rsidRDefault="0084599B" w:rsidP="00757DCE">
      <w:pPr>
        <w:rPr>
          <w:rStyle w:val="Strong"/>
          <w:b w:val="0"/>
          <w:bCs w:val="0"/>
        </w:rPr>
      </w:pPr>
      <w:r>
        <w:rPr>
          <w:rStyle w:val="Strong"/>
          <w:b w:val="0"/>
          <w:bCs w:val="0"/>
        </w:rPr>
        <w:t xml:space="preserve">The ED notes </w:t>
      </w:r>
      <w:r w:rsidR="00757DCE" w:rsidRPr="00757DCE">
        <w:rPr>
          <w:rStyle w:val="Strong"/>
          <w:b w:val="0"/>
          <w:bCs w:val="0"/>
        </w:rPr>
        <w:t xml:space="preserve">FOP O1498, which includes a Major NSR Summary Table, also summarizes MRRT requirements to demonstrate compliance with applicable </w:t>
      </w:r>
      <w:r w:rsidRPr="00757DCE">
        <w:rPr>
          <w:rStyle w:val="Strong"/>
          <w:b w:val="0"/>
          <w:bCs w:val="0"/>
        </w:rPr>
        <w:t>requirements</w:t>
      </w:r>
      <w:r w:rsidR="00757DCE" w:rsidRPr="00757DCE">
        <w:rPr>
          <w:rStyle w:val="Strong"/>
          <w:b w:val="0"/>
          <w:bCs w:val="0"/>
        </w:rPr>
        <w:t xml:space="preserve">. They are listed below: </w:t>
      </w:r>
    </w:p>
    <w:p w14:paraId="17B08621" w14:textId="77777777" w:rsidR="0084599B" w:rsidRPr="00757DCE" w:rsidRDefault="0084599B" w:rsidP="00757DCE">
      <w:pPr>
        <w:rPr>
          <w:rStyle w:val="Strong"/>
          <w:b w:val="0"/>
          <w:bCs w:val="0"/>
        </w:rPr>
      </w:pPr>
    </w:p>
    <w:p w14:paraId="703FA5C9" w14:textId="77777777" w:rsidR="00757DCE" w:rsidRPr="00757DCE" w:rsidRDefault="00757DCE" w:rsidP="00757DCE">
      <w:pPr>
        <w:rPr>
          <w:rStyle w:val="Strong"/>
          <w:b w:val="0"/>
          <w:bCs w:val="0"/>
        </w:rPr>
      </w:pPr>
      <w:r w:rsidRPr="00757DCE">
        <w:rPr>
          <w:rStyle w:val="Strong"/>
          <w:b w:val="0"/>
          <w:bCs w:val="0"/>
        </w:rPr>
        <w:t>Unit E-01-WGS - Proposed Permit at page 453</w:t>
      </w:r>
    </w:p>
    <w:p w14:paraId="54C80967" w14:textId="77777777" w:rsidR="00757DCE" w:rsidRPr="00757DCE" w:rsidRDefault="00757DCE" w:rsidP="00757DCE">
      <w:pPr>
        <w:rPr>
          <w:rStyle w:val="Strong"/>
          <w:b w:val="0"/>
          <w:bCs w:val="0"/>
        </w:rPr>
      </w:pPr>
      <w:r w:rsidRPr="00757DCE">
        <w:rPr>
          <w:rStyle w:val="Strong"/>
          <w:b w:val="0"/>
          <w:bCs w:val="0"/>
        </w:rPr>
        <w:t>Units E-01-SCOT, E-02-SCOT, E-03-SCOT, and E-04-SCOT - Proposed Permit at page 450</w:t>
      </w:r>
    </w:p>
    <w:p w14:paraId="191D9826" w14:textId="77777777" w:rsidR="00757DCE" w:rsidRPr="00757DCE" w:rsidRDefault="00757DCE" w:rsidP="00757DCE">
      <w:pPr>
        <w:rPr>
          <w:rStyle w:val="Strong"/>
          <w:b w:val="0"/>
          <w:bCs w:val="0"/>
        </w:rPr>
      </w:pPr>
      <w:r w:rsidRPr="00757DCE">
        <w:rPr>
          <w:rStyle w:val="Strong"/>
          <w:b w:val="0"/>
          <w:bCs w:val="0"/>
        </w:rPr>
        <w:t>All boilers, heaters, etc. &gt; = 40 MMBTU/HR - Proposed Permit at pages 431 to 460</w:t>
      </w:r>
    </w:p>
    <w:p w14:paraId="47C0A072" w14:textId="28695B39" w:rsidR="002773F2" w:rsidRDefault="00757DCE" w:rsidP="00757DCE">
      <w:pPr>
        <w:rPr>
          <w:rStyle w:val="Strong"/>
          <w:b w:val="0"/>
          <w:bCs w:val="0"/>
        </w:rPr>
      </w:pPr>
      <w:r w:rsidRPr="00757DCE">
        <w:rPr>
          <w:rStyle w:val="Strong"/>
          <w:b w:val="0"/>
          <w:bCs w:val="0"/>
        </w:rPr>
        <w:t xml:space="preserve">Unit E-01-245 </w:t>
      </w:r>
      <w:r w:rsidR="0084599B" w:rsidRPr="00757DCE">
        <w:rPr>
          <w:rStyle w:val="Strong"/>
          <w:b w:val="0"/>
          <w:bCs w:val="0"/>
        </w:rPr>
        <w:t>- Proposed</w:t>
      </w:r>
      <w:r w:rsidRPr="00757DCE">
        <w:rPr>
          <w:rStyle w:val="Strong"/>
          <w:b w:val="0"/>
          <w:bCs w:val="0"/>
        </w:rPr>
        <w:t xml:space="preserve"> Permit at page 462</w:t>
      </w:r>
      <w:r w:rsidR="005D2843">
        <w:rPr>
          <w:rStyle w:val="Strong"/>
          <w:b w:val="0"/>
          <w:bCs w:val="0"/>
        </w:rPr>
        <w:t>.</w:t>
      </w:r>
    </w:p>
    <w:p w14:paraId="6CDD59EB" w14:textId="02CF7FC4" w:rsidR="005D2843" w:rsidRDefault="005D2843" w:rsidP="00757DCE">
      <w:pPr>
        <w:rPr>
          <w:rStyle w:val="Strong"/>
          <w:b w:val="0"/>
          <w:bCs w:val="0"/>
        </w:rPr>
      </w:pPr>
    </w:p>
    <w:p w14:paraId="6D652B30" w14:textId="223D21E1" w:rsidR="005D2843" w:rsidRPr="00966B54" w:rsidRDefault="005D2843" w:rsidP="00757DCE">
      <w:pPr>
        <w:rPr>
          <w:rFonts w:ascii="Calibri" w:hAnsi="Calibri"/>
          <w:szCs w:val="22"/>
        </w:rPr>
      </w:pPr>
      <w:r>
        <w:rPr>
          <w:rStyle w:val="Strong"/>
          <w:b w:val="0"/>
          <w:bCs w:val="0"/>
        </w:rPr>
        <w:t>Therefore</w:t>
      </w:r>
      <w:r w:rsidR="002E0ACD">
        <w:rPr>
          <w:rStyle w:val="Strong"/>
          <w:b w:val="0"/>
          <w:bCs w:val="0"/>
        </w:rPr>
        <w:t>,</w:t>
      </w:r>
      <w:r>
        <w:rPr>
          <w:rStyle w:val="Strong"/>
          <w:b w:val="0"/>
          <w:bCs w:val="0"/>
        </w:rPr>
        <w:t xml:space="preserve"> FOP O1498 which references </w:t>
      </w:r>
      <w:r w:rsidRPr="00757DCE">
        <w:rPr>
          <w:rStyle w:val="Strong"/>
          <w:b w:val="0"/>
          <w:bCs w:val="0"/>
        </w:rPr>
        <w:t xml:space="preserve">NSR Permit Numbers 6825A, PSDTX49M2, N65, and GHGPSDTX167M1 </w:t>
      </w:r>
      <w:r w:rsidR="002E0ACD">
        <w:rPr>
          <w:rStyle w:val="Strong"/>
          <w:b w:val="0"/>
          <w:bCs w:val="0"/>
        </w:rPr>
        <w:t xml:space="preserve">contains </w:t>
      </w:r>
      <w:r w:rsidRPr="005D2843">
        <w:rPr>
          <w:rStyle w:val="Strong"/>
          <w:b w:val="0"/>
          <w:bCs w:val="0"/>
        </w:rPr>
        <w:t xml:space="preserve">adequate </w:t>
      </w:r>
      <w:r w:rsidR="002E0ACD">
        <w:rPr>
          <w:rStyle w:val="Strong"/>
          <w:b w:val="0"/>
          <w:bCs w:val="0"/>
        </w:rPr>
        <w:t>MRRT requirements</w:t>
      </w:r>
      <w:r w:rsidRPr="005D2843">
        <w:rPr>
          <w:rStyle w:val="Strong"/>
          <w:b w:val="0"/>
          <w:bCs w:val="0"/>
        </w:rPr>
        <w:t xml:space="preserve"> to assure compliance with permit terms and conditions</w:t>
      </w:r>
      <w:r w:rsidR="002E0ACD">
        <w:rPr>
          <w:rStyle w:val="Strong"/>
          <w:b w:val="0"/>
          <w:bCs w:val="0"/>
        </w:rPr>
        <w:t>.</w:t>
      </w:r>
    </w:p>
    <w:p w14:paraId="1592F0EB" w14:textId="43D81433" w:rsidR="00D048D2" w:rsidRDefault="00D048D2" w:rsidP="004535E5">
      <w:pPr>
        <w:rPr>
          <w:rStyle w:val="Strong"/>
        </w:rPr>
      </w:pPr>
    </w:p>
    <w:p w14:paraId="362167D6" w14:textId="6DCE11EF" w:rsidR="00D01263" w:rsidRDefault="00D01263" w:rsidP="004535E5">
      <w:pPr>
        <w:rPr>
          <w:rStyle w:val="Strong"/>
        </w:rPr>
      </w:pPr>
      <w:r w:rsidRPr="009458A8">
        <w:rPr>
          <w:rStyle w:val="Strong"/>
        </w:rPr>
        <w:t xml:space="preserve">EPA </w:t>
      </w:r>
      <w:r>
        <w:rPr>
          <w:rStyle w:val="Strong"/>
        </w:rPr>
        <w:t>Objection Claim B.</w:t>
      </w:r>
      <w:r w:rsidR="00B13717">
        <w:rPr>
          <w:rStyle w:val="Strong"/>
        </w:rPr>
        <w:t>4</w:t>
      </w:r>
      <w:r w:rsidRPr="009458A8">
        <w:rPr>
          <w:rStyle w:val="Strong"/>
        </w:rPr>
        <w:t>:</w:t>
      </w:r>
      <w:r>
        <w:rPr>
          <w:rStyle w:val="Strong"/>
        </w:rPr>
        <w:t xml:space="preserve"> </w:t>
      </w:r>
      <w:bookmarkEnd w:id="4"/>
      <w:r w:rsidRPr="00D01263">
        <w:rPr>
          <w:rFonts w:cs="Arial"/>
          <w:color w:val="252826"/>
          <w:szCs w:val="20"/>
        </w:rPr>
        <w:t>Emission Factors</w:t>
      </w:r>
    </w:p>
    <w:p w14:paraId="189DDC53" w14:textId="6A9A22DA" w:rsidR="0031708C" w:rsidRDefault="0031708C" w:rsidP="004535E5">
      <w:pPr>
        <w:rPr>
          <w:rStyle w:val="Strong"/>
        </w:rPr>
      </w:pPr>
    </w:p>
    <w:p w14:paraId="4B9AF161" w14:textId="1C72AFD1" w:rsidR="002262BB" w:rsidRPr="002262BB" w:rsidRDefault="002262BB" w:rsidP="002262BB">
      <w:pPr>
        <w:rPr>
          <w:rFonts w:cs="Arial"/>
          <w:color w:val="373937"/>
          <w:szCs w:val="20"/>
        </w:rPr>
      </w:pPr>
      <w:r w:rsidRPr="002262BB">
        <w:rPr>
          <w:rFonts w:cs="Arial"/>
          <w:color w:val="252726"/>
          <w:szCs w:val="20"/>
        </w:rPr>
        <w:t xml:space="preserve">In responding to this </w:t>
      </w:r>
      <w:r w:rsidRPr="002262BB">
        <w:rPr>
          <w:rFonts w:cs="Arial"/>
          <w:color w:val="373937"/>
          <w:szCs w:val="20"/>
        </w:rPr>
        <w:t xml:space="preserve">Order, TCEQ should </w:t>
      </w:r>
      <w:r w:rsidRPr="002262BB">
        <w:rPr>
          <w:rFonts w:cs="Arial"/>
          <w:color w:val="252726"/>
          <w:szCs w:val="20"/>
        </w:rPr>
        <w:t xml:space="preserve">update </w:t>
      </w:r>
      <w:r w:rsidRPr="002262BB">
        <w:rPr>
          <w:rFonts w:cs="Arial"/>
          <w:color w:val="373937"/>
          <w:szCs w:val="20"/>
        </w:rPr>
        <w:t xml:space="preserve">the </w:t>
      </w:r>
      <w:r w:rsidRPr="002262BB">
        <w:rPr>
          <w:rFonts w:cs="Arial"/>
          <w:color w:val="252726"/>
          <w:szCs w:val="20"/>
        </w:rPr>
        <w:t>Permit to more clearly</w:t>
      </w:r>
      <w:r w:rsidR="00AC76E3">
        <w:rPr>
          <w:rFonts w:cs="Arial"/>
          <w:color w:val="252726"/>
          <w:szCs w:val="20"/>
        </w:rPr>
        <w:t xml:space="preserve"> </w:t>
      </w:r>
      <w:r w:rsidRPr="002262BB">
        <w:rPr>
          <w:rFonts w:cs="Arial"/>
          <w:color w:val="373937"/>
          <w:szCs w:val="20"/>
        </w:rPr>
        <w:t xml:space="preserve">identify </w:t>
      </w:r>
      <w:r w:rsidRPr="002262BB">
        <w:rPr>
          <w:rFonts w:cs="Arial"/>
          <w:color w:val="252726"/>
          <w:szCs w:val="20"/>
        </w:rPr>
        <w:t xml:space="preserve">the location </w:t>
      </w:r>
      <w:r w:rsidRPr="002262BB">
        <w:rPr>
          <w:rFonts w:cs="Arial"/>
          <w:color w:val="373937"/>
          <w:szCs w:val="20"/>
        </w:rPr>
        <w:t xml:space="preserve">of </w:t>
      </w:r>
      <w:r w:rsidRPr="002262BB">
        <w:rPr>
          <w:rFonts w:cs="Arial"/>
          <w:color w:val="252726"/>
          <w:szCs w:val="20"/>
        </w:rPr>
        <w:t xml:space="preserve">the </w:t>
      </w:r>
      <w:r w:rsidRPr="002262BB">
        <w:rPr>
          <w:rFonts w:cs="Arial"/>
          <w:color w:val="373937"/>
          <w:szCs w:val="20"/>
        </w:rPr>
        <w:t xml:space="preserve">emission factors </w:t>
      </w:r>
      <w:r w:rsidRPr="002262BB">
        <w:rPr>
          <w:rFonts w:cs="Arial"/>
          <w:color w:val="252726"/>
          <w:szCs w:val="20"/>
        </w:rPr>
        <w:t xml:space="preserve">upon </w:t>
      </w:r>
      <w:r w:rsidRPr="002262BB">
        <w:rPr>
          <w:rFonts w:cs="Arial"/>
          <w:color w:val="373937"/>
          <w:szCs w:val="20"/>
        </w:rPr>
        <w:t xml:space="preserve">which the </w:t>
      </w:r>
      <w:r w:rsidRPr="002262BB">
        <w:rPr>
          <w:rFonts w:cs="Arial"/>
          <w:color w:val="252726"/>
          <w:szCs w:val="20"/>
        </w:rPr>
        <w:t xml:space="preserve">Permit </w:t>
      </w:r>
      <w:r w:rsidRPr="002262BB">
        <w:rPr>
          <w:rFonts w:cs="Arial"/>
          <w:color w:val="373937"/>
          <w:szCs w:val="20"/>
        </w:rPr>
        <w:t xml:space="preserve">relies. Similar </w:t>
      </w:r>
      <w:r w:rsidRPr="002262BB">
        <w:rPr>
          <w:rFonts w:cs="Arial"/>
          <w:color w:val="252726"/>
          <w:szCs w:val="20"/>
        </w:rPr>
        <w:t>to the</w:t>
      </w:r>
      <w:r w:rsidR="00AC76E3">
        <w:rPr>
          <w:rFonts w:cs="Arial"/>
          <w:color w:val="252726"/>
          <w:szCs w:val="20"/>
        </w:rPr>
        <w:t xml:space="preserve"> </w:t>
      </w:r>
      <w:r w:rsidRPr="002262BB">
        <w:rPr>
          <w:rFonts w:cs="Arial"/>
          <w:color w:val="252726"/>
          <w:szCs w:val="20"/>
        </w:rPr>
        <w:t xml:space="preserve">discussion in response to </w:t>
      </w:r>
      <w:r w:rsidRPr="002262BB">
        <w:rPr>
          <w:rFonts w:cs="Arial"/>
          <w:color w:val="373937"/>
          <w:szCs w:val="20"/>
        </w:rPr>
        <w:t xml:space="preserve">Claim </w:t>
      </w:r>
      <w:r w:rsidRPr="002262BB">
        <w:rPr>
          <w:rFonts w:cs="Arial"/>
          <w:color w:val="252726"/>
          <w:szCs w:val="20"/>
        </w:rPr>
        <w:t xml:space="preserve">B.1 </w:t>
      </w:r>
      <w:r w:rsidRPr="002262BB">
        <w:rPr>
          <w:rFonts w:cs="Arial"/>
          <w:color w:val="373937"/>
          <w:szCs w:val="20"/>
        </w:rPr>
        <w:t xml:space="preserve">above, </w:t>
      </w:r>
      <w:r w:rsidRPr="002262BB">
        <w:rPr>
          <w:rFonts w:cs="Arial"/>
          <w:color w:val="252726"/>
          <w:szCs w:val="20"/>
        </w:rPr>
        <w:t xml:space="preserve">in order </w:t>
      </w:r>
      <w:r w:rsidRPr="002262BB">
        <w:rPr>
          <w:rFonts w:cs="Arial"/>
          <w:color w:val="373937"/>
          <w:szCs w:val="20"/>
        </w:rPr>
        <w:t xml:space="preserve">to satisfy </w:t>
      </w:r>
      <w:r w:rsidRPr="002262BB">
        <w:rPr>
          <w:rFonts w:cs="Arial"/>
          <w:color w:val="252726"/>
          <w:szCs w:val="20"/>
        </w:rPr>
        <w:t xml:space="preserve">the </w:t>
      </w:r>
      <w:r w:rsidRPr="002262BB">
        <w:rPr>
          <w:rFonts w:cs="Arial"/>
          <w:color w:val="373937"/>
          <w:szCs w:val="20"/>
        </w:rPr>
        <w:t xml:space="preserve">requirement </w:t>
      </w:r>
      <w:r w:rsidRPr="002262BB">
        <w:rPr>
          <w:rFonts w:cs="Arial"/>
          <w:color w:val="252726"/>
          <w:szCs w:val="20"/>
        </w:rPr>
        <w:t xml:space="preserve">in title </w:t>
      </w:r>
      <w:r w:rsidRPr="002262BB">
        <w:rPr>
          <w:rFonts w:cs="Arial"/>
          <w:color w:val="373937"/>
          <w:szCs w:val="20"/>
        </w:rPr>
        <w:t xml:space="preserve">V </w:t>
      </w:r>
      <w:r w:rsidRPr="002262BB">
        <w:rPr>
          <w:rFonts w:cs="Arial"/>
          <w:color w:val="252726"/>
          <w:szCs w:val="20"/>
        </w:rPr>
        <w:t>that the</w:t>
      </w:r>
      <w:r w:rsidR="00AC76E3">
        <w:rPr>
          <w:rFonts w:cs="Arial"/>
          <w:color w:val="252726"/>
          <w:szCs w:val="20"/>
        </w:rPr>
        <w:t xml:space="preserve"> </w:t>
      </w:r>
      <w:r w:rsidRPr="002262BB">
        <w:rPr>
          <w:rFonts w:cs="Arial"/>
          <w:color w:val="373937"/>
          <w:szCs w:val="20"/>
        </w:rPr>
        <w:t xml:space="preserve">Permit </w:t>
      </w:r>
      <w:r w:rsidRPr="002262BB">
        <w:rPr>
          <w:rFonts w:cs="Arial"/>
          <w:color w:val="4D4F4E"/>
          <w:szCs w:val="20"/>
        </w:rPr>
        <w:t>"se</w:t>
      </w:r>
      <w:r w:rsidRPr="002262BB">
        <w:rPr>
          <w:rFonts w:cs="Arial"/>
          <w:color w:val="252726"/>
          <w:szCs w:val="20"/>
        </w:rPr>
        <w:t xml:space="preserve">t </w:t>
      </w:r>
      <w:r w:rsidRPr="002262BB">
        <w:rPr>
          <w:rFonts w:cs="Arial"/>
          <w:color w:val="373937"/>
          <w:szCs w:val="20"/>
        </w:rPr>
        <w:t>forth</w:t>
      </w:r>
      <w:r w:rsidRPr="002262BB">
        <w:rPr>
          <w:rFonts w:cs="Arial"/>
          <w:color w:val="5F5F5D"/>
          <w:szCs w:val="20"/>
        </w:rPr>
        <w:t>," "</w:t>
      </w:r>
      <w:r w:rsidRPr="002262BB">
        <w:rPr>
          <w:rFonts w:cs="Arial"/>
          <w:color w:val="373937"/>
          <w:szCs w:val="20"/>
        </w:rPr>
        <w:t>include,</w:t>
      </w:r>
      <w:r w:rsidRPr="002262BB">
        <w:rPr>
          <w:rFonts w:cs="Arial"/>
          <w:color w:val="5F5F5D"/>
          <w:szCs w:val="20"/>
        </w:rPr>
        <w:t xml:space="preserve">" </w:t>
      </w:r>
      <w:r w:rsidRPr="002262BB">
        <w:rPr>
          <w:rFonts w:cs="Arial"/>
          <w:color w:val="373937"/>
          <w:szCs w:val="20"/>
        </w:rPr>
        <w:t xml:space="preserve">or </w:t>
      </w:r>
      <w:r w:rsidRPr="002262BB">
        <w:rPr>
          <w:rFonts w:cs="Arial"/>
          <w:color w:val="5F5F5D"/>
          <w:szCs w:val="20"/>
        </w:rPr>
        <w:t>"</w:t>
      </w:r>
      <w:r w:rsidRPr="002262BB">
        <w:rPr>
          <w:rFonts w:cs="Arial"/>
          <w:color w:val="373937"/>
          <w:szCs w:val="20"/>
        </w:rPr>
        <w:t>contain</w:t>
      </w:r>
      <w:r w:rsidRPr="002262BB">
        <w:rPr>
          <w:rFonts w:cs="Arial"/>
          <w:color w:val="5F5F5D"/>
          <w:szCs w:val="20"/>
        </w:rPr>
        <w:t xml:space="preserve">" </w:t>
      </w:r>
      <w:r w:rsidRPr="002262BB">
        <w:rPr>
          <w:rFonts w:cs="Arial"/>
          <w:color w:val="252726"/>
          <w:szCs w:val="20"/>
        </w:rPr>
        <w:t>monitorin</w:t>
      </w:r>
      <w:r w:rsidRPr="002262BB">
        <w:rPr>
          <w:rFonts w:cs="Arial"/>
          <w:color w:val="4D4F4E"/>
          <w:szCs w:val="20"/>
        </w:rPr>
        <w:t xml:space="preserve">g </w:t>
      </w:r>
      <w:r w:rsidRPr="002262BB">
        <w:rPr>
          <w:rFonts w:cs="Arial"/>
          <w:color w:val="373937"/>
          <w:szCs w:val="20"/>
        </w:rPr>
        <w:t>to assure compliance with all applicable</w:t>
      </w:r>
      <w:r w:rsidR="00AC76E3">
        <w:rPr>
          <w:rFonts w:cs="Arial"/>
          <w:color w:val="373937"/>
          <w:szCs w:val="20"/>
        </w:rPr>
        <w:t xml:space="preserve"> </w:t>
      </w:r>
      <w:r w:rsidRPr="002262BB">
        <w:rPr>
          <w:rFonts w:cs="Arial"/>
          <w:color w:val="373937"/>
          <w:szCs w:val="20"/>
        </w:rPr>
        <w:t>requirements</w:t>
      </w:r>
      <w:r w:rsidRPr="002262BB">
        <w:rPr>
          <w:rFonts w:cs="Arial"/>
          <w:color w:val="5F5F5D"/>
          <w:szCs w:val="20"/>
        </w:rPr>
        <w:t xml:space="preserve">, </w:t>
      </w:r>
      <w:r w:rsidRPr="002262BB">
        <w:rPr>
          <w:rFonts w:cs="Arial"/>
          <w:color w:val="373937"/>
          <w:szCs w:val="20"/>
        </w:rPr>
        <w:t xml:space="preserve">a special condition would </w:t>
      </w:r>
      <w:r w:rsidRPr="002262BB">
        <w:rPr>
          <w:rFonts w:cs="Arial"/>
          <w:color w:val="252726"/>
          <w:szCs w:val="20"/>
        </w:rPr>
        <w:t>need to include</w:t>
      </w:r>
      <w:r w:rsidRPr="002262BB">
        <w:rPr>
          <w:rFonts w:cs="Arial"/>
          <w:color w:val="5F5F5D"/>
          <w:szCs w:val="20"/>
        </w:rPr>
        <w:t xml:space="preserve">, </w:t>
      </w:r>
      <w:r w:rsidRPr="002262BB">
        <w:rPr>
          <w:rFonts w:cs="Arial"/>
          <w:color w:val="373937"/>
          <w:szCs w:val="20"/>
        </w:rPr>
        <w:t xml:space="preserve">at </w:t>
      </w:r>
      <w:r w:rsidRPr="002262BB">
        <w:rPr>
          <w:rFonts w:cs="Arial"/>
          <w:color w:val="252726"/>
          <w:szCs w:val="20"/>
        </w:rPr>
        <w:t>a minimum</w:t>
      </w:r>
      <w:r w:rsidRPr="002262BB">
        <w:rPr>
          <w:rFonts w:cs="Arial"/>
          <w:color w:val="5F5F5D"/>
          <w:szCs w:val="20"/>
        </w:rPr>
        <w:t xml:space="preserve">, </w:t>
      </w:r>
      <w:r w:rsidRPr="002262BB">
        <w:rPr>
          <w:rFonts w:cs="Arial"/>
          <w:color w:val="252726"/>
          <w:szCs w:val="20"/>
        </w:rPr>
        <w:t xml:space="preserve">the date </w:t>
      </w:r>
      <w:r w:rsidRPr="002262BB">
        <w:rPr>
          <w:rFonts w:cs="Arial"/>
          <w:color w:val="373937"/>
          <w:szCs w:val="20"/>
        </w:rPr>
        <w:t>of the</w:t>
      </w:r>
      <w:r w:rsidR="00AC76E3">
        <w:rPr>
          <w:rFonts w:cs="Arial"/>
          <w:color w:val="373937"/>
          <w:szCs w:val="20"/>
        </w:rPr>
        <w:t xml:space="preserve"> </w:t>
      </w:r>
      <w:r w:rsidRPr="002262BB">
        <w:rPr>
          <w:rFonts w:cs="Arial"/>
          <w:color w:val="373937"/>
          <w:szCs w:val="20"/>
        </w:rPr>
        <w:t xml:space="preserve">application </w:t>
      </w:r>
      <w:r w:rsidRPr="002262BB">
        <w:rPr>
          <w:rFonts w:cs="Arial"/>
          <w:color w:val="252726"/>
          <w:szCs w:val="20"/>
        </w:rPr>
        <w:t xml:space="preserve">and </w:t>
      </w:r>
      <w:r w:rsidRPr="002262BB">
        <w:rPr>
          <w:rFonts w:cs="Arial"/>
          <w:color w:val="373937"/>
          <w:szCs w:val="20"/>
        </w:rPr>
        <w:t xml:space="preserve">specific </w:t>
      </w:r>
      <w:r w:rsidRPr="002262BB">
        <w:rPr>
          <w:rFonts w:cs="Arial"/>
          <w:color w:val="252726"/>
          <w:szCs w:val="20"/>
        </w:rPr>
        <w:t xml:space="preserve">location </w:t>
      </w:r>
      <w:r w:rsidRPr="002262BB">
        <w:rPr>
          <w:rFonts w:cs="Arial"/>
          <w:color w:val="373937"/>
          <w:szCs w:val="20"/>
        </w:rPr>
        <w:t xml:space="preserve">of </w:t>
      </w:r>
      <w:r w:rsidRPr="002262BB">
        <w:rPr>
          <w:rFonts w:cs="Arial"/>
          <w:color w:val="252726"/>
          <w:szCs w:val="20"/>
        </w:rPr>
        <w:t xml:space="preserve">the </w:t>
      </w:r>
      <w:r w:rsidRPr="002262BB">
        <w:rPr>
          <w:rFonts w:cs="Arial"/>
          <w:color w:val="373937"/>
          <w:szCs w:val="20"/>
        </w:rPr>
        <w:t xml:space="preserve">incorporated information, for example, </w:t>
      </w:r>
      <w:r w:rsidRPr="002262BB">
        <w:rPr>
          <w:rFonts w:cs="Arial"/>
          <w:color w:val="252726"/>
          <w:szCs w:val="20"/>
        </w:rPr>
        <w:t xml:space="preserve">by providing </w:t>
      </w:r>
      <w:r w:rsidRPr="002262BB">
        <w:rPr>
          <w:rFonts w:cs="Arial"/>
          <w:color w:val="373937"/>
          <w:szCs w:val="20"/>
        </w:rPr>
        <w:t>a</w:t>
      </w:r>
      <w:r w:rsidR="00AC76E3">
        <w:rPr>
          <w:rFonts w:cs="Arial"/>
          <w:color w:val="373937"/>
          <w:szCs w:val="20"/>
        </w:rPr>
        <w:t xml:space="preserve"> </w:t>
      </w:r>
      <w:r w:rsidRPr="002262BB">
        <w:rPr>
          <w:rFonts w:cs="Arial"/>
          <w:color w:val="252726"/>
          <w:szCs w:val="20"/>
        </w:rPr>
        <w:t xml:space="preserve">page number </w:t>
      </w:r>
      <w:r w:rsidRPr="002262BB">
        <w:rPr>
          <w:rFonts w:cs="Arial"/>
          <w:color w:val="373937"/>
          <w:szCs w:val="20"/>
        </w:rPr>
        <w:t xml:space="preserve">from the application. Alternatively, a more straightforward approach </w:t>
      </w:r>
      <w:r w:rsidRPr="002262BB">
        <w:rPr>
          <w:rFonts w:cs="Arial"/>
          <w:color w:val="252726"/>
          <w:szCs w:val="20"/>
        </w:rPr>
        <w:t xml:space="preserve">that </w:t>
      </w:r>
      <w:r w:rsidRPr="002262BB">
        <w:rPr>
          <w:rFonts w:cs="Arial"/>
          <w:color w:val="373937"/>
          <w:szCs w:val="20"/>
        </w:rPr>
        <w:t>would</w:t>
      </w:r>
    </w:p>
    <w:p w14:paraId="15CFEF5A" w14:textId="150AF99C" w:rsidR="002262BB" w:rsidRPr="002262BB" w:rsidRDefault="002262BB" w:rsidP="002262BB">
      <w:pPr>
        <w:rPr>
          <w:rFonts w:cs="Arial"/>
          <w:color w:val="373937"/>
          <w:szCs w:val="20"/>
        </w:rPr>
      </w:pPr>
      <w:r w:rsidRPr="002262BB">
        <w:rPr>
          <w:rFonts w:cs="Arial"/>
          <w:color w:val="373937"/>
          <w:szCs w:val="20"/>
        </w:rPr>
        <w:t xml:space="preserve">obviate </w:t>
      </w:r>
      <w:r w:rsidRPr="002262BB">
        <w:rPr>
          <w:rFonts w:cs="Arial"/>
          <w:color w:val="252726"/>
          <w:szCs w:val="20"/>
        </w:rPr>
        <w:t xml:space="preserve">these IBR-related </w:t>
      </w:r>
      <w:r w:rsidRPr="002262BB">
        <w:rPr>
          <w:rFonts w:cs="Arial"/>
          <w:color w:val="373937"/>
          <w:szCs w:val="20"/>
        </w:rPr>
        <w:t xml:space="preserve">concerns would </w:t>
      </w:r>
      <w:r w:rsidRPr="002262BB">
        <w:rPr>
          <w:rFonts w:cs="Arial"/>
          <w:color w:val="252726"/>
          <w:szCs w:val="20"/>
        </w:rPr>
        <w:t xml:space="preserve">be </w:t>
      </w:r>
      <w:r w:rsidRPr="002262BB">
        <w:rPr>
          <w:rFonts w:cs="Arial"/>
          <w:color w:val="373937"/>
          <w:szCs w:val="20"/>
        </w:rPr>
        <w:t xml:space="preserve">for TCEQ </w:t>
      </w:r>
      <w:r w:rsidRPr="002262BB">
        <w:rPr>
          <w:rFonts w:cs="Arial"/>
          <w:color w:val="252726"/>
          <w:szCs w:val="20"/>
        </w:rPr>
        <w:t xml:space="preserve">to directly include the </w:t>
      </w:r>
      <w:r w:rsidRPr="002262BB">
        <w:rPr>
          <w:rFonts w:cs="Arial"/>
          <w:color w:val="373937"/>
          <w:szCs w:val="20"/>
        </w:rPr>
        <w:t>emission factors</w:t>
      </w:r>
      <w:r w:rsidR="00AC76E3">
        <w:rPr>
          <w:rFonts w:cs="Arial"/>
          <w:color w:val="373937"/>
          <w:szCs w:val="20"/>
        </w:rPr>
        <w:t xml:space="preserve"> </w:t>
      </w:r>
      <w:r w:rsidRPr="002262BB">
        <w:rPr>
          <w:rFonts w:cs="Arial"/>
          <w:color w:val="252726"/>
          <w:szCs w:val="20"/>
        </w:rPr>
        <w:t>bein</w:t>
      </w:r>
      <w:r w:rsidRPr="002262BB">
        <w:rPr>
          <w:rFonts w:cs="Arial"/>
          <w:color w:val="4D4F4E"/>
          <w:szCs w:val="20"/>
        </w:rPr>
        <w:t xml:space="preserve">g </w:t>
      </w:r>
      <w:r w:rsidRPr="002262BB">
        <w:rPr>
          <w:rFonts w:cs="Arial"/>
          <w:color w:val="252726"/>
          <w:szCs w:val="20"/>
        </w:rPr>
        <w:t xml:space="preserve">used to demonstrate </w:t>
      </w:r>
      <w:r w:rsidRPr="002262BB">
        <w:rPr>
          <w:rFonts w:cs="Arial"/>
          <w:color w:val="373937"/>
          <w:szCs w:val="20"/>
        </w:rPr>
        <w:t xml:space="preserve">compliance within </w:t>
      </w:r>
      <w:r w:rsidRPr="002262BB">
        <w:rPr>
          <w:rFonts w:cs="Arial"/>
          <w:color w:val="252726"/>
          <w:szCs w:val="20"/>
        </w:rPr>
        <w:t xml:space="preserve">these </w:t>
      </w:r>
      <w:r w:rsidRPr="002262BB">
        <w:rPr>
          <w:rFonts w:cs="Arial"/>
          <w:color w:val="373937"/>
          <w:szCs w:val="20"/>
        </w:rPr>
        <w:t>Special Conditions.</w:t>
      </w:r>
    </w:p>
    <w:p w14:paraId="3637ED6C" w14:textId="77777777" w:rsidR="002262BB" w:rsidRPr="002262BB" w:rsidRDefault="002262BB" w:rsidP="004535E5">
      <w:pPr>
        <w:rPr>
          <w:rStyle w:val="Strong"/>
          <w:rFonts w:cs="Arial"/>
          <w:szCs w:val="20"/>
        </w:rPr>
      </w:pPr>
    </w:p>
    <w:p w14:paraId="1A0BBC00" w14:textId="0760F7EF" w:rsidR="009C1267" w:rsidRDefault="00922705" w:rsidP="009C1267">
      <w:pPr>
        <w:rPr>
          <w:rFonts w:ascii="Calibri" w:hAnsi="Calibri"/>
          <w:szCs w:val="22"/>
        </w:rPr>
      </w:pPr>
      <w:r w:rsidRPr="00725612">
        <w:rPr>
          <w:rStyle w:val="Strong"/>
        </w:rPr>
        <w:t>TCEQ R</w:t>
      </w:r>
      <w:r>
        <w:rPr>
          <w:rStyle w:val="Strong"/>
        </w:rPr>
        <w:t>esponse to EPA Objection Claim B.</w:t>
      </w:r>
      <w:r w:rsidR="00634CCD">
        <w:rPr>
          <w:rStyle w:val="Strong"/>
        </w:rPr>
        <w:t>4</w:t>
      </w:r>
      <w:r w:rsidRPr="00725612">
        <w:rPr>
          <w:rStyle w:val="Strong"/>
        </w:rPr>
        <w:t>:</w:t>
      </w:r>
      <w:r>
        <w:rPr>
          <w:rStyle w:val="Strong"/>
        </w:rPr>
        <w:t xml:space="preserve"> </w:t>
      </w:r>
      <w:r w:rsidR="00C52529">
        <w:t xml:space="preserve">NSR permits 6825A and 158399 have been revised to clearly identify location of emission factors. Specifically, </w:t>
      </w:r>
      <w:r w:rsidR="00454490" w:rsidRPr="00454490">
        <w:rPr>
          <w:rStyle w:val="Strong"/>
          <w:b w:val="0"/>
          <w:bCs w:val="0"/>
        </w:rPr>
        <w:t xml:space="preserve">Attachment 7 in </w:t>
      </w:r>
      <w:r w:rsidR="00C52529">
        <w:rPr>
          <w:rStyle w:val="Strong"/>
          <w:b w:val="0"/>
          <w:bCs w:val="0"/>
        </w:rPr>
        <w:t xml:space="preserve">NSR </w:t>
      </w:r>
      <w:r w:rsidR="00830AD5">
        <w:rPr>
          <w:rStyle w:val="Strong"/>
          <w:b w:val="0"/>
          <w:bCs w:val="0"/>
        </w:rPr>
        <w:t xml:space="preserve">permit </w:t>
      </w:r>
      <w:r w:rsidR="00454490" w:rsidRPr="00454490">
        <w:rPr>
          <w:rStyle w:val="Strong"/>
          <w:b w:val="0"/>
          <w:bCs w:val="0"/>
        </w:rPr>
        <w:t xml:space="preserve">6825A </w:t>
      </w:r>
      <w:r w:rsidR="00830AD5">
        <w:rPr>
          <w:rStyle w:val="Strong"/>
          <w:b w:val="0"/>
          <w:bCs w:val="0"/>
        </w:rPr>
        <w:t xml:space="preserve">issued </w:t>
      </w:r>
      <w:r w:rsidR="001B0BC3" w:rsidRPr="001B0BC3">
        <w:rPr>
          <w:rStyle w:val="Strong"/>
          <w:b w:val="0"/>
          <w:bCs w:val="0"/>
        </w:rPr>
        <w:t xml:space="preserve">May 6, </w:t>
      </w:r>
      <w:r w:rsidR="00186FEE" w:rsidRPr="001B0BC3">
        <w:rPr>
          <w:rStyle w:val="Strong"/>
          <w:b w:val="0"/>
          <w:bCs w:val="0"/>
        </w:rPr>
        <w:t>2022 (</w:t>
      </w:r>
      <w:r w:rsidR="001B0BC3" w:rsidRPr="001B0BC3">
        <w:rPr>
          <w:rStyle w:val="Strong"/>
          <w:b w:val="0"/>
          <w:bCs w:val="0"/>
        </w:rPr>
        <w:t xml:space="preserve">WCC content ID #6052274) </w:t>
      </w:r>
      <w:r w:rsidR="00454490" w:rsidRPr="00454490">
        <w:rPr>
          <w:rStyle w:val="Strong"/>
          <w:b w:val="0"/>
          <w:bCs w:val="0"/>
        </w:rPr>
        <w:t xml:space="preserve">and Attachment 4 in </w:t>
      </w:r>
      <w:r w:rsidR="00830AD5">
        <w:rPr>
          <w:rStyle w:val="Strong"/>
          <w:b w:val="0"/>
          <w:bCs w:val="0"/>
        </w:rPr>
        <w:t xml:space="preserve">NSR permit </w:t>
      </w:r>
      <w:r w:rsidR="00454490" w:rsidRPr="00454490">
        <w:rPr>
          <w:rStyle w:val="Strong"/>
          <w:b w:val="0"/>
          <w:bCs w:val="0"/>
        </w:rPr>
        <w:t>158399</w:t>
      </w:r>
      <w:r w:rsidR="00830AD5">
        <w:rPr>
          <w:rStyle w:val="Strong"/>
          <w:b w:val="0"/>
          <w:bCs w:val="0"/>
        </w:rPr>
        <w:t xml:space="preserve"> </w:t>
      </w:r>
      <w:r w:rsidR="00941825">
        <w:rPr>
          <w:rStyle w:val="Strong"/>
          <w:b w:val="0"/>
          <w:bCs w:val="0"/>
        </w:rPr>
        <w:t xml:space="preserve">issued </w:t>
      </w:r>
      <w:r w:rsidR="00DA6E32" w:rsidRPr="00DA6E32">
        <w:rPr>
          <w:rStyle w:val="Strong"/>
          <w:b w:val="0"/>
          <w:bCs w:val="0"/>
        </w:rPr>
        <w:t xml:space="preserve">May 6, 2022 (WCC content ID #6053048) </w:t>
      </w:r>
      <w:r w:rsidR="00941825">
        <w:rPr>
          <w:rStyle w:val="Strong"/>
          <w:b w:val="0"/>
          <w:bCs w:val="0"/>
        </w:rPr>
        <w:t xml:space="preserve">both of which have been listed in the </w:t>
      </w:r>
      <w:r w:rsidR="00941825" w:rsidRPr="00D01FF0">
        <w:t xml:space="preserve">New Source Review </w:t>
      </w:r>
      <w:r w:rsidR="00941825" w:rsidRPr="00C136ED">
        <w:t>Authorization References</w:t>
      </w:r>
      <w:r w:rsidR="00941825">
        <w:t xml:space="preserve"> table on page </w:t>
      </w:r>
      <w:r w:rsidR="00DA6E32">
        <w:t>391</w:t>
      </w:r>
      <w:r w:rsidR="00941825">
        <w:t xml:space="preserve"> of the Proposed Permit</w:t>
      </w:r>
      <w:r w:rsidR="009C1267">
        <w:t>.</w:t>
      </w:r>
    </w:p>
    <w:p w14:paraId="1E828414" w14:textId="4F37F9A1" w:rsidR="00922705" w:rsidRDefault="00922705" w:rsidP="004535E5">
      <w:pPr>
        <w:rPr>
          <w:rStyle w:val="Strong"/>
        </w:rPr>
      </w:pPr>
    </w:p>
    <w:sectPr w:rsidR="00922705" w:rsidSect="00917B86">
      <w:headerReference w:type="default" r:id="rId17"/>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2C176C" w14:textId="77777777" w:rsidR="00AC365E" w:rsidRDefault="00AC365E">
      <w:r>
        <w:separator/>
      </w:r>
    </w:p>
  </w:endnote>
  <w:endnote w:type="continuationSeparator" w:id="0">
    <w:p w14:paraId="713DE498" w14:textId="77777777" w:rsidR="00AC365E" w:rsidRDefault="00AC3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F9F7A" w14:textId="77777777" w:rsidR="00D42A8F" w:rsidRPr="00095CE7" w:rsidRDefault="00D42A8F" w:rsidP="00C74A86">
    <w:pPr>
      <w:pStyle w:val="AgencyFooter"/>
    </w:pPr>
    <w:r w:rsidRPr="00095CE7">
      <w:t>P.O. Box 13087   •   Austin, Texas 78711-3087   •   512-239-1000   •   tceq.texas.gov</w:t>
    </w:r>
  </w:p>
  <w:p w14:paraId="6D45F245" w14:textId="77777777" w:rsidR="00D42A8F" w:rsidRPr="00095CE7" w:rsidRDefault="00D42A8F" w:rsidP="00C74A86">
    <w:pPr>
      <w:pStyle w:val="AgencyFooter2"/>
    </w:pPr>
    <w:r w:rsidRPr="00095CE7">
      <w:t>How is our customer service?     tceq.texas.gov/customersurvey</w:t>
    </w:r>
  </w:p>
  <w:p w14:paraId="2F6C3116" w14:textId="77777777" w:rsidR="00D42A8F" w:rsidRPr="00095CE7" w:rsidRDefault="00D42A8F" w:rsidP="00C74A86">
    <w:pPr>
      <w:pStyle w:val="AgencyFooter3"/>
    </w:pPr>
    <w:r w:rsidRPr="00095CE7">
      <w:t>printed on recycled paper</w:t>
    </w:r>
  </w:p>
  <w:p w14:paraId="64A3E1BF"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4E49E" w14:textId="77777777" w:rsidR="00D42A8F" w:rsidRPr="00095CE7" w:rsidRDefault="00D42A8F" w:rsidP="00C74A86">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137334CD" w14:textId="77777777" w:rsidR="00D42A8F" w:rsidRPr="00095CE7" w:rsidRDefault="00D42A8F" w:rsidP="00C74A86">
    <w:pPr>
      <w:pStyle w:val="AgencyFooter2"/>
    </w:pPr>
    <w:r w:rsidRPr="00095CE7">
      <w:t>How is our customer service?     tceq.texas.gov/customersurvey</w:t>
    </w:r>
  </w:p>
  <w:p w14:paraId="45BD672D" w14:textId="77777777" w:rsidR="00D42A8F" w:rsidRPr="00095CE7" w:rsidRDefault="00D42A8F" w:rsidP="00C74A86">
    <w:pPr>
      <w:pStyle w:val="AgencyFooter3"/>
    </w:pPr>
    <w:r w:rsidRPr="00095CE7">
      <w:t>printed on recycled paper</w:t>
    </w:r>
  </w:p>
  <w:p w14:paraId="0E2C06DD"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AD1DF"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BE61E"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03229" w14:textId="77777777" w:rsidR="00AC365E" w:rsidRDefault="00AC365E">
      <w:r>
        <w:separator/>
      </w:r>
    </w:p>
  </w:footnote>
  <w:footnote w:type="continuationSeparator" w:id="0">
    <w:p w14:paraId="3743BCF9" w14:textId="77777777" w:rsidR="00AC365E" w:rsidRDefault="00AC36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20839" w14:textId="3AB64E67" w:rsidR="00D42A8F" w:rsidRPr="00A85FC2" w:rsidRDefault="00205A8D" w:rsidP="00C74A86">
    <w:pPr>
      <w:pStyle w:val="LetterheadNames"/>
    </w:pPr>
    <w:r>
      <w:rPr>
        <w:noProof/>
      </w:rPr>
      <w:drawing>
        <wp:anchor distT="0" distB="0" distL="114300" distR="114300" simplePos="0" relativeHeight="251844608" behindDoc="0" locked="0" layoutInCell="1" allowOverlap="1" wp14:anchorId="7289FA1F" wp14:editId="33D98454">
          <wp:simplePos x="0" y="0"/>
          <wp:positionH relativeFrom="column">
            <wp:posOffset>2538095</wp:posOffset>
          </wp:positionH>
          <wp:positionV relativeFrom="paragraph">
            <wp:posOffset>-147320</wp:posOffset>
          </wp:positionV>
          <wp:extent cx="859790" cy="878840"/>
          <wp:effectExtent l="0" t="0" r="0" b="0"/>
          <wp:wrapNone/>
          <wp:docPr id="2" name="Picture 1"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00D42A8F" w:rsidRPr="00B7611F">
      <w:t>Jon Niermann</w:t>
    </w:r>
    <w:r w:rsidR="00D42A8F" w:rsidRPr="00A85FC2">
      <w:t xml:space="preserve">, </w:t>
    </w:r>
    <w:r w:rsidR="00D42A8F" w:rsidRPr="009A3E9D">
      <w:rPr>
        <w:rStyle w:val="LetterheadNameTitleChar"/>
      </w:rPr>
      <w:t>Chairman</w:t>
    </w:r>
  </w:p>
  <w:p w14:paraId="3D5258E9" w14:textId="77777777" w:rsidR="00D42A8F" w:rsidRDefault="00D42A8F" w:rsidP="00C74A86">
    <w:pPr>
      <w:pStyle w:val="LetterheadNames"/>
      <w:rPr>
        <w:rStyle w:val="LetterheadNameTitleChar"/>
      </w:rPr>
    </w:pPr>
    <w:r w:rsidRPr="00B7611F">
      <w:t>Emily Lindley</w:t>
    </w:r>
    <w:r w:rsidRPr="00A85FC2">
      <w:t xml:space="preserve">, </w:t>
    </w:r>
    <w:r w:rsidRPr="00A85FC2">
      <w:rPr>
        <w:rStyle w:val="LetterheadNameTitleChar"/>
      </w:rPr>
      <w:t>Commissioner</w:t>
    </w:r>
  </w:p>
  <w:p w14:paraId="1B29B332" w14:textId="77777777" w:rsidR="00D42A8F" w:rsidRPr="00A85FC2" w:rsidRDefault="00D42A8F" w:rsidP="00C74A86">
    <w:pPr>
      <w:pStyle w:val="LetterheadNames"/>
    </w:pPr>
    <w:r w:rsidRPr="002F0C19">
      <w:t xml:space="preserve">Bobby Janecka, </w:t>
    </w:r>
    <w:r w:rsidRPr="00DC1939">
      <w:rPr>
        <w:i/>
      </w:rPr>
      <w:t>Commissioner</w:t>
    </w:r>
  </w:p>
  <w:p w14:paraId="29CC42C2" w14:textId="77777777" w:rsidR="00D42A8F" w:rsidRPr="00A85FC2" w:rsidRDefault="00D42A8F" w:rsidP="00C74A86">
    <w:pPr>
      <w:pStyle w:val="LetterheadNames"/>
    </w:pPr>
    <w:r w:rsidRPr="00B7611F">
      <w:t>Toby Baker</w:t>
    </w:r>
    <w:r w:rsidRPr="00A85FC2">
      <w:t xml:space="preserve">, </w:t>
    </w:r>
    <w:r w:rsidRPr="00B7611F">
      <w:rPr>
        <w:rStyle w:val="LetterheadNameTitleChar"/>
      </w:rPr>
      <w:t>Executive Director</w:t>
    </w:r>
  </w:p>
  <w:p w14:paraId="1C29CBCB" w14:textId="77777777" w:rsidR="00D42A8F" w:rsidRPr="003079D9" w:rsidRDefault="00D42A8F" w:rsidP="00C74A86">
    <w:pPr>
      <w:pStyle w:val="LetterHeadTitle"/>
    </w:pPr>
    <w:r w:rsidRPr="003079D9">
      <w:t>Texas Commission on Environmental Quality</w:t>
    </w:r>
  </w:p>
  <w:p w14:paraId="0A7BF0E2" w14:textId="77777777" w:rsidR="00D42A8F" w:rsidRDefault="00D42A8F" w:rsidP="00C74A86">
    <w:pPr>
      <w:pStyle w:val="LetterheadSubheading"/>
    </w:pPr>
    <w:r w:rsidRPr="00E73ABD">
      <w:t xml:space="preserve">Protecting Texas by Reducing and Preventing </w:t>
    </w:r>
    <w:r w:rsidRPr="00B242EB">
      <w:t>Pollution</w:t>
    </w:r>
  </w:p>
  <w:p w14:paraId="4FD4C22D"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A280B" w14:textId="5E2381B0" w:rsidR="00D42A8F" w:rsidRPr="00A85FC2" w:rsidRDefault="00D42A8F" w:rsidP="00C74A86">
    <w:pPr>
      <w:pStyle w:val="LetterheadNames"/>
    </w:pPr>
    <w:r>
      <w:fldChar w:fldCharType="begin"/>
    </w:r>
    <w:r>
      <w:instrText xml:space="preserve"> INCLUDETEXT X:\\Macros\\Misc\\LetterHeadHeader.doc  </w:instrText>
    </w:r>
    <w:r>
      <w:fldChar w:fldCharType="separate"/>
    </w:r>
    <w:r w:rsidR="00205A8D">
      <w:rPr>
        <w:noProof/>
      </w:rPr>
      <w:drawing>
        <wp:anchor distT="0" distB="0" distL="114300" distR="114300" simplePos="0" relativeHeight="251865088" behindDoc="0" locked="0" layoutInCell="1" allowOverlap="1" wp14:anchorId="324D6E19" wp14:editId="5801F511">
          <wp:simplePos x="0" y="0"/>
          <wp:positionH relativeFrom="column">
            <wp:posOffset>2538095</wp:posOffset>
          </wp:positionH>
          <wp:positionV relativeFrom="paragraph">
            <wp:posOffset>-147320</wp:posOffset>
          </wp:positionV>
          <wp:extent cx="859790" cy="878840"/>
          <wp:effectExtent l="0" t="0" r="0" b="0"/>
          <wp:wrapNone/>
          <wp:docPr id="11" name="Picture 11"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Pr="00B7611F">
      <w:t>Jon Niermann</w:t>
    </w:r>
    <w:r w:rsidRPr="00A85FC2">
      <w:t xml:space="preserve">, </w:t>
    </w:r>
    <w:r w:rsidRPr="009A3E9D">
      <w:rPr>
        <w:rStyle w:val="LetterheadNameTitleChar"/>
      </w:rPr>
      <w:t>Chairman</w:t>
    </w:r>
  </w:p>
  <w:p w14:paraId="14AEF39C" w14:textId="77777777" w:rsidR="00D42A8F" w:rsidRDefault="00D42A8F" w:rsidP="00C74A86">
    <w:pPr>
      <w:pStyle w:val="LetterheadNames"/>
      <w:rPr>
        <w:rStyle w:val="LetterheadNameTitleChar"/>
      </w:rPr>
    </w:pPr>
    <w:r w:rsidRPr="00B7611F">
      <w:t>Emily Lindley</w:t>
    </w:r>
    <w:r w:rsidRPr="00A85FC2">
      <w:t xml:space="preserve">, </w:t>
    </w:r>
    <w:r w:rsidRPr="00A85FC2">
      <w:rPr>
        <w:rStyle w:val="LetterheadNameTitleChar"/>
      </w:rPr>
      <w:t>Commissioner</w:t>
    </w:r>
  </w:p>
  <w:p w14:paraId="16C45156" w14:textId="77777777" w:rsidR="00D42A8F" w:rsidRPr="00A85FC2" w:rsidRDefault="00D42A8F" w:rsidP="00C74A86">
    <w:pPr>
      <w:pStyle w:val="LetterheadNames"/>
    </w:pPr>
    <w:r w:rsidRPr="002F0C19">
      <w:t xml:space="preserve">Bobby Janecka, </w:t>
    </w:r>
    <w:r w:rsidRPr="00DC1939">
      <w:rPr>
        <w:i/>
      </w:rPr>
      <w:t>Commissioner</w:t>
    </w:r>
  </w:p>
  <w:p w14:paraId="0471036C" w14:textId="77777777" w:rsidR="00D42A8F" w:rsidRPr="00A85FC2" w:rsidRDefault="00D42A8F" w:rsidP="00C74A86">
    <w:pPr>
      <w:pStyle w:val="LetterheadNames"/>
    </w:pPr>
    <w:r w:rsidRPr="00B7611F">
      <w:t>Toby Baker</w:t>
    </w:r>
    <w:r w:rsidRPr="00A85FC2">
      <w:t xml:space="preserve">, </w:t>
    </w:r>
    <w:r w:rsidRPr="00B7611F">
      <w:rPr>
        <w:rStyle w:val="LetterheadNameTitleChar"/>
      </w:rPr>
      <w:t>Executive Director</w:t>
    </w:r>
  </w:p>
  <w:p w14:paraId="7E9CFC08" w14:textId="77777777" w:rsidR="00D42A8F" w:rsidRPr="003079D9" w:rsidRDefault="00D42A8F" w:rsidP="00C74A86">
    <w:pPr>
      <w:pStyle w:val="LetterHeadTitle"/>
    </w:pPr>
    <w:r w:rsidRPr="003079D9">
      <w:t>Texas Commission on Environmental Quality</w:t>
    </w:r>
  </w:p>
  <w:p w14:paraId="677DA8C7" w14:textId="77777777" w:rsidR="00D42A8F" w:rsidRDefault="00D42A8F" w:rsidP="00C74A86">
    <w:pPr>
      <w:pStyle w:val="LetterheadSubheading"/>
    </w:pPr>
    <w:r w:rsidRPr="00E73ABD">
      <w:t xml:space="preserve">Protecting Texas by Reducing and Preventing </w:t>
    </w:r>
    <w:r w:rsidRPr="00B242EB">
      <w:t>Pollution</w:t>
    </w:r>
  </w:p>
  <w:p w14:paraId="5AC0CD75"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7C234" w14:textId="77777777" w:rsidR="00725612" w:rsidRDefault="00286734">
    <w:r w:rsidRPr="00286734">
      <w:rPr>
        <w:color w:val="000000"/>
      </w:rPr>
      <w:t>Mr. Jeffrey Robinson</w:t>
    </w:r>
  </w:p>
  <w:p w14:paraId="01B2257A"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2A5471F8" w14:textId="44842498" w:rsidR="00725612" w:rsidRDefault="00120781">
    <w:r>
      <w:t>November 30</w:t>
    </w:r>
    <w:r w:rsidR="00362252">
      <w:t>, 2022</w:t>
    </w:r>
  </w:p>
  <w:p w14:paraId="04A4F6DD"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6B4A8"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F107B" w14:textId="77777777" w:rsidR="00725612" w:rsidRDefault="00725612">
    <w:pPr>
      <w:rPr>
        <w:bCs/>
      </w:rPr>
    </w:pPr>
    <w:r w:rsidRPr="002C7CC9">
      <w:rPr>
        <w:bCs/>
      </w:rPr>
      <w:t>EXECUTIVE DIRECTOR’S RESPONSE TO EPA OBJECTION</w:t>
    </w:r>
  </w:p>
  <w:p w14:paraId="11E82E41" w14:textId="77777777" w:rsidR="00725612" w:rsidRDefault="00725612">
    <w:pPr>
      <w:rPr>
        <w:bCs/>
      </w:rPr>
    </w:pPr>
    <w:r>
      <w:rPr>
        <w:bCs/>
      </w:rPr>
      <w:t xml:space="preserve">Permit Number </w:t>
    </w:r>
    <w:r w:rsidR="00362252">
      <w:rPr>
        <w:bCs/>
      </w:rPr>
      <w:t>O1498</w:t>
    </w:r>
  </w:p>
  <w:p w14:paraId="134338DA"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4E8B061" w14:textId="77777777" w:rsidR="00725612" w:rsidRDefault="00725612"/>
  <w:p w14:paraId="3DC34105"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5BB412B"/>
    <w:multiLevelType w:val="hybridMultilevel"/>
    <w:tmpl w:val="2F402978"/>
    <w:lvl w:ilvl="0" w:tplc="2A9631E6">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abstractNumId w:val="10"/>
  </w:num>
  <w:num w:numId="2">
    <w:abstractNumId w:val="13"/>
  </w:num>
  <w:num w:numId="3">
    <w:abstractNumId w:val="12"/>
  </w:num>
  <w:num w:numId="4">
    <w:abstractNumId w:val="15"/>
  </w:num>
  <w:num w:numId="5">
    <w:abstractNumId w:val="16"/>
  </w:num>
  <w:num w:numId="6">
    <w:abstractNumId w:val="14"/>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252"/>
    <w:rsid w:val="00001360"/>
    <w:rsid w:val="0000201B"/>
    <w:rsid w:val="000037EF"/>
    <w:rsid w:val="00004BC2"/>
    <w:rsid w:val="00005845"/>
    <w:rsid w:val="00006829"/>
    <w:rsid w:val="00006A7B"/>
    <w:rsid w:val="00007D4E"/>
    <w:rsid w:val="00010F20"/>
    <w:rsid w:val="000164A9"/>
    <w:rsid w:val="00016871"/>
    <w:rsid w:val="00020EAA"/>
    <w:rsid w:val="00021C1A"/>
    <w:rsid w:val="00025301"/>
    <w:rsid w:val="000266E0"/>
    <w:rsid w:val="0003019E"/>
    <w:rsid w:val="000303A6"/>
    <w:rsid w:val="000305C2"/>
    <w:rsid w:val="000307AE"/>
    <w:rsid w:val="00037C5C"/>
    <w:rsid w:val="00043A9C"/>
    <w:rsid w:val="00043F07"/>
    <w:rsid w:val="0005481B"/>
    <w:rsid w:val="00055D54"/>
    <w:rsid w:val="00056D1D"/>
    <w:rsid w:val="0006529B"/>
    <w:rsid w:val="00071065"/>
    <w:rsid w:val="00072817"/>
    <w:rsid w:val="0007348A"/>
    <w:rsid w:val="0008015C"/>
    <w:rsid w:val="00091318"/>
    <w:rsid w:val="00094A5D"/>
    <w:rsid w:val="00094F7E"/>
    <w:rsid w:val="00097BAC"/>
    <w:rsid w:val="000A3D0D"/>
    <w:rsid w:val="000A4DA5"/>
    <w:rsid w:val="000A7048"/>
    <w:rsid w:val="000B0B8A"/>
    <w:rsid w:val="000C00DF"/>
    <w:rsid w:val="000D073C"/>
    <w:rsid w:val="000D0956"/>
    <w:rsid w:val="000F4FF6"/>
    <w:rsid w:val="000F6120"/>
    <w:rsid w:val="000F6CA0"/>
    <w:rsid w:val="0010000F"/>
    <w:rsid w:val="00113CFC"/>
    <w:rsid w:val="0011410A"/>
    <w:rsid w:val="00120781"/>
    <w:rsid w:val="001207D8"/>
    <w:rsid w:val="00120988"/>
    <w:rsid w:val="00121AE9"/>
    <w:rsid w:val="00122659"/>
    <w:rsid w:val="00122ADD"/>
    <w:rsid w:val="0012541A"/>
    <w:rsid w:val="0013073E"/>
    <w:rsid w:val="00136B69"/>
    <w:rsid w:val="001412FB"/>
    <w:rsid w:val="001413EF"/>
    <w:rsid w:val="00144203"/>
    <w:rsid w:val="0014747F"/>
    <w:rsid w:val="001569E6"/>
    <w:rsid w:val="00161DBF"/>
    <w:rsid w:val="0016507E"/>
    <w:rsid w:val="00166D19"/>
    <w:rsid w:val="001848E5"/>
    <w:rsid w:val="00186FEE"/>
    <w:rsid w:val="00190366"/>
    <w:rsid w:val="00192543"/>
    <w:rsid w:val="0019444E"/>
    <w:rsid w:val="001A27E0"/>
    <w:rsid w:val="001A36F1"/>
    <w:rsid w:val="001B0BC3"/>
    <w:rsid w:val="001B1E9E"/>
    <w:rsid w:val="001B2155"/>
    <w:rsid w:val="001B693E"/>
    <w:rsid w:val="001B69CA"/>
    <w:rsid w:val="001B7B61"/>
    <w:rsid w:val="001C1776"/>
    <w:rsid w:val="001C34CD"/>
    <w:rsid w:val="001C3884"/>
    <w:rsid w:val="001D0A4F"/>
    <w:rsid w:val="001E2CE5"/>
    <w:rsid w:val="001F020D"/>
    <w:rsid w:val="001F1EF4"/>
    <w:rsid w:val="001F34BB"/>
    <w:rsid w:val="001F59B8"/>
    <w:rsid w:val="001F78E0"/>
    <w:rsid w:val="002018FB"/>
    <w:rsid w:val="002043BC"/>
    <w:rsid w:val="00205A8D"/>
    <w:rsid w:val="00205DD2"/>
    <w:rsid w:val="00207E36"/>
    <w:rsid w:val="0021057B"/>
    <w:rsid w:val="00216177"/>
    <w:rsid w:val="002164CE"/>
    <w:rsid w:val="002174A5"/>
    <w:rsid w:val="0022087E"/>
    <w:rsid w:val="00220DC2"/>
    <w:rsid w:val="002262BB"/>
    <w:rsid w:val="00235B59"/>
    <w:rsid w:val="0024486E"/>
    <w:rsid w:val="00244C20"/>
    <w:rsid w:val="00254FA9"/>
    <w:rsid w:val="002773F2"/>
    <w:rsid w:val="0028041B"/>
    <w:rsid w:val="0028672F"/>
    <w:rsid w:val="00286734"/>
    <w:rsid w:val="0029305F"/>
    <w:rsid w:val="00295012"/>
    <w:rsid w:val="0029718B"/>
    <w:rsid w:val="00297443"/>
    <w:rsid w:val="002A03C6"/>
    <w:rsid w:val="002A09E3"/>
    <w:rsid w:val="002A602F"/>
    <w:rsid w:val="002A6CF8"/>
    <w:rsid w:val="002A6F7E"/>
    <w:rsid w:val="002B1924"/>
    <w:rsid w:val="002B2996"/>
    <w:rsid w:val="002C1E6A"/>
    <w:rsid w:val="002C271F"/>
    <w:rsid w:val="002C7BAB"/>
    <w:rsid w:val="002C7CC9"/>
    <w:rsid w:val="002D7B84"/>
    <w:rsid w:val="002E0ACD"/>
    <w:rsid w:val="002E0FEB"/>
    <w:rsid w:val="002E3EBB"/>
    <w:rsid w:val="002E4A5F"/>
    <w:rsid w:val="002E54F4"/>
    <w:rsid w:val="002F38EB"/>
    <w:rsid w:val="00307284"/>
    <w:rsid w:val="00307909"/>
    <w:rsid w:val="00307FF9"/>
    <w:rsid w:val="003100C9"/>
    <w:rsid w:val="0031708C"/>
    <w:rsid w:val="00324345"/>
    <w:rsid w:val="0033097B"/>
    <w:rsid w:val="00343734"/>
    <w:rsid w:val="00346802"/>
    <w:rsid w:val="00346BE6"/>
    <w:rsid w:val="00356B34"/>
    <w:rsid w:val="00362252"/>
    <w:rsid w:val="00365BEC"/>
    <w:rsid w:val="00366088"/>
    <w:rsid w:val="003663C5"/>
    <w:rsid w:val="00366FE7"/>
    <w:rsid w:val="00370488"/>
    <w:rsid w:val="00371E1C"/>
    <w:rsid w:val="00372DE1"/>
    <w:rsid w:val="00373788"/>
    <w:rsid w:val="003737D4"/>
    <w:rsid w:val="00374655"/>
    <w:rsid w:val="00377EE4"/>
    <w:rsid w:val="00382365"/>
    <w:rsid w:val="00383EE1"/>
    <w:rsid w:val="0039132E"/>
    <w:rsid w:val="00391448"/>
    <w:rsid w:val="003935D7"/>
    <w:rsid w:val="00395D5A"/>
    <w:rsid w:val="00396D0B"/>
    <w:rsid w:val="003B0176"/>
    <w:rsid w:val="003B042B"/>
    <w:rsid w:val="003B3C14"/>
    <w:rsid w:val="003B432A"/>
    <w:rsid w:val="003D3FB5"/>
    <w:rsid w:val="003E2511"/>
    <w:rsid w:val="003E5C67"/>
    <w:rsid w:val="003F540F"/>
    <w:rsid w:val="003F591E"/>
    <w:rsid w:val="003F6DD8"/>
    <w:rsid w:val="00400D50"/>
    <w:rsid w:val="00414F82"/>
    <w:rsid w:val="00422165"/>
    <w:rsid w:val="004274AD"/>
    <w:rsid w:val="00430FC5"/>
    <w:rsid w:val="004363F4"/>
    <w:rsid w:val="00440D78"/>
    <w:rsid w:val="00441847"/>
    <w:rsid w:val="00443CC0"/>
    <w:rsid w:val="004445BE"/>
    <w:rsid w:val="0044637B"/>
    <w:rsid w:val="00447066"/>
    <w:rsid w:val="004522A1"/>
    <w:rsid w:val="004535E5"/>
    <w:rsid w:val="00454490"/>
    <w:rsid w:val="00456EDA"/>
    <w:rsid w:val="00457F2D"/>
    <w:rsid w:val="004641F1"/>
    <w:rsid w:val="00465D89"/>
    <w:rsid w:val="00467238"/>
    <w:rsid w:val="00472C1C"/>
    <w:rsid w:val="0047414E"/>
    <w:rsid w:val="00476AD9"/>
    <w:rsid w:val="00480163"/>
    <w:rsid w:val="00485DDD"/>
    <w:rsid w:val="00486E73"/>
    <w:rsid w:val="0049517B"/>
    <w:rsid w:val="00495BF6"/>
    <w:rsid w:val="00497C1C"/>
    <w:rsid w:val="004A1F14"/>
    <w:rsid w:val="004A23DE"/>
    <w:rsid w:val="004A33E2"/>
    <w:rsid w:val="004B1792"/>
    <w:rsid w:val="004B262A"/>
    <w:rsid w:val="004C3211"/>
    <w:rsid w:val="004C79B1"/>
    <w:rsid w:val="004C7D7C"/>
    <w:rsid w:val="004D09DA"/>
    <w:rsid w:val="004D5CF8"/>
    <w:rsid w:val="004D7AA4"/>
    <w:rsid w:val="004D7E20"/>
    <w:rsid w:val="004E4BD7"/>
    <w:rsid w:val="004E6A7D"/>
    <w:rsid w:val="004F27AA"/>
    <w:rsid w:val="004F3640"/>
    <w:rsid w:val="004F4F76"/>
    <w:rsid w:val="004F57C8"/>
    <w:rsid w:val="0050063A"/>
    <w:rsid w:val="00505576"/>
    <w:rsid w:val="00505B63"/>
    <w:rsid w:val="00506AB4"/>
    <w:rsid w:val="005071BF"/>
    <w:rsid w:val="00515277"/>
    <w:rsid w:val="005157B4"/>
    <w:rsid w:val="00517A41"/>
    <w:rsid w:val="00521E39"/>
    <w:rsid w:val="00522463"/>
    <w:rsid w:val="00527028"/>
    <w:rsid w:val="00527797"/>
    <w:rsid w:val="0053074E"/>
    <w:rsid w:val="00532ECC"/>
    <w:rsid w:val="00547D14"/>
    <w:rsid w:val="00555259"/>
    <w:rsid w:val="00560966"/>
    <w:rsid w:val="005610B3"/>
    <w:rsid w:val="00565712"/>
    <w:rsid w:val="00565FCD"/>
    <w:rsid w:val="00572EEF"/>
    <w:rsid w:val="00585AF3"/>
    <w:rsid w:val="00586DB4"/>
    <w:rsid w:val="0058728B"/>
    <w:rsid w:val="0059613A"/>
    <w:rsid w:val="0059704F"/>
    <w:rsid w:val="005B00BF"/>
    <w:rsid w:val="005B5105"/>
    <w:rsid w:val="005B6DD7"/>
    <w:rsid w:val="005C495D"/>
    <w:rsid w:val="005C7AB8"/>
    <w:rsid w:val="005D1239"/>
    <w:rsid w:val="005D2843"/>
    <w:rsid w:val="005D3AE5"/>
    <w:rsid w:val="005D7725"/>
    <w:rsid w:val="005D7754"/>
    <w:rsid w:val="005D7AD3"/>
    <w:rsid w:val="005E0AB3"/>
    <w:rsid w:val="005E171F"/>
    <w:rsid w:val="005E2990"/>
    <w:rsid w:val="005E31F8"/>
    <w:rsid w:val="005E3943"/>
    <w:rsid w:val="006041F7"/>
    <w:rsid w:val="00604CFD"/>
    <w:rsid w:val="00611D2E"/>
    <w:rsid w:val="0061318A"/>
    <w:rsid w:val="006162E0"/>
    <w:rsid w:val="00620FD9"/>
    <w:rsid w:val="0063197D"/>
    <w:rsid w:val="00634CCD"/>
    <w:rsid w:val="006353A7"/>
    <w:rsid w:val="0064004B"/>
    <w:rsid w:val="00640FB9"/>
    <w:rsid w:val="00643290"/>
    <w:rsid w:val="00656AED"/>
    <w:rsid w:val="0065730C"/>
    <w:rsid w:val="00657CD8"/>
    <w:rsid w:val="00670B0B"/>
    <w:rsid w:val="00672B10"/>
    <w:rsid w:val="00680BBF"/>
    <w:rsid w:val="006821E5"/>
    <w:rsid w:val="00687335"/>
    <w:rsid w:val="00692798"/>
    <w:rsid w:val="00693046"/>
    <w:rsid w:val="006930B6"/>
    <w:rsid w:val="00694087"/>
    <w:rsid w:val="006B4181"/>
    <w:rsid w:val="006B588D"/>
    <w:rsid w:val="006E6E70"/>
    <w:rsid w:val="006F716D"/>
    <w:rsid w:val="00700C8D"/>
    <w:rsid w:val="00704CA5"/>
    <w:rsid w:val="00707021"/>
    <w:rsid w:val="007070D0"/>
    <w:rsid w:val="00707DB9"/>
    <w:rsid w:val="00713ACC"/>
    <w:rsid w:val="00713E90"/>
    <w:rsid w:val="00716C87"/>
    <w:rsid w:val="00717455"/>
    <w:rsid w:val="00722D15"/>
    <w:rsid w:val="00724059"/>
    <w:rsid w:val="00725138"/>
    <w:rsid w:val="00725612"/>
    <w:rsid w:val="00726BA2"/>
    <w:rsid w:val="00727BCB"/>
    <w:rsid w:val="007355D0"/>
    <w:rsid w:val="00735862"/>
    <w:rsid w:val="00742207"/>
    <w:rsid w:val="00750BAE"/>
    <w:rsid w:val="007538DC"/>
    <w:rsid w:val="007558B9"/>
    <w:rsid w:val="00756850"/>
    <w:rsid w:val="00757DCE"/>
    <w:rsid w:val="00762145"/>
    <w:rsid w:val="00771094"/>
    <w:rsid w:val="007773F3"/>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B17ED"/>
    <w:rsid w:val="007C290A"/>
    <w:rsid w:val="007C6A0F"/>
    <w:rsid w:val="007D4986"/>
    <w:rsid w:val="007D4D5C"/>
    <w:rsid w:val="007D611D"/>
    <w:rsid w:val="007E22B2"/>
    <w:rsid w:val="007E7B3C"/>
    <w:rsid w:val="007E7D5B"/>
    <w:rsid w:val="007F0660"/>
    <w:rsid w:val="007F65B7"/>
    <w:rsid w:val="007F6D9F"/>
    <w:rsid w:val="008025DA"/>
    <w:rsid w:val="008100B7"/>
    <w:rsid w:val="00812E13"/>
    <w:rsid w:val="00813C0A"/>
    <w:rsid w:val="00817FE6"/>
    <w:rsid w:val="008217B5"/>
    <w:rsid w:val="00824453"/>
    <w:rsid w:val="00827C2F"/>
    <w:rsid w:val="00830AD5"/>
    <w:rsid w:val="00831240"/>
    <w:rsid w:val="008330ED"/>
    <w:rsid w:val="00836359"/>
    <w:rsid w:val="008370B2"/>
    <w:rsid w:val="00840A20"/>
    <w:rsid w:val="00841B88"/>
    <w:rsid w:val="0084399C"/>
    <w:rsid w:val="0084599B"/>
    <w:rsid w:val="00850D0E"/>
    <w:rsid w:val="00851F49"/>
    <w:rsid w:val="008523E2"/>
    <w:rsid w:val="00855845"/>
    <w:rsid w:val="00855BB2"/>
    <w:rsid w:val="00863C52"/>
    <w:rsid w:val="00864539"/>
    <w:rsid w:val="00885087"/>
    <w:rsid w:val="008918C9"/>
    <w:rsid w:val="008927FA"/>
    <w:rsid w:val="0089546D"/>
    <w:rsid w:val="008A2873"/>
    <w:rsid w:val="008A35DA"/>
    <w:rsid w:val="008A3AFA"/>
    <w:rsid w:val="008A4F9E"/>
    <w:rsid w:val="008A58D1"/>
    <w:rsid w:val="008A6A11"/>
    <w:rsid w:val="008B07A1"/>
    <w:rsid w:val="008B5FCC"/>
    <w:rsid w:val="008C05C7"/>
    <w:rsid w:val="008C2D92"/>
    <w:rsid w:val="008D05D0"/>
    <w:rsid w:val="008E2C95"/>
    <w:rsid w:val="008E4217"/>
    <w:rsid w:val="008E6534"/>
    <w:rsid w:val="008E711B"/>
    <w:rsid w:val="008F1956"/>
    <w:rsid w:val="008F4EAC"/>
    <w:rsid w:val="00902089"/>
    <w:rsid w:val="00905B12"/>
    <w:rsid w:val="0090780B"/>
    <w:rsid w:val="00916409"/>
    <w:rsid w:val="00917B86"/>
    <w:rsid w:val="00922705"/>
    <w:rsid w:val="00922CE2"/>
    <w:rsid w:val="00923142"/>
    <w:rsid w:val="00931153"/>
    <w:rsid w:val="009330A2"/>
    <w:rsid w:val="00937E9E"/>
    <w:rsid w:val="00940B10"/>
    <w:rsid w:val="00941825"/>
    <w:rsid w:val="009458A8"/>
    <w:rsid w:val="00950493"/>
    <w:rsid w:val="00951375"/>
    <w:rsid w:val="009520FD"/>
    <w:rsid w:val="00966B54"/>
    <w:rsid w:val="009727C8"/>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1267"/>
    <w:rsid w:val="009C2C50"/>
    <w:rsid w:val="009C65A4"/>
    <w:rsid w:val="009C67C1"/>
    <w:rsid w:val="009D2D8F"/>
    <w:rsid w:val="009D49F0"/>
    <w:rsid w:val="009E235D"/>
    <w:rsid w:val="009E34BB"/>
    <w:rsid w:val="009E58E2"/>
    <w:rsid w:val="009E681C"/>
    <w:rsid w:val="009F077D"/>
    <w:rsid w:val="009F4248"/>
    <w:rsid w:val="009F5379"/>
    <w:rsid w:val="00A007B1"/>
    <w:rsid w:val="00A01245"/>
    <w:rsid w:val="00A023D2"/>
    <w:rsid w:val="00A1009D"/>
    <w:rsid w:val="00A10D30"/>
    <w:rsid w:val="00A1268D"/>
    <w:rsid w:val="00A14443"/>
    <w:rsid w:val="00A15F29"/>
    <w:rsid w:val="00A16C13"/>
    <w:rsid w:val="00A20C27"/>
    <w:rsid w:val="00A256A1"/>
    <w:rsid w:val="00A25AAD"/>
    <w:rsid w:val="00A3047A"/>
    <w:rsid w:val="00A36255"/>
    <w:rsid w:val="00A36D27"/>
    <w:rsid w:val="00A41561"/>
    <w:rsid w:val="00A476C8"/>
    <w:rsid w:val="00A536BE"/>
    <w:rsid w:val="00A65594"/>
    <w:rsid w:val="00A76226"/>
    <w:rsid w:val="00A90FE1"/>
    <w:rsid w:val="00A9169B"/>
    <w:rsid w:val="00A95C9A"/>
    <w:rsid w:val="00AA01C0"/>
    <w:rsid w:val="00AB22E8"/>
    <w:rsid w:val="00AB2A16"/>
    <w:rsid w:val="00AB4D35"/>
    <w:rsid w:val="00AC02DF"/>
    <w:rsid w:val="00AC365E"/>
    <w:rsid w:val="00AC61C0"/>
    <w:rsid w:val="00AC76E3"/>
    <w:rsid w:val="00AD1CA2"/>
    <w:rsid w:val="00AD1CDB"/>
    <w:rsid w:val="00AE0188"/>
    <w:rsid w:val="00AE4720"/>
    <w:rsid w:val="00AE4911"/>
    <w:rsid w:val="00AF05A2"/>
    <w:rsid w:val="00AF2F95"/>
    <w:rsid w:val="00AF4573"/>
    <w:rsid w:val="00AF5033"/>
    <w:rsid w:val="00AF62A5"/>
    <w:rsid w:val="00B01DA0"/>
    <w:rsid w:val="00B044C2"/>
    <w:rsid w:val="00B13717"/>
    <w:rsid w:val="00B13DE7"/>
    <w:rsid w:val="00B147E4"/>
    <w:rsid w:val="00B260C4"/>
    <w:rsid w:val="00B26D25"/>
    <w:rsid w:val="00B333D0"/>
    <w:rsid w:val="00B43997"/>
    <w:rsid w:val="00B47C25"/>
    <w:rsid w:val="00B53884"/>
    <w:rsid w:val="00B561A0"/>
    <w:rsid w:val="00B60C19"/>
    <w:rsid w:val="00B71E9D"/>
    <w:rsid w:val="00B7451E"/>
    <w:rsid w:val="00B812F1"/>
    <w:rsid w:val="00B81F0F"/>
    <w:rsid w:val="00B82213"/>
    <w:rsid w:val="00B82781"/>
    <w:rsid w:val="00B8447A"/>
    <w:rsid w:val="00B84C8F"/>
    <w:rsid w:val="00B866C7"/>
    <w:rsid w:val="00B924FC"/>
    <w:rsid w:val="00B96A90"/>
    <w:rsid w:val="00B97AEA"/>
    <w:rsid w:val="00BB4187"/>
    <w:rsid w:val="00BB5390"/>
    <w:rsid w:val="00BB61A5"/>
    <w:rsid w:val="00BB74F1"/>
    <w:rsid w:val="00BC0B64"/>
    <w:rsid w:val="00BC137E"/>
    <w:rsid w:val="00BC1F1E"/>
    <w:rsid w:val="00BD1486"/>
    <w:rsid w:val="00BD1E3B"/>
    <w:rsid w:val="00BD3616"/>
    <w:rsid w:val="00BD7424"/>
    <w:rsid w:val="00BE0D9A"/>
    <w:rsid w:val="00BE2C7A"/>
    <w:rsid w:val="00BF0C59"/>
    <w:rsid w:val="00BF25C6"/>
    <w:rsid w:val="00BF65A0"/>
    <w:rsid w:val="00C01F1D"/>
    <w:rsid w:val="00C03A90"/>
    <w:rsid w:val="00C0453D"/>
    <w:rsid w:val="00C04EA2"/>
    <w:rsid w:val="00C07B6D"/>
    <w:rsid w:val="00C11B26"/>
    <w:rsid w:val="00C12FC2"/>
    <w:rsid w:val="00C3122D"/>
    <w:rsid w:val="00C31467"/>
    <w:rsid w:val="00C41AFC"/>
    <w:rsid w:val="00C45D0D"/>
    <w:rsid w:val="00C4738D"/>
    <w:rsid w:val="00C4740A"/>
    <w:rsid w:val="00C51607"/>
    <w:rsid w:val="00C52529"/>
    <w:rsid w:val="00C53AF2"/>
    <w:rsid w:val="00C55326"/>
    <w:rsid w:val="00C6567D"/>
    <w:rsid w:val="00C65695"/>
    <w:rsid w:val="00C6590C"/>
    <w:rsid w:val="00C74A86"/>
    <w:rsid w:val="00C76D42"/>
    <w:rsid w:val="00C7775F"/>
    <w:rsid w:val="00C858A3"/>
    <w:rsid w:val="00C90321"/>
    <w:rsid w:val="00C916FD"/>
    <w:rsid w:val="00C94982"/>
    <w:rsid w:val="00C95418"/>
    <w:rsid w:val="00C9744B"/>
    <w:rsid w:val="00C976BB"/>
    <w:rsid w:val="00CC0D0A"/>
    <w:rsid w:val="00CC27C3"/>
    <w:rsid w:val="00CC73E1"/>
    <w:rsid w:val="00CD132C"/>
    <w:rsid w:val="00CD6DAE"/>
    <w:rsid w:val="00CE4ABC"/>
    <w:rsid w:val="00CF1385"/>
    <w:rsid w:val="00CF20A1"/>
    <w:rsid w:val="00CF3DED"/>
    <w:rsid w:val="00CF3FCD"/>
    <w:rsid w:val="00D0059E"/>
    <w:rsid w:val="00D01263"/>
    <w:rsid w:val="00D02FA7"/>
    <w:rsid w:val="00D048D2"/>
    <w:rsid w:val="00D0502A"/>
    <w:rsid w:val="00D052ED"/>
    <w:rsid w:val="00D05924"/>
    <w:rsid w:val="00D10838"/>
    <w:rsid w:val="00D11D24"/>
    <w:rsid w:val="00D1524F"/>
    <w:rsid w:val="00D209C0"/>
    <w:rsid w:val="00D22DC2"/>
    <w:rsid w:val="00D2553E"/>
    <w:rsid w:val="00D31E45"/>
    <w:rsid w:val="00D35365"/>
    <w:rsid w:val="00D35BB8"/>
    <w:rsid w:val="00D42324"/>
    <w:rsid w:val="00D42A8F"/>
    <w:rsid w:val="00D46F84"/>
    <w:rsid w:val="00D503B0"/>
    <w:rsid w:val="00D5560A"/>
    <w:rsid w:val="00D57749"/>
    <w:rsid w:val="00D57B60"/>
    <w:rsid w:val="00D646BA"/>
    <w:rsid w:val="00D73964"/>
    <w:rsid w:val="00D77F7F"/>
    <w:rsid w:val="00D80168"/>
    <w:rsid w:val="00D8209A"/>
    <w:rsid w:val="00D82874"/>
    <w:rsid w:val="00D84C9B"/>
    <w:rsid w:val="00D86B5E"/>
    <w:rsid w:val="00D86D75"/>
    <w:rsid w:val="00D91F37"/>
    <w:rsid w:val="00D924CF"/>
    <w:rsid w:val="00D93201"/>
    <w:rsid w:val="00D9621D"/>
    <w:rsid w:val="00DA6209"/>
    <w:rsid w:val="00DA6E32"/>
    <w:rsid w:val="00DA76A1"/>
    <w:rsid w:val="00DB052E"/>
    <w:rsid w:val="00DC21C3"/>
    <w:rsid w:val="00DC36B7"/>
    <w:rsid w:val="00DC41BB"/>
    <w:rsid w:val="00DC4714"/>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725"/>
    <w:rsid w:val="00E356CF"/>
    <w:rsid w:val="00E50621"/>
    <w:rsid w:val="00E55C0E"/>
    <w:rsid w:val="00E5754F"/>
    <w:rsid w:val="00E63063"/>
    <w:rsid w:val="00E675F3"/>
    <w:rsid w:val="00E71778"/>
    <w:rsid w:val="00E847FA"/>
    <w:rsid w:val="00E86085"/>
    <w:rsid w:val="00E90A8C"/>
    <w:rsid w:val="00E95305"/>
    <w:rsid w:val="00E97313"/>
    <w:rsid w:val="00EA71AA"/>
    <w:rsid w:val="00EB1789"/>
    <w:rsid w:val="00EB3691"/>
    <w:rsid w:val="00EB40EC"/>
    <w:rsid w:val="00EB4419"/>
    <w:rsid w:val="00EC0FC8"/>
    <w:rsid w:val="00EC1374"/>
    <w:rsid w:val="00EC31DE"/>
    <w:rsid w:val="00EC6896"/>
    <w:rsid w:val="00ED2116"/>
    <w:rsid w:val="00ED5FE5"/>
    <w:rsid w:val="00EE119E"/>
    <w:rsid w:val="00EE1A1B"/>
    <w:rsid w:val="00EE3008"/>
    <w:rsid w:val="00EF0915"/>
    <w:rsid w:val="00EF0A63"/>
    <w:rsid w:val="00EF4033"/>
    <w:rsid w:val="00EF58B3"/>
    <w:rsid w:val="00F011AB"/>
    <w:rsid w:val="00F0608F"/>
    <w:rsid w:val="00F0672E"/>
    <w:rsid w:val="00F06EAC"/>
    <w:rsid w:val="00F13E26"/>
    <w:rsid w:val="00F21A29"/>
    <w:rsid w:val="00F248D0"/>
    <w:rsid w:val="00F263F1"/>
    <w:rsid w:val="00F32BD3"/>
    <w:rsid w:val="00F338F5"/>
    <w:rsid w:val="00F34E29"/>
    <w:rsid w:val="00F4070E"/>
    <w:rsid w:val="00F40DF7"/>
    <w:rsid w:val="00F435F5"/>
    <w:rsid w:val="00F55101"/>
    <w:rsid w:val="00F629EF"/>
    <w:rsid w:val="00F62FBE"/>
    <w:rsid w:val="00F668F4"/>
    <w:rsid w:val="00F72B6E"/>
    <w:rsid w:val="00F7414D"/>
    <w:rsid w:val="00F769B4"/>
    <w:rsid w:val="00F80038"/>
    <w:rsid w:val="00F80DAF"/>
    <w:rsid w:val="00F95E47"/>
    <w:rsid w:val="00F95F69"/>
    <w:rsid w:val="00F97449"/>
    <w:rsid w:val="00FA52E3"/>
    <w:rsid w:val="00FB333F"/>
    <w:rsid w:val="00FC2FA2"/>
    <w:rsid w:val="00FD67EE"/>
    <w:rsid w:val="00FD7E00"/>
    <w:rsid w:val="00FE1A5A"/>
    <w:rsid w:val="00FE47DE"/>
    <w:rsid w:val="00FE53FD"/>
    <w:rsid w:val="00FF05A4"/>
    <w:rsid w:val="00FF05F6"/>
    <w:rsid w:val="00FF2C3A"/>
    <w:rsid w:val="00FF466F"/>
    <w:rsid w:val="00FF4EEA"/>
    <w:rsid w:val="00FF6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2473FB8"/>
  <w15:docId w15:val="{F8E6A478-4A5E-4C9F-AAF9-B6F7CC490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62BB"/>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987828868">
      <w:bodyDiv w:val="1"/>
      <w:marLeft w:val="0"/>
      <w:marRight w:val="0"/>
      <w:marTop w:val="0"/>
      <w:marBottom w:val="0"/>
      <w:divBdr>
        <w:top w:val="none" w:sz="0" w:space="0" w:color="auto"/>
        <w:left w:val="none" w:sz="0" w:space="0" w:color="auto"/>
        <w:bottom w:val="none" w:sz="0" w:space="0" w:color="auto"/>
        <w:right w:val="none" w:sz="0" w:space="0" w:color="auto"/>
      </w:divBdr>
    </w:div>
    <w:div w:id="1391269573">
      <w:bodyDiv w:val="1"/>
      <w:marLeft w:val="0"/>
      <w:marRight w:val="0"/>
      <w:marTop w:val="0"/>
      <w:marBottom w:val="0"/>
      <w:divBdr>
        <w:top w:val="none" w:sz="0" w:space="0" w:color="auto"/>
        <w:left w:val="none" w:sz="0" w:space="0" w:color="auto"/>
        <w:bottom w:val="none" w:sz="0" w:space="0" w:color="auto"/>
        <w:right w:val="none" w:sz="0" w:space="0" w:color="auto"/>
      </w:divBdr>
    </w:div>
    <w:div w:id="1395619551">
      <w:bodyDiv w:val="1"/>
      <w:marLeft w:val="0"/>
      <w:marRight w:val="0"/>
      <w:marTop w:val="0"/>
      <w:marBottom w:val="0"/>
      <w:divBdr>
        <w:top w:val="none" w:sz="0" w:space="0" w:color="auto"/>
        <w:left w:val="none" w:sz="0" w:space="0" w:color="auto"/>
        <w:bottom w:val="none" w:sz="0" w:space="0" w:color="auto"/>
        <w:right w:val="none" w:sz="0" w:space="0" w:color="auto"/>
      </w:divBdr>
    </w:div>
    <w:div w:id="1643389498">
      <w:bodyDiv w:val="1"/>
      <w:marLeft w:val="0"/>
      <w:marRight w:val="0"/>
      <w:marTop w:val="0"/>
      <w:marBottom w:val="0"/>
      <w:divBdr>
        <w:top w:val="none" w:sz="0" w:space="0" w:color="auto"/>
        <w:left w:val="none" w:sz="0" w:space="0" w:color="auto"/>
        <w:bottom w:val="none" w:sz="0" w:space="0" w:color="auto"/>
        <w:right w:val="none" w:sz="0" w:space="0" w:color="auto"/>
      </w:divBdr>
    </w:div>
    <w:div w:id="2035811173">
      <w:bodyDiv w:val="1"/>
      <w:marLeft w:val="0"/>
      <w:marRight w:val="0"/>
      <w:marTop w:val="0"/>
      <w:marBottom w:val="0"/>
      <w:divBdr>
        <w:top w:val="none" w:sz="0" w:space="0" w:color="auto"/>
        <w:left w:val="none" w:sz="0" w:space="0" w:color="auto"/>
        <w:bottom w:val="none" w:sz="0" w:space="0" w:color="auto"/>
        <w:right w:val="none" w:sz="0" w:space="0" w:color="auto"/>
      </w:divBdr>
    </w:div>
    <w:div w:id="21218721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customXml" Target="../customXml/item4.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850259EEB5D54B82285C7A072ADD9F" ma:contentTypeVersion="56" ma:contentTypeDescription="Create a new document." ma:contentTypeScope="" ma:versionID="14dab2a78afad5acd2c34de53e55948d">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18781f-cc46-40e4-b612-10a9484df075" xmlns:ns6="a9ce77d5-4681-4a65-b9b2-894449cee962" targetNamespace="http://schemas.microsoft.com/office/2006/metadata/properties" ma:root="true" ma:fieldsID="8dc183a5b98dbc98fa8f397349810f1d" ns1:_="" ns2:_="" ns3:_="" ns4:_="" ns5:_="" ns6:_="">
    <xsd:import namespace="http://schemas.microsoft.com/sharepoint/v3"/>
    <xsd:import namespace="4ffa91fb-a0ff-4ac5-b2db-65c790d184a4"/>
    <xsd:import namespace="http://schemas.microsoft.com/sharepoint.v3"/>
    <xsd:import namespace="http://schemas.microsoft.com/sharepoint/v3/fields"/>
    <xsd:import namespace="6418781f-cc46-40e4-b612-10a9484df075"/>
    <xsd:import namespace="a9ce77d5-4681-4a65-b9b2-894449cee96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MediaServiceAutoKeyPoints" minOccurs="0"/>
                <xsd:element ref="ns6:MediaServiceKeyPoints" minOccurs="0"/>
                <xsd:element ref="ns6:MediaServiceAutoTags" minOccurs="0"/>
                <xsd:element ref="ns6:MediaServiceOCR" minOccurs="0"/>
                <xsd:element ref="ns6:MediaServiceGenerationTime" minOccurs="0"/>
                <xsd:element ref="ns6:MediaServiceEventHashCode" minOccurs="0"/>
                <xsd:element ref="ns6:MediaServiceDateTaken" minOccurs="0"/>
                <xsd:element ref="ns6:MediaServiceLocation" minOccurs="0"/>
                <xsd:element ref="ns1:_ip_UnifiedCompliancePolicyProperties" minOccurs="0"/>
                <xsd:element ref="ns1:_ip_UnifiedCompliancePolicyUIAction" minOccurs="0"/>
                <xsd:element ref="ns6:lcf76f155ced4ddcb4097134ff3c332f"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b49083f-3e1d-465f-a6e7-c9c77c10caed}" ma:internalName="TaxCatchAllLabel" ma:readOnly="true" ma:showField="CatchAllDataLabel"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b49083f-3e1d-465f-a6e7-c9c77c10caed}" ma:internalName="TaxCatchAll" ma:showField="CatchAllData" ma:web="6418781f-cc46-40e4-b612-10a9484df07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18781f-cc46-40e4-b612-10a9484df075"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ce77d5-4681-4a65-b9b2-894449cee962"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ternalName="MediaServiceDateTaken" ma:readOnly="true">
      <xsd:simpleType>
        <xsd:restriction base="dms:Text"/>
      </xsd:simpleType>
    </xsd:element>
    <xsd:element name="MediaServiceLocation" ma:index="40" nillable="true" ma:displayName="Location" ma:internalName="MediaServiceLocation" ma:readOnly="true">
      <xsd:simpleType>
        <xsd:restriction base="dms:Text"/>
      </xsd:simpleType>
    </xsd:element>
    <xsd:element name="lcf76f155ced4ddcb4097134ff3c332f" ma:index="44"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17" ma:contentTypeDescription="Create a new document." ma:contentTypeScope="" ma:versionID="6a1435dd30549a7edab078b944459d95">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99f20e8d-72cb-4a6d-a06b-d0a9d9466ea7" xmlns:ns6="1d5300c2-f757-49bd-abfa-ee99c3934829" targetNamespace="http://schemas.microsoft.com/office/2006/metadata/properties" ma:root="true" ma:fieldsID="675b50462eca857061c75e4c26328102" ns1:_="" ns2:_="" ns3:_="" ns4:_="" ns5:_="" ns6:_="">
    <xsd:import namespace="http://schemas.microsoft.com/sharepoint/v3"/>
    <xsd:import namespace="4ffa91fb-a0ff-4ac5-b2db-65c790d184a4"/>
    <xsd:import namespace="http://schemas.microsoft.com/sharepoint.v3"/>
    <xsd:import namespace="http://schemas.microsoft.com/sharepoint/v3/fields"/>
    <xsd:import namespace="99f20e8d-72cb-4a6d-a06b-d0a9d9466ea7"/>
    <xsd:import namespace="1d5300c2-f757-49bd-abfa-ee99c3934829"/>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DateTaken" minOccurs="0"/>
                <xsd:element ref="ns5:MediaServiceMetadata" minOccurs="0"/>
                <xsd:element ref="ns5:MediaServiceFastMetadata" minOccurs="0"/>
                <xsd:element ref="ns1:_ip_UnifiedCompliancePolicyProperties" minOccurs="0"/>
                <xsd:element ref="ns1:_ip_UnifiedCompliancePolicyUIAction" minOccurs="0"/>
                <xsd:element ref="ns5:MediaServiceObjectDetectorVersions" minOccurs="0"/>
                <xsd:element ref="ns5:MediaLengthInSeconds" minOccurs="0"/>
                <xsd:element ref="ns6:SharedWithUsers" minOccurs="0"/>
                <xsd:element ref="ns6:SharedWithDetails" minOccurs="0"/>
                <xsd:element ref="ns5:lcf76f155ced4ddcb4097134ff3c332f" minOccurs="0"/>
                <xsd:element ref="ns5:MediaServiceGenerationTime" minOccurs="0"/>
                <xsd:element ref="ns5:MediaServiceEventHashCode" minOccurs="0"/>
                <xsd:element ref="ns5:MediaServiceOCR" minOccurs="0"/>
                <xsd:element ref="ns5:MediaServiceSearchPropertie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1" nillable="true" ma:displayName="Unified Compliance Policy Properties" ma:hidden="true" ma:internalName="_ip_UnifiedCompliancePolicyProperties">
      <xsd:simpleType>
        <xsd:restriction base="dms:Note"/>
      </xsd:simpleType>
    </xsd:element>
    <xsd:element name="_ip_UnifiedCompliancePolicyUIAction" ma:index="3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4e8e0972-4665-4f12-bc19-739219d7aa78}" ma:internalName="TaxCatchAllLabel" ma:readOnly="true" ma:showField="CatchAllDataLabel" ma:web="1d5300c2-f757-49bd-abfa-ee99c3934829">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4e8e0972-4665-4f12-bc19-739219d7aa78}" ma:internalName="TaxCatchAll" ma:showField="CatchAllData" ma:web="1d5300c2-f757-49bd-abfa-ee99c393482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DateTaken" ma:index="28" nillable="true" ma:displayName="MediaServiceDateTaken" ma:description="" ma:hidden="true" ma:indexed="true" ma:internalName="MediaServiceDateTaken" ma:readOnly="true">
      <xsd:simpleType>
        <xsd:restriction base="dms:Text"/>
      </xsd:simple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ObjectDetectorVersions" ma:index="33" nillable="true" ma:displayName="MediaServiceObjectDetectorVersions" ma:description="" ma:hidden="true" ma:indexed="true" ma:internalName="MediaServiceObjectDetectorVersions"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OCR" ma:index="41" nillable="true" ma:displayName="Extracted Text" ma:internalName="MediaServiceOCR" ma:readOnly="true">
      <xsd:simpleType>
        <xsd:restriction base="dms:Note">
          <xsd:maxLength value="255"/>
        </xsd:restriction>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ServiceLocation" ma:index="43"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5300c2-f757-49bd-abfa-ee99c3934829"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2022-12-02T13:16:36Z</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lcf76f155ced4ddcb4097134ff3c332f xmlns="99f20e8d-72cb-4a6d-a06b-d0a9d9466ea7">
      <Terms xmlns="http://schemas.microsoft.com/office/infopath/2007/PartnerControls"/>
    </lcf76f155ced4ddcb4097134ff3c332f>
    <EPA_x0020_Contributor xmlns="4ffa91fb-a0ff-4ac5-b2db-65c790d184a4">
      <UserInfo>
        <DisplayName/>
        <AccountId xsi:nil="true"/>
        <AccountType/>
      </UserInfo>
    </EPA_x0020_Contributor>
    <TaxCatchAll xmlns="4ffa91fb-a0ff-4ac5-b2db-65c790d184a4" xsi:nil="true"/>
  </documentManagement>
</p:properti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8ECC705A-9368-45EF-9DEF-1B02896B83D0}"/>
</file>

<file path=customXml/itemProps2.xml><?xml version="1.0" encoding="utf-8"?>
<ds:datastoreItem xmlns:ds="http://schemas.openxmlformats.org/officeDocument/2006/customXml" ds:itemID="{B26B9FDD-1D15-40CB-B0E3-A0BFEFCF5E33}"/>
</file>

<file path=customXml/itemProps3.xml><?xml version="1.0" encoding="utf-8"?>
<ds:datastoreItem xmlns:ds="http://schemas.openxmlformats.org/officeDocument/2006/customXml" ds:itemID="{59E31F86-2B29-45B7-BBA7-A707F2284FAB}"/>
</file>

<file path=customXml/itemProps4.xml><?xml version="1.0" encoding="utf-8"?>
<ds:datastoreItem xmlns:ds="http://schemas.openxmlformats.org/officeDocument/2006/customXml" ds:itemID="{8161998D-A928-4D1E-AD31-209E643B6775}"/>
</file>

<file path=customXml/itemProps5.xml><?xml version="1.0" encoding="utf-8"?>
<ds:datastoreItem xmlns:ds="http://schemas.openxmlformats.org/officeDocument/2006/customXml" ds:itemID="{181257C4-4988-4018-921A-5AF5A701817C}"/>
</file>

<file path=docProps/app.xml><?xml version="1.0" encoding="utf-8"?>
<Properties xmlns="http://schemas.openxmlformats.org/officeDocument/2006/extended-properties" xmlns:vt="http://schemas.openxmlformats.org/officeDocument/2006/docPropsVTypes">
  <Template>Normal.dotm</Template>
  <TotalTime>2</TotalTime>
  <Pages>6</Pages>
  <Words>2319</Words>
  <Characters>13222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15510</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keywords/>
  <dc:description/>
  <cp:lastModifiedBy>Elizabeth Moorhead</cp:lastModifiedBy>
  <cp:revision>2</cp:revision>
  <cp:lastPrinted>2022-11-14T21:42:00Z</cp:lastPrinted>
  <dcterms:created xsi:type="dcterms:W3CDTF">2022-11-30T20:09:00Z</dcterms:created>
  <dcterms:modified xsi:type="dcterms:W3CDTF">2022-11-30T20:09:00Z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0x0101005C58E803282349408D7BA9D93F5BAE02</vt:lpwstr>
  </property>
  <property fmtid="{D5CDD505-2E9C-101B-9397-08002B2CF9AE}" pid="3" name="Record">
    <vt:lpwstr>Shared</vt:lpwstr>
  </property>
  <property fmtid="{D5CDD505-2E9C-101B-9397-08002B2CF9AE}" pid="4" name="Order">
    <vt:r8>6819400</vt:r8>
  </property>
  <property fmtid="{D5CDD505-2E9C-101B-9397-08002B2CF9AE}" pid="5" name="Language">
    <vt:lpwstr>English</vt:lpwstr>
  </property>
  <property fmtid="{D5CDD505-2E9C-101B-9397-08002B2CF9AE}" pid="6" name="Document Creation Date">
    <vt:lpwstr>2022-12-02T13:16:36Z</vt:lpwstr>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DocumentSetDescription">
    <vt:lpwstr/>
  </property>
  <property fmtid="{D5CDD505-2E9C-101B-9397-08002B2CF9AE}" pid="11" name="_ColorTag">
    <vt:lpwstr/>
  </property>
  <property fmtid="{D5CDD505-2E9C-101B-9397-08002B2CF9AE}" pid="12" name="TriggerFlowInfo">
    <vt:lpwstr/>
  </property>
  <property fmtid="{D5CDD505-2E9C-101B-9397-08002B2CF9AE}" pid="13" name="_SourceUrl">
    <vt:lpwstr/>
  </property>
  <property fmtid="{D5CDD505-2E9C-101B-9397-08002B2CF9AE}" pid="14" name="_SharedFileIndex">
    <vt:lpwstr/>
  </property>
  <property fmtid="{D5CDD505-2E9C-101B-9397-08002B2CF9AE}" pid="15" name="_ColorHex">
    <vt:lpwstr/>
  </property>
  <property fmtid="{D5CDD505-2E9C-101B-9397-08002B2CF9AE}" pid="16" name="_Emoji">
    <vt:lpwstr/>
  </property>
  <property fmtid="{D5CDD505-2E9C-101B-9397-08002B2CF9AE}" pid="17" name="ComplianceAssetId">
    <vt:lpwstr/>
  </property>
  <property fmtid="{D5CDD505-2E9C-101B-9397-08002B2CF9AE}" pid="18" name="TemplateUrl">
    <vt:lpwstr/>
  </property>
</Properties>
</file>