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5.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numbering.xml" ContentType="application/vnd.openxmlformats-officedocument.wordprocessingml.numbering+xml"/>
  <Override PartName="/customXml/itemProps4.xml" ContentType="application/vnd.openxmlformats-officedocument.customXmlProperties+xml"/>
  <Override PartName="/customXml/itemProps3.xml" ContentType="application/vnd.openxmlformats-officedocument.customXmlProperties+xml"/>
  <Override PartName="/customXml/itemProps5.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8EB0D4" w14:textId="48E380EC" w:rsidR="00ED2116" w:rsidRPr="0058728B" w:rsidRDefault="00E12BC9" w:rsidP="0065730C">
      <w:pPr>
        <w:jc w:val="right"/>
        <w:rPr>
          <w:lang w:val="en-CA"/>
        </w:rPr>
      </w:pPr>
      <w:r>
        <w:rPr>
          <w:lang w:val="en-CA"/>
        </w:rPr>
        <w:t xml:space="preserve">January </w:t>
      </w:r>
      <w:r w:rsidR="00DD14C7">
        <w:rPr>
          <w:lang w:val="en-CA"/>
        </w:rPr>
        <w:t>27</w:t>
      </w:r>
      <w:r>
        <w:rPr>
          <w:lang w:val="en-CA"/>
        </w:rPr>
        <w:t>, 2023</w:t>
      </w:r>
    </w:p>
    <w:p w14:paraId="75D1BE5F" w14:textId="77777777" w:rsidR="00095675" w:rsidRPr="00D93201" w:rsidRDefault="00095675" w:rsidP="00095675">
      <w:r w:rsidRPr="00D93201">
        <w:t xml:space="preserve">MR </w:t>
      </w:r>
      <w:r>
        <w:t>JEFFREY ROBINSON</w:t>
      </w:r>
    </w:p>
    <w:p w14:paraId="0A813B86" w14:textId="77777777" w:rsidR="00095675" w:rsidRPr="00D93201" w:rsidRDefault="00095675" w:rsidP="00095675">
      <w:r>
        <w:t>BRANCH CHIEF</w:t>
      </w:r>
      <w:r w:rsidRPr="00C16032">
        <w:t xml:space="preserve"> AIR PERMITS </w:t>
      </w:r>
      <w:r>
        <w:t xml:space="preserve">AND </w:t>
      </w:r>
      <w:r w:rsidRPr="00C16032">
        <w:t>MONITORING</w:t>
      </w:r>
    </w:p>
    <w:p w14:paraId="1AD544A5" w14:textId="77777777" w:rsidR="00095675" w:rsidRPr="00D93201" w:rsidRDefault="00095675" w:rsidP="00095675">
      <w:r w:rsidRPr="00D93201">
        <w:t>US ENVIRONMENTAL PROTECTION AGENCY REGION 6</w:t>
      </w:r>
    </w:p>
    <w:p w14:paraId="02B733EE" w14:textId="77777777" w:rsidR="00095675" w:rsidRPr="00D93201" w:rsidRDefault="00095675" w:rsidP="00095675">
      <w:r>
        <w:t>1201</w:t>
      </w:r>
      <w:r w:rsidRPr="00D93201">
        <w:t xml:space="preserve"> </w:t>
      </w:r>
      <w:r>
        <w:t>ELM ST STE</w:t>
      </w:r>
      <w:r w:rsidRPr="00D93201">
        <w:t xml:space="preserve"> </w:t>
      </w:r>
      <w:r>
        <w:t>5</w:t>
      </w:r>
      <w:r w:rsidRPr="00D93201">
        <w:t>00</w:t>
      </w:r>
    </w:p>
    <w:p w14:paraId="137A4CA4" w14:textId="58460363" w:rsidR="00C4738D" w:rsidRPr="00C04EA2" w:rsidRDefault="00095675" w:rsidP="0065730C">
      <w:r w:rsidRPr="00D93201">
        <w:t>DALLAS TX  752</w:t>
      </w:r>
      <w:r>
        <w:t>70</w:t>
      </w:r>
    </w:p>
    <w:p w14:paraId="55DAED2B" w14:textId="77777777" w:rsidR="002A602F" w:rsidRDefault="002A602F" w:rsidP="0065730C"/>
    <w:p w14:paraId="4AC9704C" w14:textId="77777777" w:rsidR="00BD7424" w:rsidRPr="00C04EA2" w:rsidRDefault="00BD7424" w:rsidP="0065730C"/>
    <w:p w14:paraId="2CE6001B" w14:textId="77777777" w:rsidR="00C4738D" w:rsidRPr="00C04EA2" w:rsidRDefault="00C4738D" w:rsidP="004C79B1">
      <w:pPr>
        <w:tabs>
          <w:tab w:val="left" w:pos="446"/>
        </w:tabs>
        <w:outlineLvl w:val="0"/>
      </w:pPr>
      <w:r w:rsidRPr="00C04EA2">
        <w:t>Re:</w:t>
      </w:r>
      <w:r w:rsidRPr="00C04EA2">
        <w:tab/>
      </w:r>
      <w:r w:rsidR="00C6567D" w:rsidRPr="00C04EA2">
        <w:t>Executive Director’s Response to EPA Objection</w:t>
      </w:r>
    </w:p>
    <w:p w14:paraId="0E9EE640" w14:textId="00A39084" w:rsidR="00C4738D" w:rsidRPr="00C04EA2" w:rsidRDefault="00095675" w:rsidP="0065730C">
      <w:pPr>
        <w:ind w:left="446"/>
      </w:pPr>
      <w:r>
        <w:t>Renewal</w:t>
      </w:r>
    </w:p>
    <w:p w14:paraId="00F3E1F2" w14:textId="77777777" w:rsidR="00C4738D" w:rsidRPr="00C04EA2" w:rsidRDefault="00D35BB8" w:rsidP="0065730C">
      <w:pPr>
        <w:ind w:left="446"/>
      </w:pPr>
      <w:r w:rsidRPr="00C04EA2">
        <w:t xml:space="preserve">Permit Number:  </w:t>
      </w:r>
      <w:r w:rsidR="0055381A">
        <w:t>O2269</w:t>
      </w:r>
    </w:p>
    <w:p w14:paraId="272FB956" w14:textId="77777777" w:rsidR="00C4738D" w:rsidRPr="00C04EA2" w:rsidRDefault="0055381A" w:rsidP="0065730C">
      <w:pPr>
        <w:ind w:left="446"/>
      </w:pPr>
      <w:r>
        <w:t>Exxon Mobil Corporation</w:t>
      </w:r>
    </w:p>
    <w:p w14:paraId="6CE5E977" w14:textId="417C57C4" w:rsidR="00C4738D" w:rsidRPr="00C04EA2" w:rsidRDefault="0055381A" w:rsidP="0065730C">
      <w:pPr>
        <w:ind w:left="446"/>
      </w:pPr>
      <w:bookmarkStart w:id="0" w:name="_Hlk123112126"/>
      <w:r>
        <w:t>Exxon</w:t>
      </w:r>
      <w:r w:rsidR="003743BD">
        <w:t>M</w:t>
      </w:r>
      <w:r>
        <w:t>obil Chemical Baytown Plant</w:t>
      </w:r>
    </w:p>
    <w:bookmarkEnd w:id="0"/>
    <w:p w14:paraId="4B3A5BAD" w14:textId="77777777" w:rsidR="00C4738D" w:rsidRPr="00C04EA2" w:rsidRDefault="0055381A" w:rsidP="0065730C">
      <w:pPr>
        <w:ind w:left="446"/>
      </w:pPr>
      <w:r>
        <w:t>Baytown, Harris County</w:t>
      </w:r>
    </w:p>
    <w:p w14:paraId="18DBCB33" w14:textId="77777777" w:rsidR="00C4738D" w:rsidRPr="00C04EA2" w:rsidRDefault="00C4738D" w:rsidP="0065730C">
      <w:pPr>
        <w:ind w:left="446"/>
      </w:pPr>
      <w:r w:rsidRPr="00C04EA2">
        <w:t xml:space="preserve">Regulated Entity Number:  </w:t>
      </w:r>
      <w:bookmarkStart w:id="1" w:name="_Hlk123111728"/>
      <w:r w:rsidR="0055381A">
        <w:t>RN102574803</w:t>
      </w:r>
      <w:bookmarkEnd w:id="1"/>
    </w:p>
    <w:p w14:paraId="430F24B7" w14:textId="77777777" w:rsidR="00C4738D" w:rsidRPr="00C04EA2" w:rsidRDefault="00C4738D" w:rsidP="0065730C">
      <w:pPr>
        <w:ind w:left="446"/>
      </w:pPr>
      <w:r w:rsidRPr="00C04EA2">
        <w:t xml:space="preserve">Customer Reference Number:  </w:t>
      </w:r>
      <w:r w:rsidR="0055381A">
        <w:t>CN600123939</w:t>
      </w:r>
    </w:p>
    <w:p w14:paraId="37005B5F" w14:textId="77777777" w:rsidR="00F263F1" w:rsidRPr="00C04EA2" w:rsidRDefault="00F263F1" w:rsidP="0065730C">
      <w:pPr>
        <w:ind w:left="450"/>
      </w:pPr>
    </w:p>
    <w:p w14:paraId="23BE0BA7" w14:textId="4A12870B" w:rsidR="00C4738D" w:rsidRPr="00C04EA2" w:rsidRDefault="00C4738D" w:rsidP="0065730C">
      <w:r w:rsidRPr="00C04EA2">
        <w:t xml:space="preserve">Dear </w:t>
      </w:r>
      <w:r w:rsidR="00F06EAC" w:rsidRPr="00C04EA2">
        <w:t xml:space="preserve">Mr. </w:t>
      </w:r>
      <w:r w:rsidR="00095675">
        <w:t>Robinson</w:t>
      </w:r>
      <w:r w:rsidRPr="00C04EA2">
        <w:t>:</w:t>
      </w:r>
    </w:p>
    <w:p w14:paraId="4CD1CBBA" w14:textId="77777777" w:rsidR="00AE0188" w:rsidRPr="00C04EA2" w:rsidRDefault="00AE0188" w:rsidP="0065730C"/>
    <w:p w14:paraId="2781720B" w14:textId="77777777" w:rsidR="00AE0188" w:rsidRPr="00C04EA2" w:rsidRDefault="00AE0188" w:rsidP="0065730C">
      <w:pPr>
        <w:sectPr w:rsidR="00AE0188" w:rsidRPr="00C04EA2" w:rsidSect="00F668F4">
          <w:headerReference w:type="default" r:id="rId11"/>
          <w:footerReference w:type="default" r:id="rId12"/>
          <w:headerReference w:type="first" r:id="rId13"/>
          <w:footerReference w:type="first" r:id="rId14"/>
          <w:pgSz w:w="12240" w:h="15838" w:code="1"/>
          <w:pgMar w:top="706" w:right="1440" w:bottom="1440" w:left="1440" w:header="720" w:footer="288" w:gutter="0"/>
          <w:cols w:space="720"/>
        </w:sectPr>
      </w:pPr>
    </w:p>
    <w:p w14:paraId="7B8C86A2" w14:textId="1061F91F" w:rsidR="003D3DD5" w:rsidRPr="00C04EA2" w:rsidRDefault="00EC6896" w:rsidP="003D3DD5">
      <w:r w:rsidRPr="00C04EA2">
        <w:t xml:space="preserve">On </w:t>
      </w:r>
      <w:r w:rsidR="0055381A">
        <w:t>March 18, 2022</w:t>
      </w:r>
      <w:r w:rsidR="00984F02">
        <w:t>,</w:t>
      </w:r>
      <w:r w:rsidRPr="00C04EA2">
        <w:t xml:space="preserve"> </w:t>
      </w:r>
      <w:r w:rsidR="003D3DD5" w:rsidRPr="00C04EA2">
        <w:t>the U.S. Environmental Pr</w:t>
      </w:r>
      <w:r w:rsidR="003D3DD5">
        <w:t>otection Agency (EPA) Region 6 O</w:t>
      </w:r>
      <w:r w:rsidR="003D3DD5" w:rsidRPr="00C04EA2">
        <w:t>ffice signed a letter identifying objections to federal operating permit</w:t>
      </w:r>
      <w:r w:rsidR="003D3DD5">
        <w:t xml:space="preserve"> O2269</w:t>
      </w:r>
      <w:r w:rsidR="003D3DD5" w:rsidRPr="00C04EA2">
        <w:t xml:space="preserve"> for the above referenced site</w:t>
      </w:r>
      <w:r w:rsidR="003D3DD5">
        <w:t xml:space="preserve"> in response to a petition filed on </w:t>
      </w:r>
      <w:r w:rsidR="00FF5B8D">
        <w:t>September 30, 2020</w:t>
      </w:r>
      <w:r w:rsidR="003D3DD5" w:rsidRPr="00C04EA2">
        <w:t>. In</w:t>
      </w:r>
      <w:r w:rsidR="003D3DD5">
        <w:t xml:space="preserve"> accordance with Title </w:t>
      </w:r>
      <w:r w:rsidR="003D3DD5" w:rsidRPr="00C04EA2">
        <w:t>30 Texas Administrative Code</w:t>
      </w:r>
      <w:r w:rsidR="003D3DD5">
        <w:t xml:space="preserve"> </w:t>
      </w:r>
      <w:r w:rsidR="003D3DD5" w:rsidRPr="00C04EA2">
        <w:rPr>
          <w:bCs/>
        </w:rPr>
        <w:t>§</w:t>
      </w:r>
      <w:r w:rsidR="003D3DD5">
        <w:rPr>
          <w:bCs/>
        </w:rPr>
        <w:t> </w:t>
      </w:r>
      <w:r w:rsidR="003D3DD5" w:rsidRPr="00C04EA2">
        <w:rPr>
          <w:bCs/>
        </w:rPr>
        <w:t>122.3</w:t>
      </w:r>
      <w:r w:rsidR="003D3DD5">
        <w:rPr>
          <w:bCs/>
        </w:rPr>
        <w:t>6</w:t>
      </w:r>
      <w:r w:rsidR="003D3DD5" w:rsidRPr="00C04EA2">
        <w:rPr>
          <w:bCs/>
        </w:rPr>
        <w:t>0</w:t>
      </w:r>
      <w:r w:rsidR="003D3DD5">
        <w:rPr>
          <w:bCs/>
        </w:rPr>
        <w:t xml:space="preserve"> </w:t>
      </w:r>
      <w:r w:rsidR="003D3DD5" w:rsidRPr="00EE119E">
        <w:rPr>
          <w:bCs/>
        </w:rPr>
        <w:t>(30 TAC § 122.3</w:t>
      </w:r>
      <w:r w:rsidR="003D3DD5">
        <w:rPr>
          <w:bCs/>
        </w:rPr>
        <w:t>6</w:t>
      </w:r>
      <w:r w:rsidR="003D3DD5" w:rsidRPr="00EE119E">
        <w:rPr>
          <w:bCs/>
        </w:rPr>
        <w:t>0)</w:t>
      </w:r>
      <w:r w:rsidR="003D3DD5" w:rsidRPr="00C04EA2">
        <w:rPr>
          <w:bCs/>
        </w:rPr>
        <w:t xml:space="preserve">, the </w:t>
      </w:r>
      <w:r w:rsidR="003D3DD5" w:rsidRPr="00C04EA2">
        <w:t xml:space="preserve">Texas Commission on Environmental Quality (TCEQ) </w:t>
      </w:r>
      <w:r w:rsidR="003D3DD5">
        <w:t>shall resolve any objection and revise the permit if necessary</w:t>
      </w:r>
      <w:r w:rsidR="003D3DD5" w:rsidRPr="00C04EA2">
        <w:t>.</w:t>
      </w:r>
    </w:p>
    <w:p w14:paraId="5915F43A" w14:textId="77777777" w:rsidR="003D3DD5" w:rsidRDefault="003D3DD5" w:rsidP="003D3DD5"/>
    <w:p w14:paraId="011346AD" w14:textId="77777777" w:rsidR="007C5C04" w:rsidRDefault="003D3DD5" w:rsidP="003D3DD5">
      <w:bookmarkStart w:id="2" w:name="_Hlk115180831"/>
      <w:r w:rsidRPr="006C5A1E">
        <w:t xml:space="preserve">EPA objections are addressed in a pending minor permit revision application </w:t>
      </w:r>
      <w:r w:rsidR="005354DA">
        <w:t xml:space="preserve">(project number 34185) </w:t>
      </w:r>
      <w:r w:rsidRPr="006C5A1E">
        <w:t xml:space="preserve">that was submitted on </w:t>
      </w:r>
      <w:r w:rsidR="00290A0D">
        <w:t>August 16</w:t>
      </w:r>
      <w:r w:rsidR="005354DA">
        <w:t>, 2022</w:t>
      </w:r>
      <w:r>
        <w:t xml:space="preserve">. </w:t>
      </w:r>
      <w:r w:rsidRPr="00C04EA2">
        <w:t>The TCEQ has completed the technical review and offers the enclosed responses to facilitate resolution of the objections. In addition, the attached responses to the objections describe the changes, if applicable, that have been made to the revised proposed permit and supporting statement of basis</w:t>
      </w:r>
      <w:r>
        <w:t xml:space="preserve"> (SOB)</w:t>
      </w:r>
      <w:r w:rsidRPr="00C04EA2">
        <w:t xml:space="preserve">.  The revised proposed permit and </w:t>
      </w:r>
      <w:r>
        <w:t>SOB</w:t>
      </w:r>
      <w:r w:rsidRPr="00C04EA2">
        <w:t xml:space="preserve"> are attached for your review</w:t>
      </w:r>
      <w:bookmarkEnd w:id="2"/>
      <w:r>
        <w:t>.</w:t>
      </w:r>
    </w:p>
    <w:p w14:paraId="0018FEAF" w14:textId="77777777" w:rsidR="007C5C04" w:rsidRDefault="007C5C04" w:rsidP="003D3DD5"/>
    <w:p w14:paraId="3A474D2E" w14:textId="7943A2FF" w:rsidR="003D3DD5" w:rsidRDefault="007C5C04" w:rsidP="003D3DD5">
      <w:r w:rsidRPr="007C5C04">
        <w:t>The public announcement period will begin January 31, 2023, and end March 2, 2023.  In addition, if no comments are received, the EPA review period will run concurrent with the announcement and will end on March 17, 2023.  If comments are received, you will be notified.</w:t>
      </w:r>
    </w:p>
    <w:p w14:paraId="5C68BE11" w14:textId="77777777" w:rsidR="003D3DD5" w:rsidRDefault="003D3DD5" w:rsidP="003D3DD5"/>
    <w:p w14:paraId="53FAFC6A" w14:textId="77C53AFE" w:rsidR="00EC6896" w:rsidRPr="00C04EA2" w:rsidRDefault="003D3DD5" w:rsidP="003D3DD5">
      <w:r w:rsidRPr="00C04EA2">
        <w:t xml:space="preserve">Consistent with 30 TAC </w:t>
      </w:r>
      <w:r w:rsidRPr="00C04EA2">
        <w:rPr>
          <w:bCs/>
        </w:rPr>
        <w:t>§122.350, please</w:t>
      </w:r>
      <w:r>
        <w:rPr>
          <w:bCs/>
        </w:rPr>
        <w:t xml:space="preserve"> notify the TCEQ that the EPA will not further object to the issuance of the permit and</w:t>
      </w:r>
      <w:r w:rsidRPr="00C04EA2">
        <w:rPr>
          <w:bCs/>
        </w:rPr>
        <w:t xml:space="preserve"> </w:t>
      </w:r>
      <w:r>
        <w:rPr>
          <w:bCs/>
        </w:rPr>
        <w:t xml:space="preserve">concurs </w:t>
      </w:r>
      <w:r w:rsidRPr="00C04EA2">
        <w:rPr>
          <w:bCs/>
        </w:rPr>
        <w:t xml:space="preserve">resolution </w:t>
      </w:r>
      <w:r>
        <w:rPr>
          <w:bCs/>
        </w:rPr>
        <w:t>of</w:t>
      </w:r>
      <w:r w:rsidRPr="00C04EA2">
        <w:rPr>
          <w:bCs/>
        </w:rPr>
        <w:t xml:space="preserve"> the </w:t>
      </w:r>
      <w:r>
        <w:rPr>
          <w:bCs/>
        </w:rPr>
        <w:t xml:space="preserve">prior </w:t>
      </w:r>
      <w:r w:rsidRPr="00C04EA2">
        <w:rPr>
          <w:bCs/>
        </w:rPr>
        <w:t>objections as soon as possible.</w:t>
      </w:r>
      <w:r>
        <w:rPr>
          <w:bCs/>
        </w:rPr>
        <w:t xml:space="preserve"> </w:t>
      </w:r>
      <w:r w:rsidRPr="00733A58">
        <w:t xml:space="preserve">If the EPA does not </w:t>
      </w:r>
      <w:r>
        <w:t xml:space="preserve">notify the TCEQ or file any further </w:t>
      </w:r>
      <w:r w:rsidRPr="00733A58">
        <w:t>objection</w:t>
      </w:r>
      <w:r>
        <w:t>s</w:t>
      </w:r>
      <w:r w:rsidRPr="00733A58">
        <w:t xml:space="preserve"> to the proposed FOP</w:t>
      </w:r>
      <w:r>
        <w:t xml:space="preserve"> during the 45-day review period</w:t>
      </w:r>
      <w:r w:rsidRPr="00733A58">
        <w:t>, the TCEQ will</w:t>
      </w:r>
      <w:r>
        <w:t xml:space="preserve"> consider the objections resolved and</w:t>
      </w:r>
      <w:r w:rsidRPr="00733A58">
        <w:t xml:space="preserve"> issue the FOP</w:t>
      </w:r>
      <w:r w:rsidR="00EC6896" w:rsidRPr="00C04EA2">
        <w:t xml:space="preserve">. </w:t>
      </w:r>
    </w:p>
    <w:p w14:paraId="5EB2590E" w14:textId="77777777" w:rsidR="00EC6896" w:rsidRPr="00C04EA2" w:rsidRDefault="00EC6896" w:rsidP="0065730C"/>
    <w:p w14:paraId="7B0F5329" w14:textId="75E561F2" w:rsidR="00EC6896" w:rsidRPr="00C04EA2" w:rsidRDefault="003D3DD5" w:rsidP="00E23946">
      <w:pPr>
        <w:keepNext/>
        <w:keepLines/>
      </w:pPr>
      <w:r w:rsidRPr="00C04EA2">
        <w:lastRenderedPageBreak/>
        <w:t>Thank you for your cooperation in this matter.</w:t>
      </w:r>
      <w:r w:rsidRPr="00C04EA2">
        <w:rPr>
          <w:bCs/>
        </w:rPr>
        <w:t xml:space="preserve">  </w:t>
      </w:r>
      <w:r w:rsidRPr="00C04EA2">
        <w:t xml:space="preserve">Please contact </w:t>
      </w:r>
      <w:r>
        <w:t>Mr. Theo Ezeji</w:t>
      </w:r>
      <w:r w:rsidRPr="00C04EA2">
        <w:t xml:space="preserve"> at </w:t>
      </w:r>
      <w:r>
        <w:t>(512) 239-6954</w:t>
      </w:r>
      <w:r w:rsidRPr="00C04EA2">
        <w:rPr>
          <w:bCs/>
        </w:rPr>
        <w:t xml:space="preserve"> if you have any questions concerning this matter</w:t>
      </w:r>
      <w:r w:rsidR="00EC6896" w:rsidRPr="00C04EA2">
        <w:rPr>
          <w:bCs/>
        </w:rPr>
        <w:t>.</w:t>
      </w:r>
    </w:p>
    <w:p w14:paraId="15F64D60" w14:textId="77777777" w:rsidR="00B53884" w:rsidRPr="00C04EA2" w:rsidRDefault="00B53884" w:rsidP="00E23946">
      <w:pPr>
        <w:keepNext/>
        <w:keepLines/>
      </w:pPr>
    </w:p>
    <w:p w14:paraId="25030A8F" w14:textId="77777777" w:rsidR="00C4738D" w:rsidRPr="00C04EA2" w:rsidRDefault="00C4738D" w:rsidP="00E23946">
      <w:pPr>
        <w:keepNext/>
        <w:keepLines/>
      </w:pPr>
      <w:r w:rsidRPr="00C04EA2">
        <w:t>Sincerely,</w:t>
      </w:r>
    </w:p>
    <w:p w14:paraId="00B8C9A6" w14:textId="77777777" w:rsidR="00C4738D" w:rsidRDefault="00C4738D" w:rsidP="00E23946">
      <w:pPr>
        <w:keepNext/>
        <w:keepLines/>
      </w:pPr>
    </w:p>
    <w:p w14:paraId="4C1C9389" w14:textId="77777777" w:rsidR="00F7414D" w:rsidRDefault="0055381A" w:rsidP="00E23946">
      <w:pPr>
        <w:keepNext/>
        <w:keepLines/>
      </w:pPr>
      <w:r>
        <w:rPr>
          <w:noProof/>
        </w:rPr>
        <w:drawing>
          <wp:inline distT="0" distB="0" distL="0" distR="0" wp14:anchorId="7677E4D1" wp14:editId="70922933">
            <wp:extent cx="2170176" cy="780288"/>
            <wp:effectExtent l="0" t="0" r="1905" b="1270"/>
            <wp:docPr id="1" name="Picture 1" descr="Graphic of handwritten signature of Samuel Short, Deputy Director, TCEQ"/>
            <wp:cNvGraphicFramePr/>
            <a:graphic xmlns:a="http://schemas.openxmlformats.org/drawingml/2006/main">
              <a:graphicData uri="http://schemas.openxmlformats.org/drawingml/2006/picture">
                <pic:pic xmlns:pic="http://schemas.openxmlformats.org/drawingml/2006/picture">
                  <pic:nvPicPr>
                    <pic:cNvPr id="1" name="Picture 1" descr="Graphic of handwritten signature of Samuel Short, Deputy Director, TCEQ"/>
                    <pic:cNvPicPr/>
                  </pic:nvPicPr>
                  <pic:blipFill>
                    <a:blip r:embed="rId15" r:link="rId16" cstate="print">
                      <a:extLst>
                        <a:ext uri="{28A0092B-C50C-407E-A947-70E740481C1C}">
                          <a14:useLocalDpi xmlns:a14="http://schemas.microsoft.com/office/drawing/2010/main" val="0"/>
                        </a:ext>
                      </a:extLst>
                    </a:blip>
                    <a:stretch>
                      <a:fillRect/>
                    </a:stretch>
                  </pic:blipFill>
                  <pic:spPr>
                    <a:xfrm>
                      <a:off x="0" y="0"/>
                      <a:ext cx="2170176" cy="780288"/>
                    </a:xfrm>
                    <a:prstGeom prst="rect">
                      <a:avLst/>
                    </a:prstGeom>
                  </pic:spPr>
                </pic:pic>
              </a:graphicData>
            </a:graphic>
          </wp:inline>
        </w:drawing>
      </w:r>
    </w:p>
    <w:p w14:paraId="7F54CB61" w14:textId="77777777" w:rsidR="00F7414D" w:rsidRPr="00C04EA2" w:rsidRDefault="00F7414D" w:rsidP="00E23946">
      <w:pPr>
        <w:keepNext/>
        <w:keepLines/>
      </w:pPr>
    </w:p>
    <w:p w14:paraId="730B4105" w14:textId="77777777" w:rsidR="0055381A" w:rsidRDefault="0055381A" w:rsidP="00E23946">
      <w:pPr>
        <w:keepNext/>
        <w:keepLines/>
      </w:pPr>
      <w:r>
        <w:t>Samuel Short, Deputy Director</w:t>
      </w:r>
    </w:p>
    <w:p w14:paraId="11CA5587" w14:textId="77777777" w:rsidR="0055381A" w:rsidRDefault="0055381A" w:rsidP="00E23946">
      <w:pPr>
        <w:keepNext/>
        <w:keepLines/>
      </w:pPr>
      <w:r>
        <w:t>Air Permits Division</w:t>
      </w:r>
    </w:p>
    <w:p w14:paraId="1A3FE780" w14:textId="77777777" w:rsidR="00C4738D" w:rsidRPr="00C04EA2" w:rsidRDefault="0055381A" w:rsidP="00E23946">
      <w:pPr>
        <w:keepNext/>
        <w:keepLines/>
      </w:pPr>
      <w:r>
        <w:t>Office of Air</w:t>
      </w:r>
    </w:p>
    <w:p w14:paraId="20A0C99B" w14:textId="77777777" w:rsidR="0055381A" w:rsidRDefault="0055381A" w:rsidP="00E23946">
      <w:pPr>
        <w:keepNext/>
        <w:keepLines/>
      </w:pPr>
      <w:r>
        <w:t>Texas Commission on Environmental Quality</w:t>
      </w:r>
    </w:p>
    <w:p w14:paraId="53630A50" w14:textId="77777777" w:rsidR="00C4738D" w:rsidRPr="00C04EA2" w:rsidRDefault="00C4738D" w:rsidP="00E23946">
      <w:pPr>
        <w:keepNext/>
        <w:keepLines/>
      </w:pPr>
    </w:p>
    <w:p w14:paraId="198F7216" w14:textId="06BE4E7E" w:rsidR="0055381A" w:rsidRDefault="00C4738D" w:rsidP="00E23946">
      <w:pPr>
        <w:keepNext/>
        <w:keepLines/>
        <w:tabs>
          <w:tab w:val="left" w:pos="-1080"/>
          <w:tab w:val="left" w:pos="-720"/>
          <w:tab w:val="left" w:pos="0"/>
          <w:tab w:val="left" w:pos="450"/>
          <w:tab w:val="left" w:pos="720"/>
          <w:tab w:val="left" w:pos="1440"/>
          <w:tab w:val="left" w:pos="2160"/>
          <w:tab w:val="left" w:pos="2880"/>
          <w:tab w:val="left" w:pos="3600"/>
          <w:tab w:val="left" w:pos="4320"/>
          <w:tab w:val="left" w:pos="5040"/>
          <w:tab w:val="left" w:pos="5760"/>
          <w:tab w:val="left" w:pos="630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792" w:hanging="792"/>
      </w:pPr>
      <w:r w:rsidRPr="00C04EA2">
        <w:t>cc:</w:t>
      </w:r>
      <w:r w:rsidR="0055381A">
        <w:tab/>
        <w:t>Mr. Derek Morrison, B</w:t>
      </w:r>
      <w:r w:rsidR="00095675">
        <w:t>TCP</w:t>
      </w:r>
      <w:r w:rsidR="0055381A">
        <w:t xml:space="preserve"> Title V Advisor, Exxon Mobil Corporation, Baytown</w:t>
      </w:r>
    </w:p>
    <w:p w14:paraId="2F18735C" w14:textId="77777777" w:rsidR="0055381A" w:rsidRDefault="0055381A" w:rsidP="00E23946">
      <w:pPr>
        <w:keepNext/>
        <w:keepLines/>
        <w:tabs>
          <w:tab w:val="left" w:pos="-1080"/>
          <w:tab w:val="left" w:pos="-720"/>
          <w:tab w:val="left" w:pos="0"/>
          <w:tab w:val="left" w:pos="450"/>
          <w:tab w:val="left" w:pos="720"/>
          <w:tab w:val="left" w:pos="1440"/>
          <w:tab w:val="left" w:pos="2160"/>
          <w:tab w:val="left" w:pos="2880"/>
          <w:tab w:val="left" w:pos="3600"/>
          <w:tab w:val="left" w:pos="4320"/>
          <w:tab w:val="left" w:pos="5040"/>
          <w:tab w:val="left" w:pos="5760"/>
          <w:tab w:val="left" w:pos="630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792" w:hanging="792"/>
      </w:pPr>
      <w:r>
        <w:tab/>
        <w:t>Director, Harris County, Pollution Control Services, Pasadena</w:t>
      </w:r>
    </w:p>
    <w:p w14:paraId="580E6132" w14:textId="77777777" w:rsidR="00C4738D" w:rsidRDefault="0055381A" w:rsidP="00E23946">
      <w:pPr>
        <w:keepNext/>
        <w:keepLines/>
        <w:tabs>
          <w:tab w:val="left" w:pos="-1080"/>
          <w:tab w:val="left" w:pos="-720"/>
          <w:tab w:val="left" w:pos="0"/>
          <w:tab w:val="left" w:pos="450"/>
          <w:tab w:val="left" w:pos="720"/>
          <w:tab w:val="left" w:pos="1440"/>
          <w:tab w:val="left" w:pos="2160"/>
          <w:tab w:val="left" w:pos="2880"/>
          <w:tab w:val="left" w:pos="3600"/>
          <w:tab w:val="left" w:pos="4320"/>
          <w:tab w:val="left" w:pos="5040"/>
          <w:tab w:val="left" w:pos="5760"/>
          <w:tab w:val="left" w:pos="630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792" w:hanging="792"/>
      </w:pPr>
      <w:r>
        <w:tab/>
        <w:t>Air Section Manager, Region 12 - Houston</w:t>
      </w:r>
    </w:p>
    <w:p w14:paraId="3AB38DA9" w14:textId="77777777" w:rsidR="00E23946" w:rsidRDefault="00E23946" w:rsidP="00E23946">
      <w:pPr>
        <w:keepNext/>
        <w:keepLines/>
        <w:ind w:left="734" w:hanging="288"/>
      </w:pPr>
      <w:r>
        <w:t>Air Permit Section Chief, U.S. Environmental Protection Agency, Region 6-Dallas (Electronic copy)</w:t>
      </w:r>
    </w:p>
    <w:p w14:paraId="154E65B6" w14:textId="77777777" w:rsidR="00B26D25" w:rsidRPr="00C04EA2" w:rsidRDefault="00B26D25" w:rsidP="00E23946">
      <w:pPr>
        <w:keepNext/>
        <w:keepLines/>
      </w:pPr>
    </w:p>
    <w:p w14:paraId="7BA0BE5F" w14:textId="77777777" w:rsidR="00C4738D" w:rsidRPr="00C04EA2" w:rsidRDefault="00864539" w:rsidP="00E23946">
      <w:pPr>
        <w:keepNext/>
        <w:keepLines/>
        <w:tabs>
          <w:tab w:val="left" w:pos="1368"/>
        </w:tabs>
      </w:pPr>
      <w:r>
        <w:t>Enclosure</w:t>
      </w:r>
      <w:r w:rsidR="00C4738D" w:rsidRPr="00C04EA2">
        <w:t>:</w:t>
      </w:r>
      <w:r w:rsidR="00C4738D" w:rsidRPr="00C04EA2">
        <w:tab/>
      </w:r>
      <w:r w:rsidR="0050063A" w:rsidRPr="00C04EA2">
        <w:t xml:space="preserve">TCEQ </w:t>
      </w:r>
      <w:r w:rsidR="00C4738D" w:rsidRPr="00C04EA2">
        <w:t xml:space="preserve">Executive Director’s Response to </w:t>
      </w:r>
      <w:r w:rsidR="00D646BA" w:rsidRPr="00C04EA2">
        <w:t>EPA Objection</w:t>
      </w:r>
    </w:p>
    <w:p w14:paraId="60B438BF" w14:textId="77777777" w:rsidR="00C4738D" w:rsidRPr="00C04EA2" w:rsidRDefault="00C4738D" w:rsidP="00E23946">
      <w:pPr>
        <w:keepNext/>
        <w:keepLines/>
        <w:ind w:left="1368"/>
      </w:pPr>
      <w:r w:rsidRPr="00C04EA2">
        <w:t>Proposed Permit</w:t>
      </w:r>
    </w:p>
    <w:p w14:paraId="7CF1E980" w14:textId="77777777" w:rsidR="0024486E" w:rsidRPr="00C04EA2" w:rsidRDefault="00D646BA" w:rsidP="00E23946">
      <w:pPr>
        <w:keepNext/>
        <w:keepLines/>
        <w:ind w:left="1368"/>
      </w:pPr>
      <w:r w:rsidRPr="00C04EA2">
        <w:t>Statement of Basis</w:t>
      </w:r>
    </w:p>
    <w:p w14:paraId="6797C5D7" w14:textId="77777777" w:rsidR="00D646BA" w:rsidRPr="00C04EA2" w:rsidRDefault="00D646BA" w:rsidP="00E23946">
      <w:pPr>
        <w:keepNext/>
        <w:keepLines/>
      </w:pPr>
    </w:p>
    <w:p w14:paraId="448DAA23" w14:textId="5F87C348" w:rsidR="00C4738D" w:rsidRPr="00C04EA2" w:rsidRDefault="00C4738D" w:rsidP="00E23946">
      <w:pPr>
        <w:keepNext/>
        <w:keepLines/>
        <w:rPr>
          <w:sz w:val="16"/>
          <w:szCs w:val="16"/>
        </w:rPr>
      </w:pPr>
      <w:r w:rsidRPr="00C04EA2">
        <w:rPr>
          <w:sz w:val="16"/>
          <w:szCs w:val="16"/>
        </w:rPr>
        <w:t>Project Number:  </w:t>
      </w:r>
      <w:r w:rsidR="002D3CAE">
        <w:rPr>
          <w:sz w:val="16"/>
          <w:szCs w:val="16"/>
        </w:rPr>
        <w:t>34185</w:t>
      </w:r>
    </w:p>
    <w:p w14:paraId="09C4E32D" w14:textId="77777777" w:rsidR="00010F20" w:rsidRPr="00C04EA2" w:rsidRDefault="00010F20" w:rsidP="00D93201">
      <w:pPr>
        <w:sectPr w:rsidR="00010F20" w:rsidRPr="00C04EA2" w:rsidSect="000A3D0D">
          <w:headerReference w:type="default" r:id="rId17"/>
          <w:footerReference w:type="default" r:id="rId18"/>
          <w:type w:val="continuous"/>
          <w:pgSz w:w="12240" w:h="15838" w:code="1"/>
          <w:pgMar w:top="1440" w:right="1440" w:bottom="720" w:left="1440" w:header="1440" w:footer="720" w:gutter="0"/>
          <w:cols w:space="720"/>
        </w:sectPr>
      </w:pPr>
    </w:p>
    <w:p w14:paraId="614BDC62" w14:textId="77777777" w:rsidR="002C7CC9" w:rsidRPr="009458A8" w:rsidRDefault="0089546D" w:rsidP="009458A8">
      <w:pPr>
        <w:jc w:val="center"/>
        <w:outlineLvl w:val="0"/>
        <w:rPr>
          <w:rStyle w:val="Strong"/>
        </w:rPr>
        <w:sectPr w:rsidR="002C7CC9" w:rsidRPr="009458A8" w:rsidSect="003E5C67">
          <w:headerReference w:type="default" r:id="rId19"/>
          <w:footerReference w:type="default" r:id="rId20"/>
          <w:pgSz w:w="12240" w:h="15838" w:code="1"/>
          <w:pgMar w:top="1440" w:right="1440" w:bottom="720" w:left="1440" w:header="720" w:footer="720" w:gutter="0"/>
          <w:pgNumType w:start="1"/>
          <w:cols w:space="720"/>
        </w:sectPr>
      </w:pPr>
      <w:r>
        <w:rPr>
          <w:rStyle w:val="Strong"/>
        </w:rPr>
        <w:lastRenderedPageBreak/>
        <w:t>Executive Director’s</w:t>
      </w:r>
      <w:r w:rsidR="002C7CC9" w:rsidRPr="009458A8">
        <w:rPr>
          <w:rStyle w:val="Strong"/>
        </w:rPr>
        <w:t xml:space="preserve"> R</w:t>
      </w:r>
      <w:r>
        <w:rPr>
          <w:rStyle w:val="Strong"/>
        </w:rPr>
        <w:t>esponse to EPA Objection</w:t>
      </w:r>
    </w:p>
    <w:p w14:paraId="36528DCB" w14:textId="77777777" w:rsidR="00BD7424" w:rsidRPr="0014747F" w:rsidRDefault="00BD7424" w:rsidP="009458A8">
      <w:pPr>
        <w:numPr>
          <w:ilvl w:val="12"/>
          <w:numId w:val="0"/>
        </w:numPr>
        <w:jc w:val="center"/>
        <w:rPr>
          <w:bCs/>
        </w:rPr>
      </w:pPr>
    </w:p>
    <w:p w14:paraId="181677B2" w14:textId="77777777" w:rsidR="0084399C" w:rsidRPr="009458A8" w:rsidRDefault="00BD7424" w:rsidP="009458A8">
      <w:pPr>
        <w:jc w:val="center"/>
        <w:rPr>
          <w:rStyle w:val="Strong"/>
        </w:rPr>
      </w:pPr>
      <w:r w:rsidRPr="009458A8">
        <w:rPr>
          <w:rStyle w:val="Strong"/>
        </w:rPr>
        <w:t>Permit Number</w:t>
      </w:r>
      <w:r w:rsidR="004274AD">
        <w:rPr>
          <w:rStyle w:val="Strong"/>
        </w:rPr>
        <w:t xml:space="preserve"> </w:t>
      </w:r>
      <w:r w:rsidR="0055381A">
        <w:rPr>
          <w:rStyle w:val="Strong"/>
        </w:rPr>
        <w:t>O2269</w:t>
      </w:r>
    </w:p>
    <w:p w14:paraId="30FA9E10" w14:textId="77777777" w:rsidR="0084399C" w:rsidRPr="00C04EA2" w:rsidRDefault="0084399C" w:rsidP="009458A8">
      <w:pPr>
        <w:numPr>
          <w:ilvl w:val="12"/>
          <w:numId w:val="0"/>
        </w:numPr>
      </w:pPr>
    </w:p>
    <w:p w14:paraId="198EA0B5" w14:textId="4DDB2423" w:rsidR="0084399C" w:rsidRPr="00C04EA2" w:rsidRDefault="0084399C" w:rsidP="009458A8">
      <w:pPr>
        <w:numPr>
          <w:ilvl w:val="12"/>
          <w:numId w:val="0"/>
        </w:numPr>
      </w:pPr>
      <w:r w:rsidRPr="00C04EA2">
        <w:t xml:space="preserve">The Texas Commission on Environmental Quality (TCEQ) Executive Director </w:t>
      </w:r>
      <w:r w:rsidR="0010000F">
        <w:t xml:space="preserve">(ED) </w:t>
      </w:r>
      <w:r w:rsidRPr="00C04EA2">
        <w:t xml:space="preserve">provides this Response to EPA’s Objection to the </w:t>
      </w:r>
      <w:r w:rsidR="00095675">
        <w:t>renewal</w:t>
      </w:r>
      <w:r w:rsidR="00001360" w:rsidRPr="00C04EA2">
        <w:t xml:space="preserve"> </w:t>
      </w:r>
      <w:r w:rsidRPr="00C04EA2">
        <w:t>of the Federal Operating Permit (FOP) for</w:t>
      </w:r>
      <w:r w:rsidR="00D35365" w:rsidRPr="00C04EA2">
        <w:t xml:space="preserve"> </w:t>
      </w:r>
      <w:r w:rsidR="0055381A">
        <w:t>Exxon Mobil Corporation</w:t>
      </w:r>
      <w:r w:rsidRPr="00C04EA2">
        <w:t xml:space="preserve">, </w:t>
      </w:r>
      <w:r w:rsidR="0055381A">
        <w:t>Exxon</w:t>
      </w:r>
      <w:r w:rsidR="00095675">
        <w:t>M</w:t>
      </w:r>
      <w:r w:rsidR="0055381A">
        <w:t>obil Chemical Baytown Plant</w:t>
      </w:r>
      <w:r w:rsidRPr="00C04EA2">
        <w:t>, Permit No.</w:t>
      </w:r>
      <w:r w:rsidR="00001360" w:rsidRPr="00C04EA2">
        <w:t xml:space="preserve"> </w:t>
      </w:r>
      <w:r w:rsidR="0055381A">
        <w:t>O2269</w:t>
      </w:r>
      <w:r w:rsidRPr="00C04EA2">
        <w:t xml:space="preserve">, </w:t>
      </w:r>
      <w:r w:rsidR="0055381A">
        <w:t>Harris</w:t>
      </w:r>
      <w:r w:rsidR="00D35365" w:rsidRPr="00C04EA2">
        <w:t xml:space="preserve"> County, Texas.</w:t>
      </w:r>
    </w:p>
    <w:p w14:paraId="0FB811E1" w14:textId="77777777" w:rsidR="0084399C" w:rsidRPr="00C04EA2" w:rsidRDefault="0084399C" w:rsidP="009458A8">
      <w:pPr>
        <w:numPr>
          <w:ilvl w:val="12"/>
          <w:numId w:val="0"/>
        </w:numPr>
      </w:pPr>
    </w:p>
    <w:p w14:paraId="23929B37" w14:textId="77777777" w:rsidR="0084399C" w:rsidRPr="009458A8" w:rsidRDefault="0084399C" w:rsidP="009458A8">
      <w:pPr>
        <w:jc w:val="center"/>
        <w:rPr>
          <w:rStyle w:val="Strong"/>
        </w:rPr>
      </w:pPr>
      <w:r w:rsidRPr="009458A8">
        <w:rPr>
          <w:rStyle w:val="Strong"/>
        </w:rPr>
        <w:t>B</w:t>
      </w:r>
      <w:r w:rsidR="0089546D">
        <w:rPr>
          <w:rStyle w:val="Strong"/>
        </w:rPr>
        <w:t>ackground</w:t>
      </w:r>
    </w:p>
    <w:p w14:paraId="4A59427B" w14:textId="77777777" w:rsidR="0084399C" w:rsidRPr="00C04EA2" w:rsidRDefault="0084399C" w:rsidP="00136B69">
      <w:pPr>
        <w:numPr>
          <w:ilvl w:val="12"/>
          <w:numId w:val="0"/>
        </w:num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pPr>
    </w:p>
    <w:p w14:paraId="5D5836AF" w14:textId="77777777" w:rsidR="0084399C" w:rsidRPr="0089546D" w:rsidRDefault="0084399C" w:rsidP="009458A8">
      <w:pPr>
        <w:jc w:val="center"/>
      </w:pPr>
      <w:r w:rsidRPr="0089546D">
        <w:t>Procedural Background</w:t>
      </w:r>
    </w:p>
    <w:p w14:paraId="1C36B4CA" w14:textId="77777777" w:rsidR="0084399C" w:rsidRPr="00C04EA2" w:rsidRDefault="0084399C" w:rsidP="006F716D"/>
    <w:p w14:paraId="79C25B5B" w14:textId="4DCF5E6E" w:rsidR="0084399C" w:rsidRDefault="0084399C" w:rsidP="006821E5">
      <w:pPr>
        <w:rPr>
          <w:szCs w:val="22"/>
        </w:rPr>
      </w:pPr>
      <w:r w:rsidRPr="00C04EA2">
        <w:t xml:space="preserve">The Texas Operating Permit Program requires that owners and operators of sites subject to 30 Tex. Admin. Code (TAC) Chapter 122 obtain a FOP that contains all applicable requirements to facilitate compliance and improve enforcement.  The FOP does not authorize construction or modifications to facilities, and it does not authorize emission increases.  To construct or modify a facility, the responsible party must have the appropriate new source review authorization.  If the site is subject to 30 TAC Chapter 122, the owner or operator must submit a timely FOP application for the site and ultimately must obtain the FOP to operate.  </w:t>
      </w:r>
      <w:r w:rsidR="00BD607F">
        <w:t>In response to a petition to object filed on September 30, 2020 with the EPA</w:t>
      </w:r>
      <w:r w:rsidR="00D209C0">
        <w:t xml:space="preserve">, </w:t>
      </w:r>
      <w:r w:rsidRPr="00C04EA2">
        <w:rPr>
          <w:szCs w:val="22"/>
        </w:rPr>
        <w:t xml:space="preserve">TCEQ received an objection to the permit from EPA on </w:t>
      </w:r>
      <w:r w:rsidR="0055381A">
        <w:rPr>
          <w:szCs w:val="22"/>
        </w:rPr>
        <w:t xml:space="preserve">March </w:t>
      </w:r>
      <w:r w:rsidR="00AA6574">
        <w:rPr>
          <w:szCs w:val="22"/>
        </w:rPr>
        <w:t>18</w:t>
      </w:r>
      <w:r w:rsidR="0055381A">
        <w:rPr>
          <w:szCs w:val="22"/>
        </w:rPr>
        <w:t>, 2022</w:t>
      </w:r>
      <w:r w:rsidRPr="00C04EA2">
        <w:rPr>
          <w:szCs w:val="22"/>
        </w:rPr>
        <w:t>.</w:t>
      </w:r>
    </w:p>
    <w:p w14:paraId="459CE1B9" w14:textId="2E8C4AA7" w:rsidR="005D3938" w:rsidRDefault="005D3938" w:rsidP="006821E5">
      <w:pPr>
        <w:rPr>
          <w:szCs w:val="22"/>
        </w:rPr>
      </w:pPr>
    </w:p>
    <w:p w14:paraId="522A2357" w14:textId="22D32BB2" w:rsidR="003C7D70" w:rsidRDefault="003C7D70" w:rsidP="003C7D70">
      <w:r w:rsidRPr="006C5A1E">
        <w:t xml:space="preserve">EPA objections are addressed in a pending minor permit revision application </w:t>
      </w:r>
      <w:r w:rsidR="00AE6183">
        <w:t xml:space="preserve">(project number 34185) </w:t>
      </w:r>
      <w:r w:rsidRPr="006C5A1E">
        <w:t xml:space="preserve">that was submitted on </w:t>
      </w:r>
      <w:r w:rsidR="002D3CAE">
        <w:t>August 16</w:t>
      </w:r>
      <w:r w:rsidR="00AE6183">
        <w:t>, 2022</w:t>
      </w:r>
      <w:r>
        <w:t xml:space="preserve">. </w:t>
      </w:r>
      <w:r w:rsidRPr="00C04EA2">
        <w:t>The TCEQ has completed the technical review and offers the enclosed responses to facilitate resolution of the objections. In addition, the attached responses to the objections describe the changes, if applicable, that have been made to the revised proposed permit and supporting statement of basis</w:t>
      </w:r>
      <w:r>
        <w:t xml:space="preserve"> (SOB)</w:t>
      </w:r>
      <w:r w:rsidRPr="00C04EA2">
        <w:t xml:space="preserve">.  The revised proposed permit and </w:t>
      </w:r>
      <w:r>
        <w:t>SOB</w:t>
      </w:r>
      <w:r w:rsidRPr="00C04EA2">
        <w:t xml:space="preserve"> are attached for your review</w:t>
      </w:r>
      <w:r>
        <w:t xml:space="preserve">. </w:t>
      </w:r>
    </w:p>
    <w:p w14:paraId="359A9726" w14:textId="77777777" w:rsidR="003C7D70" w:rsidRDefault="003C7D70" w:rsidP="003C7D70"/>
    <w:p w14:paraId="21C785FB" w14:textId="1ADD05BC" w:rsidR="004A4744" w:rsidRDefault="004A4744" w:rsidP="004A4744">
      <w:r>
        <w:t>The public announcement period will begin January 31, 2023, and end March 2, 2023.  In addition, if no comments are received, the EPA review period will run concurrent with the announcement and will end on March 17, 2023.  If comments are received, you will be notified.</w:t>
      </w:r>
    </w:p>
    <w:p w14:paraId="06951EB4" w14:textId="77777777" w:rsidR="004A4744" w:rsidRDefault="004A4744" w:rsidP="003C7D70"/>
    <w:p w14:paraId="64A19BF1" w14:textId="6B77133E" w:rsidR="0084399C" w:rsidRPr="00C04EA2" w:rsidRDefault="0084399C" w:rsidP="009458A8">
      <w:pPr>
        <w:numPr>
          <w:ilvl w:val="12"/>
          <w:numId w:val="0"/>
        </w:numPr>
      </w:pPr>
    </w:p>
    <w:p w14:paraId="3CDAA2B6" w14:textId="77777777" w:rsidR="0084399C" w:rsidRPr="0089546D" w:rsidRDefault="0084399C" w:rsidP="009458A8">
      <w:pPr>
        <w:jc w:val="center"/>
      </w:pPr>
      <w:r w:rsidRPr="0089546D">
        <w:t>Description of Site</w:t>
      </w:r>
    </w:p>
    <w:p w14:paraId="2AA0E2F4" w14:textId="77777777" w:rsidR="00F62FBE" w:rsidRPr="00C04EA2" w:rsidRDefault="00F62FBE" w:rsidP="00F95F69">
      <w:pPr>
        <w:numPr>
          <w:ilvl w:val="12"/>
          <w:numId w:val="0"/>
        </w:numPr>
        <w:tabs>
          <w:tab w:val="left" w:pos="-360"/>
          <w:tab w:val="left" w:pos="0"/>
          <w:tab w:val="left" w:pos="1260"/>
          <w:tab w:val="left" w:pos="1980"/>
          <w:tab w:val="left" w:pos="2160"/>
          <w:tab w:val="left" w:pos="3600"/>
          <w:tab w:val="left" w:pos="4320"/>
          <w:tab w:val="left" w:pos="5040"/>
          <w:tab w:val="left" w:pos="5760"/>
          <w:tab w:val="left" w:pos="6480"/>
          <w:tab w:val="left" w:pos="7200"/>
          <w:tab w:val="left" w:pos="7920"/>
          <w:tab w:val="left" w:pos="8640"/>
          <w:tab w:val="left" w:pos="9360"/>
        </w:tabs>
        <w:jc w:val="center"/>
      </w:pPr>
    </w:p>
    <w:p w14:paraId="792F8560" w14:textId="29194711" w:rsidR="0084399C" w:rsidRDefault="0055381A" w:rsidP="009458A8">
      <w:pPr>
        <w:numPr>
          <w:ilvl w:val="12"/>
          <w:numId w:val="0"/>
        </w:numPr>
      </w:pPr>
      <w:r>
        <w:t>Exxon Mobil Corporation</w:t>
      </w:r>
      <w:r w:rsidR="000303A6">
        <w:t xml:space="preserve"> o</w:t>
      </w:r>
      <w:r w:rsidR="00521E39">
        <w:t xml:space="preserve">wns and operates the </w:t>
      </w:r>
      <w:r>
        <w:t>Exxon</w:t>
      </w:r>
      <w:r w:rsidR="00095675">
        <w:t>M</w:t>
      </w:r>
      <w:r>
        <w:t>obil Chemical Baytown Plant</w:t>
      </w:r>
      <w:r w:rsidR="00521E39">
        <w:t xml:space="preserve">, located at </w:t>
      </w:r>
      <w:r>
        <w:t>5000 Bayway Dr</w:t>
      </w:r>
      <w:r w:rsidR="00DA76A1">
        <w:t xml:space="preserve"> in</w:t>
      </w:r>
      <w:r w:rsidR="00521E39">
        <w:t xml:space="preserve"> </w:t>
      </w:r>
      <w:r>
        <w:t>Baytown, Harris</w:t>
      </w:r>
      <w:r w:rsidR="00521E39">
        <w:t xml:space="preserve"> Texas</w:t>
      </w:r>
      <w:r>
        <w:t xml:space="preserve"> 77520-2123</w:t>
      </w:r>
      <w:r w:rsidR="00DA76A1">
        <w:t>.</w:t>
      </w:r>
    </w:p>
    <w:p w14:paraId="2F1CB2CE" w14:textId="77777777" w:rsidR="00521E39" w:rsidRPr="00C04EA2" w:rsidRDefault="00521E39" w:rsidP="009458A8">
      <w:pPr>
        <w:numPr>
          <w:ilvl w:val="12"/>
          <w:numId w:val="0"/>
        </w:numPr>
      </w:pPr>
    </w:p>
    <w:p w14:paraId="70956C2D" w14:textId="50465A70" w:rsidR="00037C5C" w:rsidRDefault="00095675" w:rsidP="009458A8">
      <w:pPr>
        <w:numPr>
          <w:ilvl w:val="12"/>
          <w:numId w:val="0"/>
        </w:numPr>
      </w:pPr>
      <w:r w:rsidRPr="00095675">
        <w:t xml:space="preserve">The Baytown Chemical Plant originally had three Title V permits, </w:t>
      </w:r>
      <w:r>
        <w:t>O</w:t>
      </w:r>
      <w:r w:rsidRPr="00095675">
        <w:t xml:space="preserve">1278, </w:t>
      </w:r>
      <w:r>
        <w:t>O</w:t>
      </w:r>
      <w:r w:rsidRPr="00095675">
        <w:t xml:space="preserve">2269, &amp; </w:t>
      </w:r>
      <w:r>
        <w:t>O</w:t>
      </w:r>
      <w:r w:rsidRPr="00095675">
        <w:t>2270</w:t>
      </w:r>
      <w:r w:rsidR="002D3CAE">
        <w:t>.</w:t>
      </w:r>
      <w:r w:rsidRPr="00095675">
        <w:t xml:space="preserve"> </w:t>
      </w:r>
      <w:r w:rsidR="002D3CAE">
        <w:t>T</w:t>
      </w:r>
      <w:r w:rsidRPr="00095675">
        <w:t>h</w:t>
      </w:r>
      <w:r>
        <w:t>e</w:t>
      </w:r>
      <w:r w:rsidRPr="00095675">
        <w:t xml:space="preserve"> renewal incorporate</w:t>
      </w:r>
      <w:r w:rsidR="002D3CAE">
        <w:t>d</w:t>
      </w:r>
      <w:r w:rsidRPr="00095675">
        <w:t xml:space="preserve"> the three permits into one Title V permit </w:t>
      </w:r>
      <w:r>
        <w:t>O</w:t>
      </w:r>
      <w:r w:rsidRPr="00095675">
        <w:t>2269. The Baytown Chemical Plant produces four main grades of synthetic rubber products, polypropylene, olefins &amp; aromatics. This permit contains the requirements for all production unit sources located at this plant</w:t>
      </w:r>
      <w:r>
        <w:t>.</w:t>
      </w:r>
    </w:p>
    <w:p w14:paraId="39D09CF5" w14:textId="77777777" w:rsidR="00095675" w:rsidRPr="009458A8" w:rsidRDefault="00095675" w:rsidP="009458A8">
      <w:pPr>
        <w:numPr>
          <w:ilvl w:val="12"/>
          <w:numId w:val="0"/>
        </w:numPr>
      </w:pPr>
    </w:p>
    <w:p w14:paraId="2F63E07A" w14:textId="475191EB" w:rsidR="0084399C" w:rsidRPr="009458A8" w:rsidRDefault="0084399C" w:rsidP="005B5105">
      <w:r w:rsidRPr="009458A8">
        <w:t>The following responses follow the references used in EPA’s objection letter.</w:t>
      </w:r>
      <w:r w:rsidR="00C201FD">
        <w:t xml:space="preserve"> It is noted in the letter that EPA has denied </w:t>
      </w:r>
      <w:r w:rsidR="00C201FD" w:rsidRPr="00C201FD">
        <w:t xml:space="preserve">the Petitioners' request for an objection on </w:t>
      </w:r>
      <w:r w:rsidR="00C201FD">
        <w:t>Claims E and F.</w:t>
      </w:r>
    </w:p>
    <w:p w14:paraId="25A771FA" w14:textId="77777777" w:rsidR="0084399C" w:rsidRPr="009458A8" w:rsidRDefault="0084399C" w:rsidP="005B5105"/>
    <w:p w14:paraId="44AF9506" w14:textId="77C3BF60" w:rsidR="00CF10E6" w:rsidRDefault="0084399C" w:rsidP="009458A8">
      <w:r w:rsidRPr="009458A8">
        <w:rPr>
          <w:rStyle w:val="Strong"/>
        </w:rPr>
        <w:t xml:space="preserve">EPA </w:t>
      </w:r>
      <w:r w:rsidR="0089546D">
        <w:rPr>
          <w:rStyle w:val="Strong"/>
        </w:rPr>
        <w:t>Objection</w:t>
      </w:r>
      <w:r w:rsidR="00095675">
        <w:rPr>
          <w:rStyle w:val="Strong"/>
        </w:rPr>
        <w:t xml:space="preserve"> </w:t>
      </w:r>
      <w:r w:rsidR="00CF10E6">
        <w:rPr>
          <w:rStyle w:val="Strong"/>
        </w:rPr>
        <w:t>A</w:t>
      </w:r>
      <w:r w:rsidRPr="009458A8">
        <w:rPr>
          <w:rStyle w:val="Strong"/>
        </w:rPr>
        <w:t>:</w:t>
      </w:r>
      <w:r w:rsidRPr="009458A8">
        <w:t xml:space="preserve"> </w:t>
      </w:r>
      <w:r w:rsidR="00CF10E6" w:rsidRPr="00CF10E6">
        <w:t>The Revised Proposed Permit Improperly Incorporates a Major NSR Permit by Reference</w:t>
      </w:r>
      <w:r w:rsidR="00CF10E6">
        <w:t>.</w:t>
      </w:r>
    </w:p>
    <w:p w14:paraId="3318D21C" w14:textId="77777777" w:rsidR="00CF10E6" w:rsidRDefault="00CF10E6" w:rsidP="009458A8"/>
    <w:p w14:paraId="23CC4C81" w14:textId="1EF4DEEC" w:rsidR="0084399C" w:rsidRPr="009458A8" w:rsidRDefault="00CF10E6" w:rsidP="009458A8">
      <w:r w:rsidRPr="00CF10E6">
        <w:t>In order to satisfy CAA§ 504(a), TCEQ must amend the title V permit to properly include the applicable requirements of PAL16. TCEQ may accomplish this in various ways, such as by including the relevant emission limitations of PAL16 within the existing title V permit tables associated with Permit No. 36476/PSDTX996Ml, and by attaching the PAL permit to the title V permit.</w:t>
      </w:r>
    </w:p>
    <w:p w14:paraId="6F9FABAE" w14:textId="77777777" w:rsidR="0084399C" w:rsidRPr="004535E5" w:rsidRDefault="0084399C" w:rsidP="004535E5"/>
    <w:p w14:paraId="5B8A229A" w14:textId="1EFD1221" w:rsidR="009F4248" w:rsidRDefault="0084399C" w:rsidP="00FC61D8">
      <w:r w:rsidRPr="00725612">
        <w:rPr>
          <w:rStyle w:val="Strong"/>
        </w:rPr>
        <w:t>TCEQ R</w:t>
      </w:r>
      <w:r w:rsidR="0089546D">
        <w:rPr>
          <w:rStyle w:val="Strong"/>
        </w:rPr>
        <w:t>esponse</w:t>
      </w:r>
      <w:r w:rsidR="00095675">
        <w:rPr>
          <w:rStyle w:val="Strong"/>
        </w:rPr>
        <w:t xml:space="preserve"> </w:t>
      </w:r>
      <w:r w:rsidR="00CF10E6">
        <w:rPr>
          <w:rStyle w:val="Strong"/>
        </w:rPr>
        <w:t>to EPA Objection A</w:t>
      </w:r>
      <w:r w:rsidRPr="00725612">
        <w:rPr>
          <w:rStyle w:val="Strong"/>
        </w:rPr>
        <w:t>:</w:t>
      </w:r>
      <w:r w:rsidRPr="00725612">
        <w:t xml:space="preserve"> </w:t>
      </w:r>
      <w:r w:rsidR="00FC61D8">
        <w:t xml:space="preserve">The </w:t>
      </w:r>
      <w:r w:rsidR="00FC61D8" w:rsidRPr="00FC61D8">
        <w:t>Plant-wide Applicability Limits (PAL) program</w:t>
      </w:r>
      <w:r w:rsidR="00FC61D8">
        <w:t xml:space="preserve"> </w:t>
      </w:r>
      <w:r w:rsidR="00FC61D8" w:rsidRPr="00FC61D8">
        <w:t>is an alternative and voluntary permit limit that an owner or operator can choose to implement and use to assess Federal NSR applicability</w:t>
      </w:r>
      <w:r w:rsidR="00FC61D8">
        <w:t xml:space="preserve"> (see </w:t>
      </w:r>
      <w:hyperlink r:id="rId21" w:history="1">
        <w:r w:rsidR="00FC61D8" w:rsidRPr="00E43406">
          <w:rPr>
            <w:rStyle w:val="Hyperlink"/>
          </w:rPr>
          <w:t>https://www.tceq.texas.gov/assets/public/permitting/air/Guidance/NewSourceReview/fnsr_app_determ.pd</w:t>
        </w:r>
        <w:r w:rsidR="00FC61D8" w:rsidRPr="00E43406">
          <w:rPr>
            <w:rStyle w:val="Hyperlink"/>
          </w:rPr>
          <w:lastRenderedPageBreak/>
          <w:t>f</w:t>
        </w:r>
      </w:hyperlink>
      <w:r w:rsidR="00FC61D8">
        <w:t xml:space="preserve">).  A PAL permit does not authorize the construction or modification of any facility to emit air pollutants. A PAL establishes an annual emission rate below which new and modified facilities will not be subject to Major NSR for that pollutant. </w:t>
      </w:r>
      <w:r w:rsidR="00FC61D8" w:rsidRPr="00FC61D8">
        <w:t>If the emission rates of a future project, for a pollutant, which received a PAL, stay below the PAL emission rate, major NSR is not applicable.  Therefore, the ED disagrees that the PAL is a major NSR permit.</w:t>
      </w:r>
      <w:r w:rsidR="00FC61D8">
        <w:t xml:space="preserve"> </w:t>
      </w:r>
      <w:r w:rsidR="00FC61D8" w:rsidRPr="00FC61D8">
        <w:t>Additionally, in its March 21, 2012 letter to TCEQ, EPA limited the scope of which NSR permits to append to the Title V permit and which NSR permits to address in the Major New Source Review Summary Table.  In that letter, EPA stated:</w:t>
      </w:r>
      <w:r w:rsidR="00FC61D8">
        <w:t xml:space="preserve"> </w:t>
      </w:r>
      <w:r w:rsidR="00FC61D8" w:rsidRPr="00FC61D8">
        <w:t>“The restructured Title V permits remove IBR of PSD and NNSR permits, by specifying PSD and NNSR emission limits in a table, and including applicable PSD and NNSR permits in an appendix to the Title V permit. This approach will resolve our concerns regarding IBR of PSD and NNSR permits provided the table listing PSD/NNSR requirements includes at a minimum: I) emission point ID No.; 2) PSD/NNSR permit number and permit date; 3) pollutant short term emission limitation; 4) pollutant long-term emission limitation; and 5) footnotes to or summaries of monitoring, recordkeeping, and reporting requirements in appended PSD/NNSR permits.”</w:t>
      </w:r>
    </w:p>
    <w:p w14:paraId="6DAD2C2A" w14:textId="27843F98" w:rsidR="00FC61D8" w:rsidRDefault="00FC61D8" w:rsidP="00FC61D8"/>
    <w:p w14:paraId="17887945" w14:textId="6F6AD839" w:rsidR="00FC61D8" w:rsidRPr="00725612" w:rsidRDefault="00FC61D8" w:rsidP="00FC61D8">
      <w:r>
        <w:t xml:space="preserve">However, </w:t>
      </w:r>
      <w:r w:rsidR="007176C4">
        <w:t xml:space="preserve">as directed by EPA </w:t>
      </w:r>
      <w:r w:rsidR="007A07ED">
        <w:t xml:space="preserve">and to further </w:t>
      </w:r>
      <w:r>
        <w:t xml:space="preserve">to clarify all applicable requirements in the SOP O2269, the applicant has voluntarily submitted a summary table </w:t>
      </w:r>
      <w:r w:rsidR="007176C4">
        <w:t xml:space="preserve">for NSR permits 20211 and PAL16 </w:t>
      </w:r>
      <w:r>
        <w:t xml:space="preserve">(structured similar to the Major NSR Summary Table for Non-attainment and </w:t>
      </w:r>
      <w:r w:rsidR="007176C4">
        <w:t>PSD permits). This new summary table, which documents the applicable unit ID, pollutant, emission limits and</w:t>
      </w:r>
      <w:r w:rsidR="0076635C" w:rsidRPr="0076635C">
        <w:t xml:space="preserve"> monitoring, recordkeeping, reporting, and testing (MRRT)</w:t>
      </w:r>
      <w:r w:rsidR="007176C4">
        <w:t xml:space="preserve"> requirements, is included in the Proposed Permit at pages </w:t>
      </w:r>
      <w:r w:rsidR="00B26F23">
        <w:t xml:space="preserve">662 </w:t>
      </w:r>
      <w:r w:rsidR="007176C4">
        <w:t xml:space="preserve">through </w:t>
      </w:r>
      <w:r w:rsidR="00B26F23">
        <w:t>686</w:t>
      </w:r>
      <w:r w:rsidR="007176C4">
        <w:t>.</w:t>
      </w:r>
    </w:p>
    <w:p w14:paraId="5D5E5977" w14:textId="77777777" w:rsidR="005157B4" w:rsidRPr="004535E5" w:rsidRDefault="005157B4" w:rsidP="004535E5"/>
    <w:p w14:paraId="18186A32" w14:textId="128655CA" w:rsidR="00CF10E6" w:rsidRDefault="00CF10E6" w:rsidP="00CF10E6">
      <w:r w:rsidRPr="009458A8">
        <w:rPr>
          <w:rStyle w:val="Strong"/>
        </w:rPr>
        <w:t xml:space="preserve">EPA </w:t>
      </w:r>
      <w:r>
        <w:rPr>
          <w:rStyle w:val="Strong"/>
        </w:rPr>
        <w:t>Objection B</w:t>
      </w:r>
      <w:r w:rsidRPr="009458A8">
        <w:rPr>
          <w:rStyle w:val="Strong"/>
        </w:rPr>
        <w:t>:</w:t>
      </w:r>
      <w:r w:rsidRPr="009458A8">
        <w:t xml:space="preserve"> </w:t>
      </w:r>
      <w:r w:rsidRPr="00CF10E6">
        <w:t>The Executive Director Failed to Adjust ExxonMobil's Plantwide Applicability Limits for NOx and VOC Downward to Account for Harris County's Recent Designation as a Serious Ozone Nonattainment Area</w:t>
      </w:r>
      <w:r>
        <w:t>.</w:t>
      </w:r>
    </w:p>
    <w:p w14:paraId="7BAECFCF" w14:textId="77777777" w:rsidR="00CF10E6" w:rsidRDefault="00CF10E6" w:rsidP="00CF10E6"/>
    <w:p w14:paraId="42C28A76" w14:textId="77777777" w:rsidR="00CF10E6" w:rsidRDefault="00CF10E6" w:rsidP="00CF10E6">
      <w:r w:rsidRPr="00CF10E6">
        <w:t>TCEQ must amend the permit record to include a response to comments concerning TCEQ's obligation to fulfill the requirements of 30 TAC § 116.196(g) in the present title V renewal permit action. To the extent that TCEQ determines that no adjustments to the emission limits in PAL16 are necessary, it must explain the basis for this decision, including the significance levels used to establish the emission limits presently in PAL16.</w:t>
      </w:r>
      <w:r>
        <w:t xml:space="preserve"> </w:t>
      </w:r>
    </w:p>
    <w:p w14:paraId="7C5AC714" w14:textId="77777777" w:rsidR="00CF10E6" w:rsidRDefault="00CF10E6" w:rsidP="00CF10E6"/>
    <w:p w14:paraId="7C673B9F" w14:textId="5F163EBB" w:rsidR="00CF10E6" w:rsidRPr="009458A8" w:rsidRDefault="00CF10E6" w:rsidP="00CF10E6">
      <w:r w:rsidRPr="00CF10E6">
        <w:t xml:space="preserve">The EPA expects this to be a straightforward task. Specifically, although ExxonMobil's December 2007 application for PAL16 requested that a 40 tpy significance level be used to </w:t>
      </w:r>
      <w:r>
        <w:t>establish the NOx and VOC limits, it does not appear that this 40 tpy significance level was used when TCEQ issued PAL16. After ExxonMobil submitted its December 2007 application, but before PAL16 was issued in 2011, the Houston-Galveston-Brazoria area was redesignated as severe nonattainment with the 1997 8-hour ozone NAAQS. As a result, at the time PAL16 was issued in 2011, the relevant significance level was 25 tpy for both NOx and VOC-the same significance level as is currently applicable (due to the area's 2019 designation as serious nonattainment with the 2008 8-hour ozone NAAQS). 30 TAC § 1</w:t>
      </w:r>
      <w:r w:rsidR="004C572C">
        <w:t>1</w:t>
      </w:r>
      <w:r>
        <w:t>6.</w:t>
      </w:r>
      <w:r w:rsidR="004C572C">
        <w:t>1</w:t>
      </w:r>
      <w:r>
        <w:t xml:space="preserve">2(20)(A), Table 1. Provided </w:t>
      </w:r>
      <w:bookmarkStart w:id="3" w:name="_Hlk109211213"/>
      <w:r>
        <w:t>the emission limits in PAL16 were-and are-based on that lower 25 tpy significance level, TCEQ may be able to reasonably conclude that no adjustments to the NOx and VOC limits in PAL16 were required based on the 2019 nonattainment redesignation of the Houston­ Galveston-Brazoria area</w:t>
      </w:r>
      <w:bookmarkEnd w:id="3"/>
      <w:r>
        <w:t>.</w:t>
      </w:r>
    </w:p>
    <w:p w14:paraId="1F6733AE" w14:textId="77777777" w:rsidR="00CF10E6" w:rsidRPr="004535E5" w:rsidRDefault="00CF10E6" w:rsidP="00CF10E6"/>
    <w:p w14:paraId="079B1D2D" w14:textId="217CA2EA" w:rsidR="00917B86" w:rsidRPr="0015247D" w:rsidRDefault="00CF10E6" w:rsidP="00CF10E6">
      <w:pPr>
        <w:rPr>
          <w:b/>
          <w:bCs/>
        </w:rPr>
      </w:pPr>
      <w:r w:rsidRPr="00725612">
        <w:rPr>
          <w:rStyle w:val="Strong"/>
        </w:rPr>
        <w:t>TCEQ R</w:t>
      </w:r>
      <w:r>
        <w:rPr>
          <w:rStyle w:val="Strong"/>
        </w:rPr>
        <w:t>esponse to EPA Objection B</w:t>
      </w:r>
      <w:r w:rsidRPr="00725612">
        <w:rPr>
          <w:rStyle w:val="Strong"/>
        </w:rPr>
        <w:t>:</w:t>
      </w:r>
      <w:r w:rsidR="0015247D">
        <w:rPr>
          <w:rStyle w:val="Strong"/>
        </w:rPr>
        <w:t xml:space="preserve"> </w:t>
      </w:r>
      <w:r w:rsidR="0015247D" w:rsidRPr="00CF10E6">
        <w:t xml:space="preserve">TCEQ </w:t>
      </w:r>
      <w:r w:rsidR="0015247D">
        <w:t xml:space="preserve">has </w:t>
      </w:r>
      <w:r w:rsidR="0015247D" w:rsidRPr="00CF10E6">
        <w:t>determine</w:t>
      </w:r>
      <w:r w:rsidR="0015247D">
        <w:t>d</w:t>
      </w:r>
      <w:r w:rsidR="0015247D" w:rsidRPr="00CF10E6">
        <w:t xml:space="preserve"> that no adjustments to the emission limits in PAL16 </w:t>
      </w:r>
      <w:r w:rsidR="0015247D">
        <w:t>were</w:t>
      </w:r>
      <w:r w:rsidR="0015247D" w:rsidRPr="00CF10E6">
        <w:t xml:space="preserve"> necessary</w:t>
      </w:r>
      <w:r w:rsidR="0015247D">
        <w:t xml:space="preserve"> and provides the following information in support of </w:t>
      </w:r>
      <w:r w:rsidR="0015247D" w:rsidRPr="00CF10E6">
        <w:t>this decision</w:t>
      </w:r>
      <w:r w:rsidR="0015247D">
        <w:t>: t</w:t>
      </w:r>
      <w:r w:rsidR="0015247D" w:rsidRPr="0015247D">
        <w:rPr>
          <w:rStyle w:val="Strong"/>
          <w:b w:val="0"/>
          <w:bCs w:val="0"/>
        </w:rPr>
        <w:t xml:space="preserve">he VOC Plantwide Applicability Limit (PAL) was designed during the establishment of PAL16 per 30 TAC §116.188, which requires summing the Total Adjusted Baseline Emission Rate and the Significant Emission Rate. The VOC Total Adjusted Baseline Emission Rate as shown in the PAL16 application available in the electronic Central </w:t>
      </w:r>
      <w:r w:rsidR="001929B0">
        <w:rPr>
          <w:rStyle w:val="Strong"/>
          <w:b w:val="0"/>
          <w:bCs w:val="0"/>
        </w:rPr>
        <w:t>File Room Online</w:t>
      </w:r>
      <w:r w:rsidR="0015247D" w:rsidRPr="0015247D">
        <w:rPr>
          <w:rStyle w:val="Strong"/>
          <w:b w:val="0"/>
          <w:bCs w:val="0"/>
        </w:rPr>
        <w:t xml:space="preserve"> </w:t>
      </w:r>
      <w:r w:rsidR="0015247D">
        <w:rPr>
          <w:rStyle w:val="Strong"/>
          <w:b w:val="0"/>
          <w:bCs w:val="0"/>
        </w:rPr>
        <w:t xml:space="preserve">(WCC) </w:t>
      </w:r>
      <w:r w:rsidR="0015247D" w:rsidRPr="0015247D">
        <w:rPr>
          <w:rStyle w:val="Strong"/>
          <w:b w:val="0"/>
          <w:bCs w:val="0"/>
        </w:rPr>
        <w:t>as Content ID 4225192 on page EM-0004 is 1,389.45 tpy. The Significant Emission Rate for VOC as defined in 30 TAC §116.12(20)(A) Table I Major Source/Major Modification Emission Thresholds, is 25 tpy. The sum of these two is 1,414.45 tpy. The VOC Plantwide Applicability Limit which is shown on the Major NSR Summary Table is 1,414.45</w:t>
      </w:r>
      <w:r w:rsidR="0015247D">
        <w:rPr>
          <w:rStyle w:val="Strong"/>
          <w:b w:val="0"/>
          <w:bCs w:val="0"/>
        </w:rPr>
        <w:t xml:space="preserve"> tpy</w:t>
      </w:r>
      <w:r w:rsidR="005157B4" w:rsidRPr="0015247D">
        <w:rPr>
          <w:b/>
          <w:bCs/>
        </w:rPr>
        <w:t>.</w:t>
      </w:r>
      <w:r w:rsidR="0015247D">
        <w:rPr>
          <w:b/>
          <w:bCs/>
        </w:rPr>
        <w:t xml:space="preserve"> </w:t>
      </w:r>
    </w:p>
    <w:p w14:paraId="2D09C980" w14:textId="6B83F8A8" w:rsidR="00CF10E6" w:rsidRDefault="00CF10E6" w:rsidP="00CF10E6"/>
    <w:p w14:paraId="40E737F9" w14:textId="4F138D9E" w:rsidR="00CF10E6" w:rsidRDefault="00CF10E6" w:rsidP="00CF10E6">
      <w:r w:rsidRPr="009458A8">
        <w:rPr>
          <w:rStyle w:val="Strong"/>
        </w:rPr>
        <w:t xml:space="preserve">EPA </w:t>
      </w:r>
      <w:r>
        <w:rPr>
          <w:rStyle w:val="Strong"/>
        </w:rPr>
        <w:t>Objection C</w:t>
      </w:r>
      <w:r w:rsidRPr="009458A8">
        <w:rPr>
          <w:rStyle w:val="Strong"/>
        </w:rPr>
        <w:t>:</w:t>
      </w:r>
      <w:r w:rsidRPr="009458A8">
        <w:t xml:space="preserve"> </w:t>
      </w:r>
      <w:r w:rsidRPr="00CF10E6">
        <w:t>The Revised Proposed Permit Fails to Provide Sufficiently Detailed NESHAP Applicability Determinations</w:t>
      </w:r>
      <w:r>
        <w:t>.</w:t>
      </w:r>
    </w:p>
    <w:p w14:paraId="3C2CCEA0" w14:textId="1DFF9D01" w:rsidR="00CF10E6" w:rsidRDefault="00CF10E6" w:rsidP="00CF10E6"/>
    <w:p w14:paraId="7236F0C6" w14:textId="574B3B1B" w:rsidR="00CF10E6" w:rsidRDefault="00CF10E6" w:rsidP="00CF10E6">
      <w:r>
        <w:t>TCEQ must revise the title V permit to include the applicable requirements of the subpart DDDDD NESHAP. If TCEQ wishes to accomplish this by incorporating certain applicable requirements of subpart DDDDD by reference, it must ensure that the Permit is unambiguous as to which requirements of this subpart (including the emission limitations and</w:t>
      </w:r>
      <w:r w:rsidR="0040468F">
        <w:t xml:space="preserve"> </w:t>
      </w:r>
      <w:r>
        <w:t>standards, as well as the applicable testing, monitoring, recordkeeping, and reporting requirements) are applicable to emission units at the Baytown Chemical Plant.</w:t>
      </w:r>
    </w:p>
    <w:p w14:paraId="65B18A3A" w14:textId="6710BED1" w:rsidR="00CF10E6" w:rsidRDefault="00CF10E6" w:rsidP="00CF10E6"/>
    <w:p w14:paraId="316C2E9D" w14:textId="46C6B181" w:rsidR="004C4EAE" w:rsidRPr="007A07ED" w:rsidRDefault="004C4EAE" w:rsidP="004C4EAE">
      <w:pPr>
        <w:rPr>
          <w:b/>
          <w:bCs/>
        </w:rPr>
      </w:pPr>
      <w:r w:rsidRPr="00725612">
        <w:rPr>
          <w:rStyle w:val="Strong"/>
        </w:rPr>
        <w:t>TCEQ R</w:t>
      </w:r>
      <w:r>
        <w:rPr>
          <w:rStyle w:val="Strong"/>
        </w:rPr>
        <w:t>esponse to EPA Objection C</w:t>
      </w:r>
      <w:r w:rsidRPr="00725612">
        <w:rPr>
          <w:rStyle w:val="Strong"/>
        </w:rPr>
        <w:t>:</w:t>
      </w:r>
      <w:r w:rsidR="0040468F">
        <w:rPr>
          <w:rStyle w:val="Strong"/>
        </w:rPr>
        <w:t xml:space="preserve"> </w:t>
      </w:r>
      <w:r w:rsidR="007A07ED" w:rsidRPr="007A07ED">
        <w:rPr>
          <w:rStyle w:val="Strong"/>
          <w:b w:val="0"/>
          <w:bCs w:val="0"/>
        </w:rPr>
        <w:t xml:space="preserve">As requested, the Proposed Permit was revised to replace the high-level requirements with more specific requirements for 40 CFR Part 63, Subpart DDDDD regulation for units subject to these regulations in the applicable requirements summary (ARS) table (Proposed Permit at Pages </w:t>
      </w:r>
      <w:r w:rsidR="00B26F23">
        <w:rPr>
          <w:rStyle w:val="Strong"/>
          <w:b w:val="0"/>
          <w:bCs w:val="0"/>
        </w:rPr>
        <w:t>126</w:t>
      </w:r>
      <w:r w:rsidR="00B26F23" w:rsidRPr="007A07ED">
        <w:rPr>
          <w:rStyle w:val="Strong"/>
          <w:b w:val="0"/>
          <w:bCs w:val="0"/>
        </w:rPr>
        <w:t xml:space="preserve"> </w:t>
      </w:r>
      <w:r w:rsidR="007A07ED" w:rsidRPr="007A07ED">
        <w:rPr>
          <w:rStyle w:val="Strong"/>
          <w:b w:val="0"/>
          <w:bCs w:val="0"/>
        </w:rPr>
        <w:t xml:space="preserve">through </w:t>
      </w:r>
      <w:r w:rsidR="00B26F23">
        <w:rPr>
          <w:rStyle w:val="Strong"/>
          <w:b w:val="0"/>
          <w:bCs w:val="0"/>
        </w:rPr>
        <w:t>503</w:t>
      </w:r>
      <w:r w:rsidR="007A07ED" w:rsidRPr="007A07ED">
        <w:rPr>
          <w:rStyle w:val="Strong"/>
          <w:b w:val="0"/>
          <w:bCs w:val="0"/>
        </w:rPr>
        <w:t>). The ARS also includes unit specific monitoring and testing, recordkeeping, and reporting requirements including additional periodic monitoring (PM) requirements as needed for these units to assure compliance with all applicable requirements in the Title V permit</w:t>
      </w:r>
      <w:r w:rsidRPr="007A07ED">
        <w:rPr>
          <w:b/>
          <w:bCs/>
        </w:rPr>
        <w:t>.</w:t>
      </w:r>
    </w:p>
    <w:p w14:paraId="08753969" w14:textId="44118E5D" w:rsidR="00CF10E6" w:rsidRDefault="00CF10E6" w:rsidP="00CF10E6"/>
    <w:p w14:paraId="708F5428" w14:textId="095D0B7F" w:rsidR="004C4EAE" w:rsidRDefault="004C4EAE" w:rsidP="00CF10E6">
      <w:pPr>
        <w:rPr>
          <w:rStyle w:val="Strong"/>
          <w:b w:val="0"/>
          <w:bCs w:val="0"/>
        </w:rPr>
      </w:pPr>
      <w:r w:rsidRPr="009458A8">
        <w:rPr>
          <w:rStyle w:val="Strong"/>
        </w:rPr>
        <w:t xml:space="preserve">EPA </w:t>
      </w:r>
      <w:r>
        <w:rPr>
          <w:rStyle w:val="Strong"/>
        </w:rPr>
        <w:t>Objection D</w:t>
      </w:r>
      <w:r w:rsidRPr="009458A8">
        <w:rPr>
          <w:rStyle w:val="Strong"/>
        </w:rPr>
        <w:t>:</w:t>
      </w:r>
      <w:r w:rsidR="00C201FD">
        <w:rPr>
          <w:rStyle w:val="Strong"/>
          <w:b w:val="0"/>
          <w:bCs w:val="0"/>
        </w:rPr>
        <w:t xml:space="preserve"> </w:t>
      </w:r>
      <w:r w:rsidR="00C201FD" w:rsidRPr="00C201FD">
        <w:rPr>
          <w:rStyle w:val="Strong"/>
          <w:b w:val="0"/>
          <w:bCs w:val="0"/>
        </w:rPr>
        <w:t>The Proposed Permit Fails to Assure Compliance with ExxonMobil's Plantwide Applicability Limits</w:t>
      </w:r>
      <w:r w:rsidR="00C201FD">
        <w:rPr>
          <w:rStyle w:val="Strong"/>
          <w:b w:val="0"/>
          <w:bCs w:val="0"/>
        </w:rPr>
        <w:t>.</w:t>
      </w:r>
    </w:p>
    <w:p w14:paraId="518EBBE3" w14:textId="6BCAC882" w:rsidR="00C201FD" w:rsidRDefault="00C201FD" w:rsidP="00CF10E6">
      <w:pPr>
        <w:rPr>
          <w:rStyle w:val="Strong"/>
          <w:b w:val="0"/>
          <w:bCs w:val="0"/>
        </w:rPr>
      </w:pPr>
    </w:p>
    <w:p w14:paraId="546B1318" w14:textId="74DDFC5D" w:rsidR="00C201FD" w:rsidRPr="00C201FD" w:rsidRDefault="00C201FD" w:rsidP="00C201FD">
      <w:pPr>
        <w:rPr>
          <w:rStyle w:val="Strong"/>
          <w:b w:val="0"/>
          <w:bCs w:val="0"/>
        </w:rPr>
      </w:pPr>
      <w:r w:rsidRPr="005E466C">
        <w:rPr>
          <w:rStyle w:val="Strong"/>
          <w:b w:val="0"/>
          <w:bCs w:val="0"/>
        </w:rPr>
        <w:t>TCEQ must amend the permit record to respond to the comments concerning the monitoring supporting the PAL emission limits in Permit No. 2021</w:t>
      </w:r>
      <w:r w:rsidR="0040468F" w:rsidRPr="005E466C">
        <w:rPr>
          <w:rStyle w:val="Strong"/>
          <w:b w:val="0"/>
          <w:bCs w:val="0"/>
        </w:rPr>
        <w:t>1</w:t>
      </w:r>
      <w:r w:rsidRPr="005E466C">
        <w:rPr>
          <w:rStyle w:val="Strong"/>
          <w:b w:val="0"/>
          <w:bCs w:val="0"/>
        </w:rPr>
        <w:t>/PAL16, and to provide a justification for said monitoring.</w:t>
      </w:r>
      <w:r w:rsidRPr="00C201FD">
        <w:rPr>
          <w:rStyle w:val="Strong"/>
          <w:b w:val="0"/>
          <w:bCs w:val="0"/>
        </w:rPr>
        <w:t xml:space="preserve"> Ultimately, TCEQ must ensure that the Permit contains sufficient monitoring for all units subject to the PALs (including units that are authorized by PBRs, as noted in Claim G). In responding to comments and considering whether the Permit needs to be amended to include or more clearly identify the relevant monitoring, TCEQ should keep in mind the direction provided by the EPA in recent title V petition orders.</w:t>
      </w:r>
    </w:p>
    <w:p w14:paraId="5D7B0348" w14:textId="0E7BC49D" w:rsidR="00C201FD" w:rsidRPr="00C201FD" w:rsidRDefault="00C201FD" w:rsidP="00C201FD">
      <w:pPr>
        <w:rPr>
          <w:rStyle w:val="Strong"/>
          <w:b w:val="0"/>
          <w:bCs w:val="0"/>
        </w:rPr>
      </w:pPr>
      <w:r w:rsidRPr="00C201FD">
        <w:rPr>
          <w:rStyle w:val="Strong"/>
          <w:b w:val="0"/>
          <w:bCs w:val="0"/>
        </w:rPr>
        <w:t>For example, TCEQ must ensure that the permit clearly identifies the specific location of any</w:t>
      </w:r>
      <w:r>
        <w:rPr>
          <w:rStyle w:val="Strong"/>
          <w:b w:val="0"/>
          <w:bCs w:val="0"/>
        </w:rPr>
        <w:t xml:space="preserve"> </w:t>
      </w:r>
      <w:r w:rsidRPr="00C201FD">
        <w:rPr>
          <w:rStyle w:val="Strong"/>
          <w:b w:val="0"/>
          <w:bCs w:val="0"/>
        </w:rPr>
        <w:t>monitoring or emission calculation methods specified in a permit application (which must be readily available). See, e.g., In the Matter of Kinder Morgan Crude &amp; Condensate LLC, Galena Park Terminal, Order on Petition No. VI-2017-15 at 18-20 (December 16, 2021); In the Matter of Premcor Refining Group Inc., Valero Port Arthur Refinery, Order on Petition No. VI-2018-4 at 26-28 (November 30, 2021).</w:t>
      </w:r>
    </w:p>
    <w:p w14:paraId="393F4FA6" w14:textId="4CDF5EC2" w:rsidR="004C4EAE" w:rsidRDefault="004C4EAE" w:rsidP="00CF10E6">
      <w:pPr>
        <w:rPr>
          <w:rStyle w:val="Strong"/>
        </w:rPr>
      </w:pPr>
    </w:p>
    <w:p w14:paraId="26F88E34" w14:textId="75748DBE" w:rsidR="009C4891" w:rsidRDefault="004C4EAE" w:rsidP="0081338E">
      <w:r w:rsidRPr="00725612">
        <w:rPr>
          <w:rStyle w:val="Strong"/>
        </w:rPr>
        <w:t>TCEQ R</w:t>
      </w:r>
      <w:r>
        <w:rPr>
          <w:rStyle w:val="Strong"/>
        </w:rPr>
        <w:t>esponse to EPA Objection D</w:t>
      </w:r>
      <w:r w:rsidRPr="0081338E">
        <w:rPr>
          <w:rStyle w:val="Strong"/>
        </w:rPr>
        <w:t>:</w:t>
      </w:r>
      <w:r w:rsidR="0081338E" w:rsidRPr="0081338E">
        <w:rPr>
          <w:rStyle w:val="Strong"/>
          <w:b w:val="0"/>
          <w:bCs w:val="0"/>
        </w:rPr>
        <w:t xml:space="preserve"> </w:t>
      </w:r>
      <w:r w:rsidR="009C4891">
        <w:rPr>
          <w:rStyle w:val="Strong"/>
          <w:b w:val="0"/>
          <w:bCs w:val="0"/>
        </w:rPr>
        <w:t xml:space="preserve">As stated in TCEQ response to EPA Objection A, </w:t>
      </w:r>
      <w:r w:rsidR="009C4891">
        <w:t>the applicant has voluntarily submitted a summary table for NSR permits 20211 and PAL16 (structured similar to the Major NSR Summary Table for Non-attainment and PSD permits). This new summary table, which documents the applicable unit ID, pollutant, emission limits and MRRT requirements</w:t>
      </w:r>
      <w:r w:rsidR="004C572C">
        <w:t xml:space="preserve"> </w:t>
      </w:r>
      <w:r w:rsidR="004C572C" w:rsidRPr="0081338E">
        <w:rPr>
          <w:rStyle w:val="Strong"/>
          <w:b w:val="0"/>
          <w:bCs w:val="0"/>
        </w:rPr>
        <w:t>to demonstrate ongoing compliance</w:t>
      </w:r>
      <w:r w:rsidR="009C4891">
        <w:t xml:space="preserve">, is included in the Proposed Permit at pages </w:t>
      </w:r>
      <w:r w:rsidR="00B26F23">
        <w:t xml:space="preserve">662 </w:t>
      </w:r>
      <w:r w:rsidR="009C4891">
        <w:t xml:space="preserve">through </w:t>
      </w:r>
      <w:r w:rsidR="00B26F23">
        <w:t>686</w:t>
      </w:r>
      <w:r w:rsidR="009C4891">
        <w:t>.</w:t>
      </w:r>
    </w:p>
    <w:p w14:paraId="086949E2" w14:textId="77777777" w:rsidR="009C4891" w:rsidRDefault="009C4891" w:rsidP="0081338E"/>
    <w:p w14:paraId="4EAC2BF7" w14:textId="6FE0F501" w:rsidR="0081338E" w:rsidRPr="0081338E" w:rsidRDefault="00453009" w:rsidP="0081338E">
      <w:pPr>
        <w:rPr>
          <w:rStyle w:val="Strong"/>
          <w:b w:val="0"/>
          <w:bCs w:val="0"/>
        </w:rPr>
      </w:pPr>
      <w:r>
        <w:rPr>
          <w:rStyle w:val="Strong"/>
          <w:b w:val="0"/>
          <w:bCs w:val="0"/>
        </w:rPr>
        <w:t>T</w:t>
      </w:r>
      <w:r w:rsidR="0081338E" w:rsidRPr="0081338E">
        <w:rPr>
          <w:rStyle w:val="Strong"/>
          <w:b w:val="0"/>
          <w:bCs w:val="0"/>
        </w:rPr>
        <w:t xml:space="preserve">he monitoring systems required by </w:t>
      </w:r>
      <w:r>
        <w:t xml:space="preserve">NSR permits 20211 and PAL16 </w:t>
      </w:r>
      <w:r w:rsidR="0081338E" w:rsidRPr="0081338E">
        <w:rPr>
          <w:rStyle w:val="Strong"/>
          <w:b w:val="0"/>
          <w:bCs w:val="0"/>
        </w:rPr>
        <w:t xml:space="preserve">meet the requirements for a PAL monitoring system as described in 30 TAC § 116.186(c). Specifically, CEMS or emission factors are used </w:t>
      </w:r>
    </w:p>
    <w:p w14:paraId="17A124EC" w14:textId="3972EFD1" w:rsidR="004C4EAE" w:rsidRDefault="0081338E" w:rsidP="0081338E">
      <w:pPr>
        <w:rPr>
          <w:b/>
          <w:bCs/>
        </w:rPr>
      </w:pPr>
      <w:r w:rsidRPr="0081338E">
        <w:rPr>
          <w:rStyle w:val="Strong"/>
          <w:b w:val="0"/>
          <w:bCs w:val="0"/>
        </w:rPr>
        <w:t xml:space="preserve">to monitor PAL pollutant emissions. CEMS will be used to demonstrate ongoing compliance with NOx and CO limits. Compliance with the VOC and SO2 emission limits will be demonstrated using monitored operating parameters (e.g., fuel flow to furnaces) and emission factors represented by Exxon Mobil. As part of the technical review of the </w:t>
      </w:r>
      <w:r w:rsidR="00AC631B">
        <w:rPr>
          <w:rStyle w:val="Strong"/>
          <w:b w:val="0"/>
          <w:bCs w:val="0"/>
        </w:rPr>
        <w:t xml:space="preserve">NSR </w:t>
      </w:r>
      <w:r w:rsidRPr="0081338E">
        <w:rPr>
          <w:rStyle w:val="Strong"/>
          <w:b w:val="0"/>
          <w:bCs w:val="0"/>
        </w:rPr>
        <w:t>permit application, monitoring of PAL pollutants was evaluated for adequacy of ongoing compliance with the PAL limits. Exxon Mobil's monitoring and recordkeeping requirements are consistent with those required of all NSR applicants</w:t>
      </w:r>
      <w:r w:rsidR="004C4EAE" w:rsidRPr="0081338E">
        <w:rPr>
          <w:b/>
          <w:bCs/>
        </w:rPr>
        <w:t>.</w:t>
      </w:r>
    </w:p>
    <w:p w14:paraId="096703B7" w14:textId="50062E57" w:rsidR="00182D12" w:rsidRDefault="00182D12" w:rsidP="0081338E">
      <w:pPr>
        <w:rPr>
          <w:b/>
          <w:bCs/>
        </w:rPr>
      </w:pPr>
    </w:p>
    <w:p w14:paraId="3B179F79" w14:textId="5B40E7FC" w:rsidR="004C4EAE" w:rsidRPr="005E466C" w:rsidRDefault="00D50351" w:rsidP="004C4EAE">
      <w:pPr>
        <w:rPr>
          <w:rStyle w:val="Strong"/>
          <w:b w:val="0"/>
          <w:bCs w:val="0"/>
        </w:rPr>
      </w:pPr>
      <w:r w:rsidRPr="005E466C">
        <w:rPr>
          <w:rStyle w:val="Strong"/>
          <w:b w:val="0"/>
          <w:bCs w:val="0"/>
        </w:rPr>
        <w:t xml:space="preserve">Special Condition 16 of Flexible Permit 20211 / PAL 16 refers to the Flexible Permit 20211 renewal application submitted January 2006 (Project No. 120294), and a Flexible Permit 20211 amendment application submitted July 2006 (Project No. 123806).  Both of these applications are available in the </w:t>
      </w:r>
      <w:r w:rsidR="00D14B5B" w:rsidRPr="005E466C">
        <w:rPr>
          <w:rStyle w:val="Strong"/>
          <w:b w:val="0"/>
          <w:bCs w:val="0"/>
        </w:rPr>
        <w:t>464-page</w:t>
      </w:r>
      <w:r w:rsidRPr="005E466C">
        <w:rPr>
          <w:rStyle w:val="Strong"/>
          <w:b w:val="0"/>
          <w:bCs w:val="0"/>
        </w:rPr>
        <w:t xml:space="preserve"> pdf in the electronic Central </w:t>
      </w:r>
      <w:r w:rsidR="00D14B5B" w:rsidRPr="005E466C">
        <w:rPr>
          <w:rStyle w:val="Strong"/>
          <w:b w:val="0"/>
          <w:bCs w:val="0"/>
        </w:rPr>
        <w:t xml:space="preserve">File </w:t>
      </w:r>
      <w:r w:rsidRPr="005E466C">
        <w:rPr>
          <w:rStyle w:val="Strong"/>
          <w:b w:val="0"/>
          <w:bCs w:val="0"/>
        </w:rPr>
        <w:t xml:space="preserve">Records </w:t>
      </w:r>
      <w:r w:rsidR="00D14B5B" w:rsidRPr="005E466C">
        <w:rPr>
          <w:rStyle w:val="Strong"/>
          <w:b w:val="0"/>
          <w:bCs w:val="0"/>
        </w:rPr>
        <w:t xml:space="preserve">(CFR) </w:t>
      </w:r>
      <w:r w:rsidRPr="005E466C">
        <w:rPr>
          <w:rStyle w:val="Strong"/>
          <w:b w:val="0"/>
          <w:bCs w:val="0"/>
        </w:rPr>
        <w:t xml:space="preserve">identified as </w:t>
      </w:r>
      <w:r w:rsidR="00D14B5B" w:rsidRPr="005E466C">
        <w:rPr>
          <w:rStyle w:val="Strong"/>
          <w:b w:val="0"/>
          <w:bCs w:val="0"/>
        </w:rPr>
        <w:t xml:space="preserve">WCC </w:t>
      </w:r>
      <w:r w:rsidRPr="005E466C">
        <w:rPr>
          <w:rStyle w:val="Strong"/>
          <w:b w:val="0"/>
          <w:bCs w:val="0"/>
        </w:rPr>
        <w:t>Content ID 523867.  The calculation methodology referenced by the Special Condition is discussed in the narrative at p</w:t>
      </w:r>
      <w:r w:rsidR="00D14B5B" w:rsidRPr="005E466C">
        <w:rPr>
          <w:rStyle w:val="Strong"/>
          <w:b w:val="0"/>
          <w:bCs w:val="0"/>
        </w:rPr>
        <w:t>a</w:t>
      </w:r>
      <w:r w:rsidRPr="005E466C">
        <w:rPr>
          <w:rStyle w:val="Strong"/>
          <w:b w:val="0"/>
          <w:bCs w:val="0"/>
        </w:rPr>
        <w:t>g</w:t>
      </w:r>
      <w:r w:rsidR="00D14B5B" w:rsidRPr="005E466C">
        <w:rPr>
          <w:rStyle w:val="Strong"/>
          <w:b w:val="0"/>
          <w:bCs w:val="0"/>
        </w:rPr>
        <w:t>e</w:t>
      </w:r>
      <w:r w:rsidRPr="005E466C">
        <w:rPr>
          <w:rStyle w:val="Strong"/>
          <w:b w:val="0"/>
          <w:bCs w:val="0"/>
        </w:rPr>
        <w:t xml:space="preserve">s 299 to </w:t>
      </w:r>
      <w:r w:rsidRPr="005E466C">
        <w:rPr>
          <w:rStyle w:val="Strong"/>
          <w:b w:val="0"/>
          <w:bCs w:val="0"/>
        </w:rPr>
        <w:lastRenderedPageBreak/>
        <w:t xml:space="preserve">304 for the renewal, and at </w:t>
      </w:r>
      <w:r w:rsidR="00D14B5B" w:rsidRPr="005E466C">
        <w:rPr>
          <w:rStyle w:val="Strong"/>
          <w:b w:val="0"/>
          <w:bCs w:val="0"/>
        </w:rPr>
        <w:t>pages</w:t>
      </w:r>
      <w:r w:rsidRPr="005E466C">
        <w:rPr>
          <w:rStyle w:val="Strong"/>
          <w:b w:val="0"/>
          <w:bCs w:val="0"/>
        </w:rPr>
        <w:t xml:space="preserve"> 185 through 187 for the amendment.  Additionally, detailed calculations for the same emission sources and summarized in relation to PAL16 are available in the electronic </w:t>
      </w:r>
      <w:r w:rsidR="00D14B5B" w:rsidRPr="005E466C">
        <w:rPr>
          <w:rStyle w:val="Strong"/>
          <w:b w:val="0"/>
          <w:bCs w:val="0"/>
        </w:rPr>
        <w:t>CFR</w:t>
      </w:r>
      <w:r w:rsidRPr="005E466C">
        <w:rPr>
          <w:rStyle w:val="Strong"/>
          <w:b w:val="0"/>
          <w:bCs w:val="0"/>
        </w:rPr>
        <w:t xml:space="preserve"> as </w:t>
      </w:r>
      <w:r w:rsidR="00D14B5B" w:rsidRPr="005E466C">
        <w:rPr>
          <w:rStyle w:val="Strong"/>
          <w:b w:val="0"/>
          <w:bCs w:val="0"/>
        </w:rPr>
        <w:t xml:space="preserve">WCC </w:t>
      </w:r>
      <w:r w:rsidRPr="005E466C">
        <w:rPr>
          <w:rStyle w:val="Strong"/>
          <w:b w:val="0"/>
          <w:bCs w:val="0"/>
        </w:rPr>
        <w:t>Content ID 4225192.</w:t>
      </w:r>
    </w:p>
    <w:p w14:paraId="5A5CA6DC" w14:textId="77777777" w:rsidR="00945E8D" w:rsidRDefault="00945E8D" w:rsidP="002823C9">
      <w:pPr>
        <w:rPr>
          <w:rStyle w:val="Strong"/>
          <w:b w:val="0"/>
          <w:bCs w:val="0"/>
        </w:rPr>
      </w:pPr>
    </w:p>
    <w:p w14:paraId="13388993" w14:textId="2F7A2F7F" w:rsidR="002823C9" w:rsidRPr="005E466C" w:rsidRDefault="002823C9" w:rsidP="002823C9">
      <w:pPr>
        <w:rPr>
          <w:rStyle w:val="Strong"/>
          <w:b w:val="0"/>
          <w:bCs w:val="0"/>
        </w:rPr>
      </w:pPr>
      <w:r w:rsidRPr="005E466C">
        <w:rPr>
          <w:rStyle w:val="Strong"/>
          <w:b w:val="0"/>
          <w:bCs w:val="0"/>
        </w:rPr>
        <w:t xml:space="preserve">Both state and federal PAL regulations require monitoring systems to demonstrate compliance with all emissions of a PAL compound for facilities that emit PAL pollutants at the site. A monitoring system may </w:t>
      </w:r>
      <w:r w:rsidR="00035751" w:rsidRPr="005E466C">
        <w:rPr>
          <w:rStyle w:val="Strong"/>
          <w:b w:val="0"/>
          <w:bCs w:val="0"/>
        </w:rPr>
        <w:t>use</w:t>
      </w:r>
      <w:r w:rsidRPr="005E466C">
        <w:rPr>
          <w:rStyle w:val="Strong"/>
          <w:b w:val="0"/>
          <w:bCs w:val="0"/>
        </w:rPr>
        <w:t xml:space="preserve"> several different types of monitoring methods to calculate mass emissions depending on the source and the pollutant. Monitoring systems installed at the site </w:t>
      </w:r>
      <w:r w:rsidR="009E2A59" w:rsidRPr="005E466C">
        <w:rPr>
          <w:rStyle w:val="Strong"/>
          <w:b w:val="0"/>
          <w:bCs w:val="0"/>
        </w:rPr>
        <w:t xml:space="preserve">include continuous emissions monitoring systems (“CEMS”) </w:t>
      </w:r>
      <w:r w:rsidR="005B43F6" w:rsidRPr="005E466C">
        <w:rPr>
          <w:rStyle w:val="Strong"/>
          <w:b w:val="0"/>
          <w:bCs w:val="0"/>
        </w:rPr>
        <w:t>that</w:t>
      </w:r>
      <w:r w:rsidR="009E2A59" w:rsidRPr="005E466C">
        <w:rPr>
          <w:rStyle w:val="Strong"/>
          <w:b w:val="0"/>
          <w:bCs w:val="0"/>
        </w:rPr>
        <w:t xml:space="preserve"> </w:t>
      </w:r>
      <w:r w:rsidRPr="005E466C">
        <w:rPr>
          <w:rStyle w:val="Strong"/>
          <w:b w:val="0"/>
          <w:bCs w:val="0"/>
        </w:rPr>
        <w:t>are used to calculate emissions on a mass basis to demonstrate compliance with PAL16</w:t>
      </w:r>
      <w:r w:rsidR="004859FB" w:rsidRPr="005E466C">
        <w:rPr>
          <w:rStyle w:val="Strong"/>
          <w:b w:val="0"/>
          <w:bCs w:val="0"/>
        </w:rPr>
        <w:t xml:space="preserve"> </w:t>
      </w:r>
      <w:r w:rsidR="005B43F6" w:rsidRPr="005E466C">
        <w:rPr>
          <w:rStyle w:val="Strong"/>
          <w:b w:val="0"/>
          <w:bCs w:val="0"/>
        </w:rPr>
        <w:t xml:space="preserve">by </w:t>
      </w:r>
      <w:r w:rsidR="004859FB" w:rsidRPr="005E466C">
        <w:rPr>
          <w:rStyle w:val="Strong"/>
          <w:b w:val="0"/>
          <w:bCs w:val="0"/>
        </w:rPr>
        <w:t xml:space="preserve">using information from the CEMS </w:t>
      </w:r>
      <w:r w:rsidRPr="005E466C">
        <w:rPr>
          <w:rStyle w:val="Strong"/>
          <w:b w:val="0"/>
          <w:bCs w:val="0"/>
        </w:rPr>
        <w:t>and emission factors which are authorized by 30 TAC §116.186(c)(3) and 40 CFR §52.21(aa)(12)(i)(b). The monitor</w:t>
      </w:r>
      <w:r w:rsidR="005B43F6" w:rsidRPr="005E466C">
        <w:rPr>
          <w:rStyle w:val="Strong"/>
          <w:b w:val="0"/>
          <w:bCs w:val="0"/>
        </w:rPr>
        <w:t>ed</w:t>
      </w:r>
      <w:r w:rsidRPr="005E466C">
        <w:rPr>
          <w:rStyle w:val="Strong"/>
          <w:b w:val="0"/>
          <w:bCs w:val="0"/>
        </w:rPr>
        <w:t xml:space="preserve"> data </w:t>
      </w:r>
      <w:r w:rsidR="005B43F6" w:rsidRPr="005E466C">
        <w:rPr>
          <w:rStyle w:val="Strong"/>
          <w:b w:val="0"/>
          <w:bCs w:val="0"/>
        </w:rPr>
        <w:t>is</w:t>
      </w:r>
      <w:r w:rsidRPr="005E466C">
        <w:rPr>
          <w:rStyle w:val="Strong"/>
          <w:b w:val="0"/>
          <w:bCs w:val="0"/>
        </w:rPr>
        <w:t xml:space="preserve"> used to calculate mass emissions for each PAL compound </w:t>
      </w:r>
      <w:r w:rsidR="003C3974" w:rsidRPr="005E466C">
        <w:rPr>
          <w:rStyle w:val="Strong"/>
          <w:b w:val="0"/>
          <w:bCs w:val="0"/>
        </w:rPr>
        <w:t>monthly,</w:t>
      </w:r>
      <w:r w:rsidRPr="005E466C">
        <w:rPr>
          <w:rStyle w:val="Strong"/>
          <w:b w:val="0"/>
          <w:bCs w:val="0"/>
        </w:rPr>
        <w:t xml:space="preserve"> which are summed in a 12-month total and compared to the PAL limit.</w:t>
      </w:r>
    </w:p>
    <w:p w14:paraId="7B028FC2" w14:textId="77777777" w:rsidR="002823C9" w:rsidRPr="005E466C" w:rsidRDefault="002823C9" w:rsidP="002823C9">
      <w:pPr>
        <w:rPr>
          <w:rStyle w:val="Strong"/>
          <w:b w:val="0"/>
          <w:bCs w:val="0"/>
        </w:rPr>
      </w:pPr>
    </w:p>
    <w:p w14:paraId="2C5210FF" w14:textId="5ECC78E5" w:rsidR="002823C9" w:rsidRPr="005E466C" w:rsidRDefault="002823C9" w:rsidP="002823C9">
      <w:pPr>
        <w:rPr>
          <w:rStyle w:val="Strong"/>
          <w:b w:val="0"/>
          <w:bCs w:val="0"/>
        </w:rPr>
      </w:pPr>
      <w:r w:rsidRPr="005E466C">
        <w:rPr>
          <w:rStyle w:val="Strong"/>
          <w:b w:val="0"/>
          <w:bCs w:val="0"/>
        </w:rPr>
        <w:t xml:space="preserve">The PAL </w:t>
      </w:r>
      <w:r w:rsidR="003C3974" w:rsidRPr="005E466C">
        <w:rPr>
          <w:rStyle w:val="Strong"/>
          <w:b w:val="0"/>
          <w:bCs w:val="0"/>
        </w:rPr>
        <w:t>regulations</w:t>
      </w:r>
      <w:r w:rsidRPr="005E466C">
        <w:rPr>
          <w:rStyle w:val="Strong"/>
          <w:b w:val="0"/>
          <w:bCs w:val="0"/>
        </w:rPr>
        <w:t xml:space="preserve"> require a revalidation of monitoring data which is not restricted to </w:t>
      </w:r>
      <w:r w:rsidR="00017309" w:rsidRPr="005E466C">
        <w:rPr>
          <w:rStyle w:val="Strong"/>
          <w:b w:val="0"/>
          <w:bCs w:val="0"/>
        </w:rPr>
        <w:t>performance</w:t>
      </w:r>
      <w:r w:rsidR="003C3974" w:rsidRPr="005E466C">
        <w:rPr>
          <w:rStyle w:val="Strong"/>
          <w:b w:val="0"/>
          <w:bCs w:val="0"/>
        </w:rPr>
        <w:t>/</w:t>
      </w:r>
      <w:r w:rsidRPr="005E466C">
        <w:rPr>
          <w:rStyle w:val="Strong"/>
          <w:b w:val="0"/>
          <w:bCs w:val="0"/>
        </w:rPr>
        <w:t>stack testing</w:t>
      </w:r>
      <w:r w:rsidR="00017309" w:rsidRPr="005E466C">
        <w:rPr>
          <w:rStyle w:val="Strong"/>
          <w:b w:val="0"/>
          <w:bCs w:val="0"/>
        </w:rPr>
        <w:t xml:space="preserve"> alone</w:t>
      </w:r>
      <w:r w:rsidRPr="005E466C">
        <w:rPr>
          <w:rStyle w:val="Strong"/>
          <w:b w:val="0"/>
          <w:bCs w:val="0"/>
        </w:rPr>
        <w:t xml:space="preserve">. </w:t>
      </w:r>
      <w:r w:rsidR="00017309" w:rsidRPr="005E466C">
        <w:rPr>
          <w:rStyle w:val="Strong"/>
          <w:b w:val="0"/>
          <w:bCs w:val="0"/>
        </w:rPr>
        <w:t xml:space="preserve">Specifically, </w:t>
      </w:r>
      <w:r w:rsidRPr="005E466C">
        <w:rPr>
          <w:rStyle w:val="Strong"/>
          <w:b w:val="0"/>
          <w:bCs w:val="0"/>
        </w:rPr>
        <w:t xml:space="preserve">40 CFR §51.166(w)(12)(ix) states, “All data used to establish the PAL pollutant must be re-validated through performance testing or other scientifically valid means approved by the reviewing authority.” The PAL 2002 preamble provides further discussion on revalidation and specifically states that revalidation includes actions taken to “revalidate the data and any correlation to demonstrate that your monitoring systems continue to determine emissions from each unit subject to a PAL.” See 67 Fed. Reg. 80211. </w:t>
      </w:r>
    </w:p>
    <w:p w14:paraId="6362C281" w14:textId="6A75910A" w:rsidR="002823C9" w:rsidRPr="005E466C" w:rsidRDefault="002823C9" w:rsidP="002823C9">
      <w:pPr>
        <w:rPr>
          <w:rStyle w:val="Strong"/>
          <w:b w:val="0"/>
          <w:bCs w:val="0"/>
        </w:rPr>
      </w:pPr>
    </w:p>
    <w:p w14:paraId="6AC1A347" w14:textId="5A58A73C" w:rsidR="00C01116" w:rsidRPr="005E466C" w:rsidRDefault="0062020D" w:rsidP="002823C9">
      <w:pPr>
        <w:rPr>
          <w:rStyle w:val="Strong"/>
          <w:b w:val="0"/>
          <w:bCs w:val="0"/>
        </w:rPr>
      </w:pPr>
      <w:r w:rsidRPr="005E466C">
        <w:rPr>
          <w:rStyle w:val="Strong"/>
          <w:b w:val="0"/>
          <w:bCs w:val="0"/>
        </w:rPr>
        <w:t xml:space="preserve">TCEQ’s NSR permits specify </w:t>
      </w:r>
      <w:r w:rsidR="00A25BEE" w:rsidRPr="005E466C">
        <w:rPr>
          <w:rStyle w:val="Strong"/>
          <w:b w:val="0"/>
          <w:bCs w:val="0"/>
        </w:rPr>
        <w:t xml:space="preserve">well accepted, </w:t>
      </w:r>
      <w:r w:rsidRPr="005E466C">
        <w:rPr>
          <w:rStyle w:val="Strong"/>
          <w:b w:val="0"/>
          <w:bCs w:val="0"/>
        </w:rPr>
        <w:t xml:space="preserve">standardized monitoring methods that </w:t>
      </w:r>
      <w:r w:rsidR="00624F98" w:rsidRPr="005E466C">
        <w:rPr>
          <w:rStyle w:val="Strong"/>
          <w:b w:val="0"/>
          <w:bCs w:val="0"/>
        </w:rPr>
        <w:t>include</w:t>
      </w:r>
      <w:r w:rsidRPr="005E466C">
        <w:rPr>
          <w:rStyle w:val="Strong"/>
          <w:b w:val="0"/>
          <w:bCs w:val="0"/>
        </w:rPr>
        <w:t xml:space="preserve"> validati</w:t>
      </w:r>
      <w:r w:rsidR="00624F98" w:rsidRPr="005E466C">
        <w:rPr>
          <w:rStyle w:val="Strong"/>
          <w:b w:val="0"/>
          <w:bCs w:val="0"/>
        </w:rPr>
        <w:t>on of</w:t>
      </w:r>
      <w:r w:rsidRPr="005E466C">
        <w:rPr>
          <w:rStyle w:val="Strong"/>
          <w:b w:val="0"/>
          <w:bCs w:val="0"/>
        </w:rPr>
        <w:t xml:space="preserve"> data in their </w:t>
      </w:r>
      <w:r w:rsidR="00422F69" w:rsidRPr="005E466C">
        <w:rPr>
          <w:rStyle w:val="Strong"/>
          <w:b w:val="0"/>
          <w:bCs w:val="0"/>
        </w:rPr>
        <w:t>QA/QC</w:t>
      </w:r>
      <w:r w:rsidRPr="005E466C">
        <w:rPr>
          <w:rStyle w:val="Strong"/>
          <w:b w:val="0"/>
          <w:bCs w:val="0"/>
        </w:rPr>
        <w:t xml:space="preserve"> procedures</w:t>
      </w:r>
      <w:r w:rsidR="00A25BEE" w:rsidRPr="005E466C">
        <w:rPr>
          <w:rStyle w:val="Strong"/>
          <w:b w:val="0"/>
          <w:bCs w:val="0"/>
        </w:rPr>
        <w:t xml:space="preserve"> to ensure</w:t>
      </w:r>
      <w:r w:rsidRPr="005E466C">
        <w:rPr>
          <w:rStyle w:val="Strong"/>
          <w:b w:val="0"/>
          <w:bCs w:val="0"/>
        </w:rPr>
        <w:t xml:space="preserve"> </w:t>
      </w:r>
      <w:r w:rsidR="00422F69" w:rsidRPr="005E466C">
        <w:rPr>
          <w:rStyle w:val="Strong"/>
          <w:b w:val="0"/>
          <w:bCs w:val="0"/>
        </w:rPr>
        <w:t xml:space="preserve">validation of </w:t>
      </w:r>
      <w:r w:rsidRPr="005E466C">
        <w:rPr>
          <w:rStyle w:val="Strong"/>
          <w:b w:val="0"/>
          <w:bCs w:val="0"/>
        </w:rPr>
        <w:t>emissions data</w:t>
      </w:r>
      <w:r w:rsidR="00C01116" w:rsidRPr="005E466C">
        <w:rPr>
          <w:rStyle w:val="Strong"/>
          <w:b w:val="0"/>
          <w:bCs w:val="0"/>
        </w:rPr>
        <w:t xml:space="preserve"> and </w:t>
      </w:r>
      <w:r w:rsidRPr="005E466C">
        <w:rPr>
          <w:rStyle w:val="Strong"/>
          <w:b w:val="0"/>
          <w:bCs w:val="0"/>
        </w:rPr>
        <w:t xml:space="preserve">are </w:t>
      </w:r>
      <w:r w:rsidR="0054686A" w:rsidRPr="005E466C">
        <w:rPr>
          <w:rStyle w:val="Strong"/>
          <w:b w:val="0"/>
          <w:bCs w:val="0"/>
        </w:rPr>
        <w:t>consistent</w:t>
      </w:r>
      <w:r w:rsidR="007F1CE0" w:rsidRPr="005E466C">
        <w:rPr>
          <w:rStyle w:val="Strong"/>
          <w:b w:val="0"/>
          <w:bCs w:val="0"/>
        </w:rPr>
        <w:t xml:space="preserve"> with EPA </w:t>
      </w:r>
      <w:r w:rsidR="0054686A" w:rsidRPr="005E466C">
        <w:rPr>
          <w:rStyle w:val="Strong"/>
          <w:b w:val="0"/>
          <w:bCs w:val="0"/>
        </w:rPr>
        <w:t xml:space="preserve">approved </w:t>
      </w:r>
      <w:r w:rsidR="007F1CE0" w:rsidRPr="005E466C">
        <w:rPr>
          <w:rStyle w:val="Strong"/>
          <w:b w:val="0"/>
          <w:bCs w:val="0"/>
        </w:rPr>
        <w:t>methods for verification of emissions data</w:t>
      </w:r>
      <w:r w:rsidRPr="005E466C">
        <w:rPr>
          <w:rStyle w:val="Strong"/>
          <w:b w:val="0"/>
          <w:bCs w:val="0"/>
        </w:rPr>
        <w:t>.</w:t>
      </w:r>
      <w:r w:rsidR="00A25BEE" w:rsidRPr="005E466C">
        <w:rPr>
          <w:rStyle w:val="Strong"/>
          <w:b w:val="0"/>
          <w:bCs w:val="0"/>
        </w:rPr>
        <w:t xml:space="preserve"> </w:t>
      </w:r>
    </w:p>
    <w:p w14:paraId="5727D3A8" w14:textId="77777777" w:rsidR="00C01116" w:rsidRPr="005E466C" w:rsidRDefault="00C01116" w:rsidP="002823C9">
      <w:pPr>
        <w:rPr>
          <w:rStyle w:val="Strong"/>
          <w:b w:val="0"/>
          <w:bCs w:val="0"/>
        </w:rPr>
      </w:pPr>
    </w:p>
    <w:p w14:paraId="3B4A22A5" w14:textId="014C665B" w:rsidR="009F52B0" w:rsidRPr="005E466C" w:rsidRDefault="009F52B0" w:rsidP="002823C9">
      <w:pPr>
        <w:rPr>
          <w:rStyle w:val="Strong"/>
          <w:b w:val="0"/>
          <w:bCs w:val="0"/>
        </w:rPr>
      </w:pPr>
      <w:r w:rsidRPr="005E466C">
        <w:rPr>
          <w:rStyle w:val="Strong"/>
          <w:b w:val="0"/>
          <w:bCs w:val="0"/>
        </w:rPr>
        <w:t xml:space="preserve">Where CEMS are used for monitoring, </w:t>
      </w:r>
      <w:r w:rsidR="009C234B" w:rsidRPr="005E466C">
        <w:rPr>
          <w:rStyle w:val="Strong"/>
          <w:b w:val="0"/>
          <w:bCs w:val="0"/>
        </w:rPr>
        <w:t xml:space="preserve">Special Condition (SC) No. </w:t>
      </w:r>
      <w:r w:rsidRPr="005E466C">
        <w:rPr>
          <w:rStyle w:val="Strong"/>
          <w:b w:val="0"/>
          <w:bCs w:val="0"/>
        </w:rPr>
        <w:t xml:space="preserve">13 </w:t>
      </w:r>
      <w:r w:rsidR="00EE083A" w:rsidRPr="005E466C">
        <w:rPr>
          <w:rStyle w:val="Strong"/>
          <w:b w:val="0"/>
          <w:bCs w:val="0"/>
        </w:rPr>
        <w:t xml:space="preserve">of NSR Permit 20211 / PAL16 </w:t>
      </w:r>
      <w:r w:rsidRPr="005E466C">
        <w:rPr>
          <w:rStyle w:val="Strong"/>
          <w:b w:val="0"/>
          <w:bCs w:val="0"/>
        </w:rPr>
        <w:t xml:space="preserve">specifies </w:t>
      </w:r>
      <w:r w:rsidR="00EE083A" w:rsidRPr="005E466C">
        <w:rPr>
          <w:rStyle w:val="Strong"/>
          <w:b w:val="0"/>
          <w:bCs w:val="0"/>
        </w:rPr>
        <w:t>Cylinder Gas Audit</w:t>
      </w:r>
      <w:r w:rsidR="00D3126A" w:rsidRPr="005E466C">
        <w:rPr>
          <w:rStyle w:val="Strong"/>
          <w:b w:val="0"/>
          <w:bCs w:val="0"/>
        </w:rPr>
        <w:t xml:space="preserve"> (</w:t>
      </w:r>
      <w:r w:rsidRPr="005E466C">
        <w:rPr>
          <w:rStyle w:val="Strong"/>
          <w:b w:val="0"/>
          <w:bCs w:val="0"/>
        </w:rPr>
        <w:t>CGA</w:t>
      </w:r>
      <w:r w:rsidR="00D3126A" w:rsidRPr="005E466C">
        <w:rPr>
          <w:rStyle w:val="Strong"/>
          <w:b w:val="0"/>
          <w:bCs w:val="0"/>
        </w:rPr>
        <w:t>)</w:t>
      </w:r>
      <w:r w:rsidRPr="005E466C">
        <w:rPr>
          <w:rStyle w:val="Strong"/>
          <w:b w:val="0"/>
          <w:bCs w:val="0"/>
        </w:rPr>
        <w:t xml:space="preserve"> or </w:t>
      </w:r>
      <w:r w:rsidR="00D3126A" w:rsidRPr="005E466C">
        <w:rPr>
          <w:rStyle w:val="Strong"/>
          <w:b w:val="0"/>
          <w:bCs w:val="0"/>
        </w:rPr>
        <w:t>Relative Accuracy Test Audit (</w:t>
      </w:r>
      <w:r w:rsidRPr="005E466C">
        <w:rPr>
          <w:rStyle w:val="Strong"/>
          <w:b w:val="0"/>
          <w:bCs w:val="0"/>
        </w:rPr>
        <w:t>RATA</w:t>
      </w:r>
      <w:r w:rsidR="00D3126A" w:rsidRPr="005E466C">
        <w:rPr>
          <w:rStyle w:val="Strong"/>
          <w:b w:val="0"/>
          <w:bCs w:val="0"/>
        </w:rPr>
        <w:t>)</w:t>
      </w:r>
      <w:r w:rsidRPr="005E466C">
        <w:rPr>
          <w:rStyle w:val="Strong"/>
          <w:b w:val="0"/>
          <w:bCs w:val="0"/>
        </w:rPr>
        <w:t xml:space="preserve"> on at least three of four calendar quarters. Where calculation methods are used, the applicant is allowed to use vendor guarantee, AP-42, or stack test data. For SO2 emissions from the combustion of natural gas, the measured H2S concentration in the fuel gas may be used. The application review </w:t>
      </w:r>
      <w:r w:rsidR="00624F98" w:rsidRPr="005E466C">
        <w:rPr>
          <w:rStyle w:val="Strong"/>
          <w:b w:val="0"/>
          <w:bCs w:val="0"/>
        </w:rPr>
        <w:t>performed</w:t>
      </w:r>
      <w:r w:rsidRPr="005E466C">
        <w:rPr>
          <w:rStyle w:val="Strong"/>
          <w:b w:val="0"/>
          <w:bCs w:val="0"/>
        </w:rPr>
        <w:t xml:space="preserve"> by TCEQ</w:t>
      </w:r>
      <w:r w:rsidR="00D3126A" w:rsidRPr="005E466C">
        <w:rPr>
          <w:rStyle w:val="Strong"/>
          <w:b w:val="0"/>
          <w:bCs w:val="0"/>
        </w:rPr>
        <w:t>’s</w:t>
      </w:r>
      <w:r w:rsidRPr="005E466C">
        <w:rPr>
          <w:rStyle w:val="Strong"/>
          <w:b w:val="0"/>
          <w:bCs w:val="0"/>
        </w:rPr>
        <w:t xml:space="preserve"> NSR permitting staff would include an appropriate vendor guarantee, AP 42 factor, or acceptable engineering method </w:t>
      </w:r>
      <w:r w:rsidR="00775A8A" w:rsidRPr="005E466C">
        <w:rPr>
          <w:rStyle w:val="Strong"/>
          <w:b w:val="0"/>
          <w:bCs w:val="0"/>
        </w:rPr>
        <w:t>be</w:t>
      </w:r>
      <w:r w:rsidRPr="005E466C">
        <w:rPr>
          <w:rStyle w:val="Strong"/>
          <w:b w:val="0"/>
          <w:bCs w:val="0"/>
        </w:rPr>
        <w:t xml:space="preserve"> used in the emission calculations. A check of stack test data and the use of stack test emission factors is </w:t>
      </w:r>
      <w:r w:rsidR="00775A8A" w:rsidRPr="005E466C">
        <w:rPr>
          <w:rStyle w:val="Strong"/>
          <w:b w:val="0"/>
          <w:bCs w:val="0"/>
        </w:rPr>
        <w:t>typically</w:t>
      </w:r>
      <w:r w:rsidRPr="005E466C">
        <w:rPr>
          <w:rStyle w:val="Strong"/>
          <w:b w:val="0"/>
          <w:bCs w:val="0"/>
        </w:rPr>
        <w:t xml:space="preserve"> not an option </w:t>
      </w:r>
      <w:r w:rsidR="00C31CEF" w:rsidRPr="005E466C">
        <w:rPr>
          <w:rStyle w:val="Strong"/>
          <w:b w:val="0"/>
          <w:bCs w:val="0"/>
        </w:rPr>
        <w:t xml:space="preserve">in many permits </w:t>
      </w:r>
      <w:r w:rsidRPr="005E466C">
        <w:rPr>
          <w:rStyle w:val="Strong"/>
          <w:b w:val="0"/>
          <w:bCs w:val="0"/>
        </w:rPr>
        <w:t>as the permit is written before construction or modified operation is authorized. A</w:t>
      </w:r>
      <w:r w:rsidR="00C01116" w:rsidRPr="005E466C">
        <w:rPr>
          <w:rStyle w:val="Strong"/>
          <w:b w:val="0"/>
          <w:bCs w:val="0"/>
        </w:rPr>
        <w:t>n emissions</w:t>
      </w:r>
      <w:r w:rsidRPr="005E466C">
        <w:rPr>
          <w:rStyle w:val="Strong"/>
          <w:b w:val="0"/>
          <w:bCs w:val="0"/>
        </w:rPr>
        <w:t xml:space="preserve"> factor established through vendor guarantee or AP-42 would continue to be accepted unless the</w:t>
      </w:r>
      <w:r w:rsidR="00C31CEF" w:rsidRPr="005E466C">
        <w:rPr>
          <w:rStyle w:val="Strong"/>
          <w:b w:val="0"/>
          <w:bCs w:val="0"/>
        </w:rPr>
        <w:t>y are</w:t>
      </w:r>
      <w:r w:rsidRPr="005E466C">
        <w:rPr>
          <w:rStyle w:val="Strong"/>
          <w:b w:val="0"/>
          <w:bCs w:val="0"/>
        </w:rPr>
        <w:t xml:space="preserve"> updated by the vendor or AP-42 to satisfy 40 CFR 51.166(w)(12)(ix) which allows for performance testing or other scientifically valid means approved by the reviewing authority.</w:t>
      </w:r>
    </w:p>
    <w:p w14:paraId="3E1D8623" w14:textId="77777777" w:rsidR="006F5D31" w:rsidRPr="005E466C" w:rsidRDefault="006F5D31" w:rsidP="002823C9">
      <w:pPr>
        <w:rPr>
          <w:rStyle w:val="Strong"/>
          <w:b w:val="0"/>
          <w:bCs w:val="0"/>
        </w:rPr>
      </w:pPr>
    </w:p>
    <w:p w14:paraId="757B78DD" w14:textId="63498F71" w:rsidR="006F5D31" w:rsidRPr="005E466C" w:rsidRDefault="006F5D31" w:rsidP="002823C9">
      <w:pPr>
        <w:rPr>
          <w:rStyle w:val="Strong"/>
          <w:b w:val="0"/>
          <w:bCs w:val="0"/>
        </w:rPr>
      </w:pPr>
      <w:r w:rsidRPr="005E466C">
        <w:rPr>
          <w:rStyle w:val="Strong"/>
          <w:b w:val="0"/>
          <w:bCs w:val="0"/>
        </w:rPr>
        <w:t xml:space="preserve">TCEQ </w:t>
      </w:r>
      <w:r w:rsidR="00C01116" w:rsidRPr="005E466C">
        <w:rPr>
          <w:rStyle w:val="Strong"/>
          <w:b w:val="0"/>
          <w:bCs w:val="0"/>
        </w:rPr>
        <w:t xml:space="preserve">is </w:t>
      </w:r>
      <w:r w:rsidRPr="005E466C">
        <w:rPr>
          <w:rStyle w:val="Strong"/>
          <w:b w:val="0"/>
          <w:bCs w:val="0"/>
        </w:rPr>
        <w:t>provid</w:t>
      </w:r>
      <w:r w:rsidR="00C01116" w:rsidRPr="005E466C">
        <w:rPr>
          <w:rStyle w:val="Strong"/>
          <w:b w:val="0"/>
          <w:bCs w:val="0"/>
        </w:rPr>
        <w:t>ing</w:t>
      </w:r>
      <w:r w:rsidRPr="005E466C">
        <w:rPr>
          <w:rStyle w:val="Strong"/>
          <w:b w:val="0"/>
          <w:bCs w:val="0"/>
        </w:rPr>
        <w:t xml:space="preserve"> the following additional </w:t>
      </w:r>
      <w:r w:rsidR="00EE46C5" w:rsidRPr="005E466C">
        <w:rPr>
          <w:rStyle w:val="Strong"/>
          <w:b w:val="0"/>
          <w:bCs w:val="0"/>
        </w:rPr>
        <w:t xml:space="preserve">detailed </w:t>
      </w:r>
      <w:r w:rsidRPr="005E466C">
        <w:rPr>
          <w:rStyle w:val="Strong"/>
          <w:b w:val="0"/>
          <w:bCs w:val="0"/>
        </w:rPr>
        <w:t xml:space="preserve">information </w:t>
      </w:r>
      <w:r w:rsidR="00EE46C5" w:rsidRPr="005E466C">
        <w:rPr>
          <w:rStyle w:val="Strong"/>
          <w:b w:val="0"/>
          <w:bCs w:val="0"/>
        </w:rPr>
        <w:t xml:space="preserve">that establishes </w:t>
      </w:r>
      <w:r w:rsidR="00460192" w:rsidRPr="005E466C">
        <w:rPr>
          <w:rStyle w:val="Strong"/>
          <w:b w:val="0"/>
          <w:bCs w:val="0"/>
        </w:rPr>
        <w:t xml:space="preserve">the sufficiency of the monitoring </w:t>
      </w:r>
      <w:r w:rsidR="00EE46C5" w:rsidRPr="005E466C">
        <w:rPr>
          <w:rStyle w:val="Strong"/>
          <w:b w:val="0"/>
          <w:bCs w:val="0"/>
        </w:rPr>
        <w:t xml:space="preserve">requirements </w:t>
      </w:r>
      <w:r w:rsidRPr="005E466C">
        <w:rPr>
          <w:rStyle w:val="Strong"/>
          <w:b w:val="0"/>
          <w:bCs w:val="0"/>
        </w:rPr>
        <w:t>and</w:t>
      </w:r>
      <w:r w:rsidR="00460192" w:rsidRPr="005E466C">
        <w:rPr>
          <w:rStyle w:val="Strong"/>
          <w:b w:val="0"/>
          <w:bCs w:val="0"/>
        </w:rPr>
        <w:t xml:space="preserve"> the calculation methods </w:t>
      </w:r>
      <w:r w:rsidRPr="005E466C">
        <w:rPr>
          <w:rStyle w:val="Strong"/>
          <w:b w:val="0"/>
          <w:bCs w:val="0"/>
        </w:rPr>
        <w:t>stated in</w:t>
      </w:r>
      <w:r w:rsidR="002823C9" w:rsidRPr="005E466C">
        <w:rPr>
          <w:rStyle w:val="Strong"/>
          <w:b w:val="0"/>
          <w:bCs w:val="0"/>
        </w:rPr>
        <w:t xml:space="preserve"> </w:t>
      </w:r>
      <w:r w:rsidR="0062020D" w:rsidRPr="005E466C">
        <w:rPr>
          <w:rStyle w:val="Strong"/>
          <w:b w:val="0"/>
          <w:bCs w:val="0"/>
        </w:rPr>
        <w:t>NSR Permit 20211 / PAL16</w:t>
      </w:r>
      <w:r w:rsidR="00EE46C5" w:rsidRPr="005E466C">
        <w:rPr>
          <w:rStyle w:val="Strong"/>
          <w:b w:val="0"/>
          <w:bCs w:val="0"/>
        </w:rPr>
        <w:t xml:space="preserve"> to demonstrate compliance with the applicable requirements</w:t>
      </w:r>
      <w:r w:rsidRPr="005E466C">
        <w:rPr>
          <w:rStyle w:val="Strong"/>
          <w:b w:val="0"/>
          <w:bCs w:val="0"/>
        </w:rPr>
        <w:t xml:space="preserve">. </w:t>
      </w:r>
      <w:r w:rsidR="00273585" w:rsidRPr="005E466C">
        <w:rPr>
          <w:rStyle w:val="Strong"/>
          <w:b w:val="0"/>
          <w:bCs w:val="0"/>
        </w:rPr>
        <w:t xml:space="preserve">These methods are sufficient to evaluate emissions because they are </w:t>
      </w:r>
      <w:r w:rsidR="008D0FD8" w:rsidRPr="005E466C">
        <w:rPr>
          <w:rStyle w:val="Strong"/>
          <w:b w:val="0"/>
          <w:bCs w:val="0"/>
        </w:rPr>
        <w:t xml:space="preserve">based on </w:t>
      </w:r>
      <w:r w:rsidR="00273585" w:rsidRPr="005E466C">
        <w:rPr>
          <w:rStyle w:val="Strong"/>
          <w:b w:val="0"/>
          <w:bCs w:val="0"/>
        </w:rPr>
        <w:t>the established standards for calculating emissions from these sources and satisfy the requirements in the federal and state PAL rules and the permit special conditions. The methods satisfy the revalidation requirement because actual field measurement data together with reliable monitoring data or the most recently approved TCEQ emission factors and assumptions are used to calculate the emissions.</w:t>
      </w:r>
    </w:p>
    <w:p w14:paraId="3E56E855" w14:textId="77777777" w:rsidR="006F5D31" w:rsidRPr="005E466C" w:rsidRDefault="006F5D31" w:rsidP="002823C9">
      <w:pPr>
        <w:rPr>
          <w:rStyle w:val="Strong"/>
          <w:b w:val="0"/>
          <w:bCs w:val="0"/>
        </w:rPr>
      </w:pPr>
    </w:p>
    <w:p w14:paraId="5ECCADB9" w14:textId="2CCFCC7F" w:rsidR="002823C9" w:rsidRPr="005E466C" w:rsidRDefault="002823C9" w:rsidP="002823C9">
      <w:pPr>
        <w:rPr>
          <w:rStyle w:val="Strong"/>
          <w:b w:val="0"/>
          <w:bCs w:val="0"/>
        </w:rPr>
      </w:pPr>
      <w:r w:rsidRPr="005E466C">
        <w:rPr>
          <w:rStyle w:val="Strong"/>
          <w:b w:val="0"/>
          <w:bCs w:val="0"/>
        </w:rPr>
        <w:t xml:space="preserve">For NOx and CO CEMS </w:t>
      </w:r>
      <w:r w:rsidR="009C234B" w:rsidRPr="005E466C">
        <w:rPr>
          <w:rStyle w:val="Strong"/>
          <w:b w:val="0"/>
          <w:bCs w:val="0"/>
        </w:rPr>
        <w:t>specified</w:t>
      </w:r>
      <w:r w:rsidRPr="005E466C">
        <w:rPr>
          <w:rStyle w:val="Strong"/>
          <w:b w:val="0"/>
          <w:bCs w:val="0"/>
        </w:rPr>
        <w:t xml:space="preserve"> at NSR Permit 20211 </w:t>
      </w:r>
      <w:r w:rsidR="009C234B" w:rsidRPr="005E466C">
        <w:rPr>
          <w:rStyle w:val="Strong"/>
          <w:b w:val="0"/>
          <w:bCs w:val="0"/>
        </w:rPr>
        <w:t xml:space="preserve">SC </w:t>
      </w:r>
      <w:r w:rsidRPr="005E466C">
        <w:rPr>
          <w:rStyle w:val="Strong"/>
          <w:b w:val="0"/>
          <w:bCs w:val="0"/>
        </w:rPr>
        <w:t xml:space="preserve">13 for large combustion sources requires evaluating the reliability of its monitored data with an initial RATA, ongoing quarterly CGAs, and daily zero and span drift tests. The fuel flow meter on the combustion sources estimates flue gas flow rate every fifteen minutes, corrects for excess oxygen, and is multiplied by the CEMS concentration to convert the combustion source NOx and CO monitoring measurements into mass emissions. The combustion sources are smaller sources of VOC and PM/PM10/PM2.5 which are a function of firing rate. Firing rate is </w:t>
      </w:r>
      <w:r w:rsidRPr="005E466C">
        <w:rPr>
          <w:rStyle w:val="Strong"/>
          <w:b w:val="0"/>
          <w:bCs w:val="0"/>
        </w:rPr>
        <w:lastRenderedPageBreak/>
        <w:t xml:space="preserve">measured continuously and per NSR Permit 20211 </w:t>
      </w:r>
      <w:r w:rsidR="0048591A" w:rsidRPr="005E466C">
        <w:rPr>
          <w:rStyle w:val="Strong"/>
          <w:b w:val="0"/>
          <w:bCs w:val="0"/>
        </w:rPr>
        <w:t>SC</w:t>
      </w:r>
      <w:r w:rsidRPr="005E466C">
        <w:rPr>
          <w:rStyle w:val="Strong"/>
          <w:b w:val="0"/>
          <w:bCs w:val="0"/>
        </w:rPr>
        <w:t xml:space="preserve"> 8 is multiplied by stack test or AP-42 factors that are in terms of pounds per firing to calculate a pounds per hour for that hour. The emission factors are reliable because they are derived from stack tests performed according to the appropriate EPA protocol by a </w:t>
      </w:r>
      <w:r w:rsidR="0048591A" w:rsidRPr="005E466C">
        <w:rPr>
          <w:rStyle w:val="Strong"/>
          <w:b w:val="0"/>
          <w:bCs w:val="0"/>
        </w:rPr>
        <w:t>third-party</w:t>
      </w:r>
      <w:r w:rsidRPr="005E466C">
        <w:rPr>
          <w:rStyle w:val="Strong"/>
          <w:b w:val="0"/>
          <w:bCs w:val="0"/>
        </w:rPr>
        <w:t xml:space="preserve"> stack testing company or are AP-42 factors published by EPA for sources using the same fuel type. The hourly emissions are summed for the month to result in the monthly emissions which are summed to calculate 12-month total emissions.   </w:t>
      </w:r>
    </w:p>
    <w:p w14:paraId="6D316A65" w14:textId="77777777" w:rsidR="002823C9" w:rsidRPr="005E466C" w:rsidRDefault="002823C9" w:rsidP="002823C9">
      <w:pPr>
        <w:rPr>
          <w:rStyle w:val="Strong"/>
          <w:b w:val="0"/>
          <w:bCs w:val="0"/>
        </w:rPr>
      </w:pPr>
    </w:p>
    <w:p w14:paraId="1BCB9CE1" w14:textId="5C02EEA5" w:rsidR="002823C9" w:rsidRPr="005E466C" w:rsidRDefault="002823C9" w:rsidP="002823C9">
      <w:pPr>
        <w:rPr>
          <w:rStyle w:val="Strong"/>
          <w:b w:val="0"/>
          <w:bCs w:val="0"/>
        </w:rPr>
      </w:pPr>
      <w:r w:rsidRPr="005E466C">
        <w:rPr>
          <w:rStyle w:val="Strong"/>
          <w:b w:val="0"/>
          <w:bCs w:val="0"/>
        </w:rPr>
        <w:t xml:space="preserve">The instruments for flares (waste gas flow and steam flow monitors, pressure and temperature compensation for waste gas flow and steam flow monitors, waste gas composition analyzers, and calorimeters) are </w:t>
      </w:r>
      <w:r w:rsidR="0048591A" w:rsidRPr="005E466C">
        <w:rPr>
          <w:rStyle w:val="Strong"/>
          <w:b w:val="0"/>
          <w:bCs w:val="0"/>
        </w:rPr>
        <w:t>specified by</w:t>
      </w:r>
      <w:r w:rsidRPr="005E466C">
        <w:rPr>
          <w:rStyle w:val="Strong"/>
          <w:b w:val="0"/>
          <w:bCs w:val="0"/>
        </w:rPr>
        <w:t xml:space="preserve"> NSR Permit 20211 </w:t>
      </w:r>
      <w:r w:rsidR="0048591A" w:rsidRPr="005E466C">
        <w:rPr>
          <w:rStyle w:val="Strong"/>
          <w:b w:val="0"/>
          <w:bCs w:val="0"/>
        </w:rPr>
        <w:t>SC</w:t>
      </w:r>
      <w:r w:rsidRPr="005E466C">
        <w:rPr>
          <w:rStyle w:val="Strong"/>
          <w:b w:val="0"/>
          <w:bCs w:val="0"/>
        </w:rPr>
        <w:t xml:space="preserve"> 96 to meet the accuracy, calibration and quality control requirements specified in Table 13 of 40 CFR Part 63, Subpart CC. This includes annual calibration of temperature and pressure monitors, biennial flow sensor calibrations for flow meters, weekly calibrations for calorimeters (per manufacturer’s recommendation), and other requirements, and ensures that the reliability of data from flare monitoring systems is evaluated. The monitored measurements allow the calculation of the pounds of waste gas sent to the flare on an hourly basis. The TCEQ-approved flare destruction efficiencies are then applied to calculate the pounds of pollutant emitted from the flare.</w:t>
      </w:r>
      <w:r w:rsidR="00851600" w:rsidRPr="005E466C">
        <w:rPr>
          <w:rStyle w:val="Strong"/>
          <w:b w:val="0"/>
          <w:bCs w:val="0"/>
        </w:rPr>
        <w:t xml:space="preserve"> </w:t>
      </w:r>
      <w:r w:rsidRPr="005E466C">
        <w:rPr>
          <w:rStyle w:val="Strong"/>
          <w:b w:val="0"/>
          <w:bCs w:val="0"/>
        </w:rPr>
        <w:t xml:space="preserve">Meeting the Combustion Zone Net Heating Value (NHVCZ) target at NSR Permit 20211 </w:t>
      </w:r>
      <w:r w:rsidR="0048591A" w:rsidRPr="005E466C">
        <w:rPr>
          <w:rStyle w:val="Strong"/>
          <w:b w:val="0"/>
          <w:bCs w:val="0"/>
        </w:rPr>
        <w:t>SC</w:t>
      </w:r>
      <w:r w:rsidR="008D0FD8" w:rsidRPr="005E466C">
        <w:rPr>
          <w:rStyle w:val="Strong"/>
          <w:b w:val="0"/>
          <w:bCs w:val="0"/>
        </w:rPr>
        <w:t xml:space="preserve"> </w:t>
      </w:r>
      <w:r w:rsidRPr="005E466C">
        <w:rPr>
          <w:rStyle w:val="Strong"/>
          <w:b w:val="0"/>
          <w:bCs w:val="0"/>
        </w:rPr>
        <w:t>113 validates the assumed destruction efficiencies. The hourly measurements are used to calculate the total VOC monthly and annual emissions. The NOx and CO emissions are calculated based on the monitored flow and waste gas heating values. The heat release is multiplied by TCEQ emission factors established in the TCEQ Air Permit Technical Guidance for Chemical Sources: Flares and Vapor Oxidizers, RG-109.</w:t>
      </w:r>
    </w:p>
    <w:p w14:paraId="6D4E24B3" w14:textId="77777777" w:rsidR="002823C9" w:rsidRPr="005E466C" w:rsidRDefault="002823C9" w:rsidP="002823C9">
      <w:pPr>
        <w:rPr>
          <w:rStyle w:val="Strong"/>
          <w:b w:val="0"/>
          <w:bCs w:val="0"/>
        </w:rPr>
      </w:pPr>
    </w:p>
    <w:p w14:paraId="69E2D35F" w14:textId="7E678E27" w:rsidR="002823C9" w:rsidRPr="005E466C" w:rsidRDefault="002823C9" w:rsidP="002823C9">
      <w:pPr>
        <w:rPr>
          <w:rStyle w:val="Strong"/>
          <w:b w:val="0"/>
          <w:bCs w:val="0"/>
        </w:rPr>
      </w:pPr>
      <w:r w:rsidRPr="005E466C">
        <w:rPr>
          <w:rStyle w:val="Strong"/>
          <w:b w:val="0"/>
          <w:bCs w:val="0"/>
        </w:rPr>
        <w:t xml:space="preserve">The monthly monitoring of VOC from cooling towers </w:t>
      </w:r>
      <w:r w:rsidR="00AA5FF7" w:rsidRPr="005E466C">
        <w:rPr>
          <w:rStyle w:val="Strong"/>
          <w:b w:val="0"/>
          <w:bCs w:val="0"/>
        </w:rPr>
        <w:t>specified by</w:t>
      </w:r>
      <w:r w:rsidRPr="005E466C">
        <w:rPr>
          <w:rStyle w:val="Strong"/>
          <w:b w:val="0"/>
          <w:bCs w:val="0"/>
        </w:rPr>
        <w:t xml:space="preserve"> NSR Permit 20211 </w:t>
      </w:r>
      <w:r w:rsidR="00AA5FF7" w:rsidRPr="005E466C">
        <w:rPr>
          <w:rStyle w:val="Strong"/>
          <w:b w:val="0"/>
          <w:bCs w:val="0"/>
        </w:rPr>
        <w:t>SC</w:t>
      </w:r>
      <w:r w:rsidRPr="005E466C">
        <w:rPr>
          <w:rStyle w:val="Strong"/>
          <w:b w:val="0"/>
          <w:bCs w:val="0"/>
        </w:rPr>
        <w:t xml:space="preserve"> 5 references the procedures in TCEQ Sampling Procedures Manual, Appendix P. This method requires stripping a sample of the cooling tower return water and monitoring the stripped gas with an instrument that meets the calibration requirements of Method 21 in 40 CFR Part 60, Appendix A. The measured VOC concentration is multiplied by the cooling water return rate to calculate the mass VOC emissions from the cooling tower.</w:t>
      </w:r>
    </w:p>
    <w:p w14:paraId="3DD3D687" w14:textId="77777777" w:rsidR="002823C9" w:rsidRPr="005E466C" w:rsidRDefault="002823C9" w:rsidP="002823C9">
      <w:pPr>
        <w:rPr>
          <w:rStyle w:val="Strong"/>
          <w:b w:val="0"/>
          <w:bCs w:val="0"/>
        </w:rPr>
      </w:pPr>
    </w:p>
    <w:p w14:paraId="02D9CBEB" w14:textId="11B075FC" w:rsidR="002823C9" w:rsidRPr="005E466C" w:rsidRDefault="002823C9" w:rsidP="002823C9">
      <w:pPr>
        <w:rPr>
          <w:rStyle w:val="Strong"/>
          <w:b w:val="0"/>
          <w:bCs w:val="0"/>
        </w:rPr>
      </w:pPr>
      <w:r w:rsidRPr="005E466C">
        <w:rPr>
          <w:rStyle w:val="Strong"/>
          <w:b w:val="0"/>
          <w:bCs w:val="0"/>
        </w:rPr>
        <w:t xml:space="preserve">The monitored monthly throughput of materials stored in tanks is </w:t>
      </w:r>
      <w:r w:rsidR="00AA5FF7" w:rsidRPr="005E466C">
        <w:rPr>
          <w:rStyle w:val="Strong"/>
          <w:b w:val="0"/>
          <w:bCs w:val="0"/>
        </w:rPr>
        <w:t>specified by</w:t>
      </w:r>
      <w:r w:rsidRPr="005E466C">
        <w:rPr>
          <w:rStyle w:val="Strong"/>
          <w:b w:val="0"/>
          <w:bCs w:val="0"/>
        </w:rPr>
        <w:t xml:space="preserve"> NSR Permit 20211 </w:t>
      </w:r>
      <w:r w:rsidR="00AA5FF7" w:rsidRPr="005E466C">
        <w:rPr>
          <w:rStyle w:val="Strong"/>
          <w:b w:val="0"/>
          <w:bCs w:val="0"/>
        </w:rPr>
        <w:t>SCs</w:t>
      </w:r>
      <w:r w:rsidRPr="005E466C">
        <w:rPr>
          <w:rStyle w:val="Strong"/>
          <w:b w:val="0"/>
          <w:bCs w:val="0"/>
        </w:rPr>
        <w:t xml:space="preserve"> 6 and 16 </w:t>
      </w:r>
      <w:r w:rsidR="00851600" w:rsidRPr="005E466C">
        <w:rPr>
          <w:rStyle w:val="Strong"/>
          <w:b w:val="0"/>
          <w:bCs w:val="0"/>
        </w:rPr>
        <w:t xml:space="preserve">and </w:t>
      </w:r>
      <w:r w:rsidR="00AA5FF7" w:rsidRPr="005E466C">
        <w:rPr>
          <w:rStyle w:val="Strong"/>
          <w:b w:val="0"/>
          <w:bCs w:val="0"/>
        </w:rPr>
        <w:t>th</w:t>
      </w:r>
      <w:r w:rsidR="00C55C0A" w:rsidRPr="005E466C">
        <w:rPr>
          <w:rStyle w:val="Strong"/>
          <w:b w:val="0"/>
          <w:bCs w:val="0"/>
        </w:rPr>
        <w:t>e monitored data</w:t>
      </w:r>
      <w:r w:rsidR="00AA5FF7" w:rsidRPr="005E466C">
        <w:rPr>
          <w:rStyle w:val="Strong"/>
          <w:b w:val="0"/>
          <w:bCs w:val="0"/>
        </w:rPr>
        <w:t xml:space="preserve"> is</w:t>
      </w:r>
      <w:r w:rsidRPr="005E466C">
        <w:rPr>
          <w:rStyle w:val="Strong"/>
          <w:b w:val="0"/>
          <w:bCs w:val="0"/>
        </w:rPr>
        <w:t xml:space="preserve"> used with published EPA factors for storage tanks to calculate 12-month total VOC emissions from storage.  </w:t>
      </w:r>
    </w:p>
    <w:p w14:paraId="53583349" w14:textId="77777777" w:rsidR="00D17C09" w:rsidRDefault="00D17C09" w:rsidP="004C4EAE"/>
    <w:p w14:paraId="144DC77E" w14:textId="672EC677" w:rsidR="004C4EAE" w:rsidRDefault="004C4EAE" w:rsidP="004C4EAE">
      <w:pPr>
        <w:rPr>
          <w:rStyle w:val="Strong"/>
          <w:b w:val="0"/>
          <w:bCs w:val="0"/>
        </w:rPr>
      </w:pPr>
      <w:r w:rsidRPr="009458A8">
        <w:rPr>
          <w:rStyle w:val="Strong"/>
        </w:rPr>
        <w:t xml:space="preserve">EPA </w:t>
      </w:r>
      <w:r>
        <w:rPr>
          <w:rStyle w:val="Strong"/>
        </w:rPr>
        <w:t xml:space="preserve">Response to Claim </w:t>
      </w:r>
      <w:r w:rsidR="00C201FD">
        <w:rPr>
          <w:rStyle w:val="Strong"/>
        </w:rPr>
        <w:t>G</w:t>
      </w:r>
      <w:r w:rsidRPr="009458A8">
        <w:rPr>
          <w:rStyle w:val="Strong"/>
        </w:rPr>
        <w:t>:</w:t>
      </w:r>
      <w:r>
        <w:rPr>
          <w:rStyle w:val="Strong"/>
        </w:rPr>
        <w:t xml:space="preserve"> </w:t>
      </w:r>
      <w:r w:rsidR="00C201FD" w:rsidRPr="00C201FD">
        <w:rPr>
          <w:rStyle w:val="Strong"/>
          <w:b w:val="0"/>
          <w:bCs w:val="0"/>
        </w:rPr>
        <w:t>The Revised Proposed Permit Fails to Specify Monitoring, Testing, and Recordkeeping Requirements Sufficient to Assure Compliance with Applicable Requirements for Projects Authorized by PBR</w:t>
      </w:r>
      <w:r w:rsidR="00C201FD">
        <w:rPr>
          <w:rStyle w:val="Strong"/>
          <w:b w:val="0"/>
          <w:bCs w:val="0"/>
        </w:rPr>
        <w:t>.</w:t>
      </w:r>
    </w:p>
    <w:p w14:paraId="0880AE62" w14:textId="77777777" w:rsidR="006D2D1C" w:rsidRPr="00C201FD" w:rsidRDefault="006D2D1C" w:rsidP="004C4EAE">
      <w:pPr>
        <w:rPr>
          <w:rStyle w:val="Strong"/>
          <w:b w:val="0"/>
          <w:bCs w:val="0"/>
        </w:rPr>
      </w:pPr>
    </w:p>
    <w:p w14:paraId="176A3987" w14:textId="37AA80B7" w:rsidR="006D2D1C" w:rsidRPr="006D2D1C" w:rsidRDefault="006D2D1C" w:rsidP="006D2D1C">
      <w:pPr>
        <w:rPr>
          <w:rStyle w:val="Strong"/>
          <w:b w:val="0"/>
          <w:bCs w:val="0"/>
        </w:rPr>
      </w:pPr>
      <w:r w:rsidRPr="00A41CA3">
        <w:rPr>
          <w:rStyle w:val="Strong"/>
          <w:b w:val="0"/>
          <w:bCs w:val="0"/>
        </w:rPr>
        <w:t>TCEQ must revise the Permit to specify monitoring, recordkeeping, and reporting sufficient to assure compliance with all applicable requirements associated with PBRs. This includes the requirements of individual PBR rules that are either claimed or registered by the source, any additional or alternative requirements contained in certified PBR registrations, and the generic emission limits in 30 TAC § 106.4, as applicable and necessary. If TCEQ contends that specific underlying PBR regulations already contain adequate monitoring, recordkeeping, and reporting, TCEQ should identify those PBR specific</w:t>
      </w:r>
      <w:r w:rsidR="00395F4E">
        <w:rPr>
          <w:rStyle w:val="Strong"/>
          <w:b w:val="0"/>
          <w:bCs w:val="0"/>
        </w:rPr>
        <w:t xml:space="preserve"> </w:t>
      </w:r>
      <w:r w:rsidRPr="00A41CA3">
        <w:rPr>
          <w:rStyle w:val="Strong"/>
          <w:b w:val="0"/>
          <w:bCs w:val="0"/>
        </w:rPr>
        <w:t>requirements in the permit record. If TCEQ believes that monitoring associated with other CAA requirements-such as monitoring elsewhere in the title V permit, Chapter 116 NSR permits, NSPSs, NESHAPs, or enforceable representations in an application (e.g., a NSR permit application, or an application associated with a registered PBR)-will also serve to assure compliance with PBR requirements, then TCEQ should amend the Permit to specifically identify such terms and explain in the permit record how these requirements assure compliance with the requirements and emission limits for each relevant PBR requirement. However, if the title V permit and all enforceable, properly incorporated documents do not contain adequate monitoring, recordkeeping, and reporting that</w:t>
      </w:r>
      <w:r>
        <w:rPr>
          <w:rStyle w:val="Strong"/>
          <w:b w:val="0"/>
          <w:bCs w:val="0"/>
        </w:rPr>
        <w:t xml:space="preserve"> </w:t>
      </w:r>
      <w:r w:rsidRPr="006D2D1C">
        <w:rPr>
          <w:rStyle w:val="Strong"/>
          <w:b w:val="0"/>
          <w:bCs w:val="0"/>
        </w:rPr>
        <w:t>assures compliance with the requirements and limits identified, then TCEQ must add or incorporate such terms into the</w:t>
      </w:r>
      <w:r w:rsidR="00395F4E">
        <w:rPr>
          <w:rStyle w:val="Strong"/>
          <w:b w:val="0"/>
          <w:bCs w:val="0"/>
        </w:rPr>
        <w:t xml:space="preserve"> </w:t>
      </w:r>
      <w:r w:rsidRPr="006D2D1C">
        <w:rPr>
          <w:rStyle w:val="Strong"/>
          <w:b w:val="0"/>
          <w:bCs w:val="0"/>
        </w:rPr>
        <w:t>Permit.</w:t>
      </w:r>
    </w:p>
    <w:p w14:paraId="612DB8A6" w14:textId="77777777" w:rsidR="006D2D1C" w:rsidRPr="006D2D1C" w:rsidRDefault="006D2D1C" w:rsidP="006D2D1C">
      <w:pPr>
        <w:rPr>
          <w:rStyle w:val="Strong"/>
          <w:b w:val="0"/>
          <w:bCs w:val="0"/>
        </w:rPr>
      </w:pPr>
    </w:p>
    <w:p w14:paraId="32119285" w14:textId="77777777" w:rsidR="006D2D1C" w:rsidRPr="00A41CA3" w:rsidRDefault="006D2D1C" w:rsidP="006D2D1C">
      <w:pPr>
        <w:rPr>
          <w:b/>
          <w:bCs/>
        </w:rPr>
      </w:pPr>
      <w:r w:rsidRPr="006D2D1C">
        <w:rPr>
          <w:rStyle w:val="Strong"/>
          <w:b w:val="0"/>
          <w:bCs w:val="0"/>
        </w:rPr>
        <w:lastRenderedPageBreak/>
        <w:t>TCEQ could accomplish this in various ways. One mechanism, currently being implemented by TCEQ for at least some PBR requirements, involves requiring permit applicants to identify the specific monitoring requirements associated with individual PBR requirements in a "PBR Supplemental Table," which is then specifically incorporated by reference into the title V permit through a revised Special Condition. If this approach were employed for all applicable requirements associated with all PBRs, that would resolve the EPA's objection. As the EPA has explained, there are other potential solutions that could resolve the EPA's objection. If TCEQ pursues other options, it must ensure that monitoring, recordkeeping, and reporting requirements are either included or clearly and unambiguously incorporated into the title V permit. Moreover, TCEQ must ensure that such requirements are sufficient to assure compliance with all applicable PBR requirements, including claimed PBRs, registered PBRs, and the requirements of 30 TAC 106.4, as applicable</w:t>
      </w:r>
      <w:r w:rsidRPr="00A41CA3">
        <w:rPr>
          <w:b/>
          <w:bCs/>
        </w:rPr>
        <w:t>.</w:t>
      </w:r>
    </w:p>
    <w:p w14:paraId="06EADAC9" w14:textId="77777777" w:rsidR="004C4EAE" w:rsidRDefault="004C4EAE" w:rsidP="004C4EAE">
      <w:pPr>
        <w:rPr>
          <w:rStyle w:val="Strong"/>
        </w:rPr>
      </w:pPr>
    </w:p>
    <w:p w14:paraId="1D35A0E1" w14:textId="6DBB8DB5" w:rsidR="004C572C" w:rsidRPr="004C572C" w:rsidRDefault="004C4EAE" w:rsidP="004C572C">
      <w:pPr>
        <w:numPr>
          <w:ilvl w:val="12"/>
          <w:numId w:val="0"/>
        </w:numPr>
        <w:rPr>
          <w:rStyle w:val="Strong"/>
          <w:rFonts w:cs="Arial"/>
          <w:b w:val="0"/>
          <w:bCs w:val="0"/>
          <w:szCs w:val="20"/>
        </w:rPr>
      </w:pPr>
      <w:r w:rsidRPr="00725612">
        <w:rPr>
          <w:rStyle w:val="Strong"/>
        </w:rPr>
        <w:t>TCEQ R</w:t>
      </w:r>
      <w:r>
        <w:rPr>
          <w:rStyle w:val="Strong"/>
        </w:rPr>
        <w:t xml:space="preserve">esponse to EPA Objection </w:t>
      </w:r>
      <w:r w:rsidR="00C201FD">
        <w:rPr>
          <w:rStyle w:val="Strong"/>
        </w:rPr>
        <w:t>G</w:t>
      </w:r>
      <w:r w:rsidRPr="004C572C">
        <w:rPr>
          <w:rStyle w:val="Strong"/>
          <w:b w:val="0"/>
          <w:bCs w:val="0"/>
        </w:rPr>
        <w:t>:</w:t>
      </w:r>
      <w:r w:rsidR="00A41CA3" w:rsidRPr="004C572C">
        <w:rPr>
          <w:rStyle w:val="Strong"/>
          <w:b w:val="0"/>
          <w:bCs w:val="0"/>
        </w:rPr>
        <w:t xml:space="preserve"> </w:t>
      </w:r>
      <w:r w:rsidR="004C572C" w:rsidRPr="004C572C">
        <w:rPr>
          <w:rStyle w:val="Strong"/>
          <w:rFonts w:cs="Arial"/>
          <w:b w:val="0"/>
          <w:bCs w:val="0"/>
          <w:szCs w:val="20"/>
        </w:rPr>
        <w:t xml:space="preserve">To clarify applicable requirements under 30 TAC Chapter 106, changes made to the </w:t>
      </w:r>
      <w:r w:rsidR="009F73E9">
        <w:rPr>
          <w:rStyle w:val="Strong"/>
          <w:rFonts w:cs="Arial"/>
          <w:b w:val="0"/>
          <w:bCs w:val="0"/>
          <w:szCs w:val="20"/>
        </w:rPr>
        <w:t>Proposed</w:t>
      </w:r>
      <w:r w:rsidR="004C572C" w:rsidRPr="004C572C">
        <w:rPr>
          <w:rStyle w:val="Strong"/>
          <w:rFonts w:cs="Arial"/>
          <w:b w:val="0"/>
          <w:bCs w:val="0"/>
          <w:szCs w:val="20"/>
        </w:rPr>
        <w:t xml:space="preserve"> Permit and SOB are listed below: </w:t>
      </w:r>
    </w:p>
    <w:p w14:paraId="2D698718" w14:textId="77777777" w:rsidR="004C572C" w:rsidRPr="004C572C" w:rsidRDefault="004C572C" w:rsidP="004C572C">
      <w:pPr>
        <w:numPr>
          <w:ilvl w:val="12"/>
          <w:numId w:val="0"/>
        </w:numPr>
        <w:rPr>
          <w:rStyle w:val="Strong"/>
          <w:rFonts w:cs="Arial"/>
          <w:b w:val="0"/>
          <w:bCs w:val="0"/>
          <w:szCs w:val="20"/>
        </w:rPr>
      </w:pPr>
    </w:p>
    <w:p w14:paraId="447075C4" w14:textId="497983AD" w:rsidR="004C572C" w:rsidRPr="004C572C" w:rsidRDefault="005B2354" w:rsidP="004C572C">
      <w:pPr>
        <w:pStyle w:val="ListParagraph"/>
        <w:widowControl/>
        <w:numPr>
          <w:ilvl w:val="0"/>
          <w:numId w:val="17"/>
        </w:numPr>
        <w:autoSpaceDE/>
        <w:autoSpaceDN/>
        <w:spacing w:after="120"/>
        <w:ind w:left="720" w:hanging="360"/>
        <w:contextualSpacing/>
        <w:rPr>
          <w:rStyle w:val="Strong"/>
          <w:b w:val="0"/>
          <w:bCs w:val="0"/>
          <w:sz w:val="20"/>
          <w:szCs w:val="20"/>
        </w:rPr>
      </w:pPr>
      <w:r>
        <w:rPr>
          <w:rStyle w:val="Strong"/>
          <w:b w:val="0"/>
          <w:bCs w:val="0"/>
          <w:sz w:val="20"/>
          <w:szCs w:val="20"/>
        </w:rPr>
        <w:t>Consistent with</w:t>
      </w:r>
      <w:r w:rsidR="004C572C" w:rsidRPr="004C572C">
        <w:rPr>
          <w:rStyle w:val="Strong"/>
          <w:b w:val="0"/>
          <w:bCs w:val="0"/>
          <w:sz w:val="20"/>
          <w:szCs w:val="20"/>
        </w:rPr>
        <w:t xml:space="preserve"> the </w:t>
      </w:r>
      <w:r w:rsidRPr="005B2354">
        <w:rPr>
          <w:rStyle w:val="Strong"/>
          <w:b w:val="0"/>
          <w:bCs w:val="0"/>
          <w:sz w:val="20"/>
          <w:szCs w:val="20"/>
        </w:rPr>
        <w:t xml:space="preserve">permit by rule (PBR) </w:t>
      </w:r>
      <w:r w:rsidR="009F73E9">
        <w:rPr>
          <w:rStyle w:val="Strong"/>
          <w:b w:val="0"/>
          <w:bCs w:val="0"/>
          <w:sz w:val="20"/>
          <w:szCs w:val="20"/>
        </w:rPr>
        <w:t xml:space="preserve">related </w:t>
      </w:r>
      <w:r w:rsidR="004C572C" w:rsidRPr="004C572C">
        <w:rPr>
          <w:rStyle w:val="Strong"/>
          <w:b w:val="0"/>
          <w:bCs w:val="0"/>
          <w:sz w:val="20"/>
          <w:szCs w:val="20"/>
        </w:rPr>
        <w:t>programmatic changes</w:t>
      </w:r>
      <w:r w:rsidRPr="005B2354">
        <w:rPr>
          <w:rStyle w:val="Strong"/>
          <w:b w:val="0"/>
          <w:bCs w:val="0"/>
          <w:sz w:val="20"/>
          <w:szCs w:val="20"/>
        </w:rPr>
        <w:t xml:space="preserve"> </w:t>
      </w:r>
      <w:r>
        <w:rPr>
          <w:rStyle w:val="Strong"/>
          <w:b w:val="0"/>
          <w:bCs w:val="0"/>
          <w:sz w:val="20"/>
          <w:szCs w:val="20"/>
        </w:rPr>
        <w:t xml:space="preserve">made </w:t>
      </w:r>
      <w:r w:rsidRPr="005B2354">
        <w:rPr>
          <w:rStyle w:val="Strong"/>
          <w:b w:val="0"/>
          <w:bCs w:val="0"/>
          <w:sz w:val="20"/>
          <w:szCs w:val="20"/>
        </w:rPr>
        <w:t>to Title V permits</w:t>
      </w:r>
      <w:r w:rsidR="004C572C" w:rsidRPr="004C572C">
        <w:rPr>
          <w:rStyle w:val="Strong"/>
          <w:b w:val="0"/>
          <w:bCs w:val="0"/>
          <w:sz w:val="20"/>
          <w:szCs w:val="20"/>
        </w:rPr>
        <w:t xml:space="preserve">, the applicant has submitted a “PBR Supplemental Table” (OP-PBRSUP) </w:t>
      </w:r>
      <w:r w:rsidR="004C572C" w:rsidRPr="00B26F23">
        <w:rPr>
          <w:rStyle w:val="Strong"/>
          <w:b w:val="0"/>
          <w:bCs w:val="0"/>
          <w:sz w:val="20"/>
          <w:szCs w:val="20"/>
        </w:rPr>
        <w:t xml:space="preserve">dated </w:t>
      </w:r>
      <w:r w:rsidR="00BB66FC">
        <w:rPr>
          <w:sz w:val="20"/>
          <w:szCs w:val="20"/>
        </w:rPr>
        <w:t>December</w:t>
      </w:r>
      <w:r w:rsidR="00FD3902" w:rsidRPr="006E1542">
        <w:rPr>
          <w:sz w:val="20"/>
          <w:szCs w:val="20"/>
        </w:rPr>
        <w:t xml:space="preserve"> </w:t>
      </w:r>
      <w:r w:rsidR="00BB66FC">
        <w:rPr>
          <w:sz w:val="20"/>
          <w:szCs w:val="20"/>
        </w:rPr>
        <w:t>7</w:t>
      </w:r>
      <w:r w:rsidR="00FD3902" w:rsidRPr="006E1542">
        <w:rPr>
          <w:sz w:val="20"/>
          <w:szCs w:val="20"/>
        </w:rPr>
        <w:t>, 2022</w:t>
      </w:r>
      <w:r w:rsidR="00FD3902">
        <w:t xml:space="preserve"> in the application for project </w:t>
      </w:r>
      <w:r w:rsidR="00FD3902" w:rsidRPr="006E1542">
        <w:rPr>
          <w:sz w:val="20"/>
          <w:szCs w:val="20"/>
        </w:rPr>
        <w:t>34185</w:t>
      </w:r>
      <w:r w:rsidR="00FD3902">
        <w:t xml:space="preserve"> </w:t>
      </w:r>
      <w:r w:rsidR="004C572C" w:rsidRPr="004C572C">
        <w:rPr>
          <w:rStyle w:val="Strong"/>
          <w:b w:val="0"/>
          <w:bCs w:val="0"/>
          <w:sz w:val="20"/>
          <w:szCs w:val="20"/>
        </w:rPr>
        <w:t>to the permit application to list all PBRs applicable to the site, which include registered PBRs, claimed PBRs, and claimed PBRs for insignificant emission units. In addition, the PBR Supplemental table includes PBRs where applicability under 30 TAC Chapter 106 may be the only requirements applicable to an emission unit or an activity.</w:t>
      </w:r>
    </w:p>
    <w:p w14:paraId="2962B613" w14:textId="7FB45EA7" w:rsidR="004C572C" w:rsidRPr="004C572C" w:rsidRDefault="004C572C" w:rsidP="004C572C">
      <w:pPr>
        <w:pStyle w:val="ListParagraph"/>
        <w:widowControl/>
        <w:numPr>
          <w:ilvl w:val="0"/>
          <w:numId w:val="17"/>
        </w:numPr>
        <w:autoSpaceDE/>
        <w:autoSpaceDN/>
        <w:spacing w:after="120"/>
        <w:ind w:left="720" w:hanging="360"/>
        <w:contextualSpacing/>
        <w:rPr>
          <w:rStyle w:val="Strong"/>
          <w:b w:val="0"/>
          <w:bCs w:val="0"/>
          <w:sz w:val="20"/>
          <w:szCs w:val="20"/>
        </w:rPr>
      </w:pPr>
      <w:r w:rsidRPr="004C572C">
        <w:rPr>
          <w:rStyle w:val="Strong"/>
          <w:b w:val="0"/>
          <w:bCs w:val="0"/>
          <w:sz w:val="20"/>
          <w:szCs w:val="20"/>
        </w:rPr>
        <w:t>As shown in OP-PBRSUP Table, which is part of the permit record, the site lists registered PBRs in Table A. Table D lists monitoring requirements of PBRs listed in Tables A and B.</w:t>
      </w:r>
    </w:p>
    <w:p w14:paraId="4AEFB086" w14:textId="4590F218" w:rsidR="004C572C" w:rsidRPr="004C572C" w:rsidRDefault="004C572C" w:rsidP="004C572C">
      <w:pPr>
        <w:pStyle w:val="ListParagraph"/>
        <w:widowControl/>
        <w:numPr>
          <w:ilvl w:val="0"/>
          <w:numId w:val="17"/>
        </w:numPr>
        <w:autoSpaceDE/>
        <w:autoSpaceDN/>
        <w:spacing w:after="120"/>
        <w:ind w:left="720" w:hanging="360"/>
        <w:contextualSpacing/>
        <w:rPr>
          <w:rStyle w:val="Strong"/>
          <w:b w:val="0"/>
          <w:bCs w:val="0"/>
          <w:sz w:val="20"/>
          <w:szCs w:val="20"/>
        </w:rPr>
      </w:pPr>
      <w:r w:rsidRPr="004C572C">
        <w:rPr>
          <w:rStyle w:val="Strong"/>
          <w:b w:val="0"/>
          <w:bCs w:val="0"/>
          <w:sz w:val="20"/>
          <w:szCs w:val="20"/>
        </w:rPr>
        <w:t xml:space="preserve">Revised Special Term and Condition </w:t>
      </w:r>
      <w:r w:rsidR="00977ED6">
        <w:rPr>
          <w:rStyle w:val="Strong"/>
          <w:b w:val="0"/>
          <w:bCs w:val="0"/>
          <w:sz w:val="20"/>
          <w:szCs w:val="20"/>
        </w:rPr>
        <w:t>30</w:t>
      </w:r>
      <w:r w:rsidRPr="004C572C">
        <w:rPr>
          <w:rStyle w:val="Strong"/>
          <w:b w:val="0"/>
          <w:bCs w:val="0"/>
          <w:sz w:val="20"/>
          <w:szCs w:val="20"/>
        </w:rPr>
        <w:t xml:space="preserve"> in the Proposed Permit </w:t>
      </w:r>
      <w:r w:rsidR="009F73E9">
        <w:rPr>
          <w:rStyle w:val="Strong"/>
          <w:b w:val="0"/>
          <w:bCs w:val="0"/>
          <w:sz w:val="20"/>
          <w:szCs w:val="20"/>
        </w:rPr>
        <w:t>as follows: “</w:t>
      </w:r>
      <w:r w:rsidR="00977ED6" w:rsidRPr="00977ED6">
        <w:rPr>
          <w:rStyle w:val="Strong"/>
          <w:b w:val="0"/>
          <w:bCs w:val="0"/>
          <w:sz w:val="20"/>
          <w:szCs w:val="20"/>
        </w:rPr>
        <w:t>Permit holder shall comply with the requirements of New Source Review authorizations issued or claimed by the permit holder for the permitted area, including permits, permits by rule (including the terms,</w:t>
      </w:r>
      <w:r w:rsidR="00977ED6">
        <w:rPr>
          <w:rStyle w:val="Strong"/>
          <w:b w:val="0"/>
          <w:bCs w:val="0"/>
          <w:sz w:val="20"/>
          <w:szCs w:val="20"/>
        </w:rPr>
        <w:t xml:space="preserve"> </w:t>
      </w:r>
      <w:r w:rsidR="00977ED6" w:rsidRPr="00977ED6">
        <w:rPr>
          <w:rStyle w:val="Strong"/>
          <w:b w:val="0"/>
          <w:bCs w:val="0"/>
          <w:sz w:val="20"/>
          <w:szCs w:val="20"/>
        </w:rPr>
        <w:t xml:space="preserve">conditions, monitoring, recordkeeping, and reporting identified in registered PBR and permits by rule identified in the PBR Supplemental Tables dated </w:t>
      </w:r>
      <w:r w:rsidR="00BB66FC">
        <w:rPr>
          <w:rStyle w:val="Strong"/>
          <w:b w:val="0"/>
          <w:bCs w:val="0"/>
          <w:sz w:val="20"/>
          <w:szCs w:val="20"/>
        </w:rPr>
        <w:t>December</w:t>
      </w:r>
      <w:r w:rsidR="00977ED6" w:rsidRPr="00977ED6">
        <w:rPr>
          <w:rStyle w:val="Strong"/>
          <w:b w:val="0"/>
          <w:bCs w:val="0"/>
          <w:sz w:val="20"/>
          <w:szCs w:val="20"/>
        </w:rPr>
        <w:t xml:space="preserve"> </w:t>
      </w:r>
      <w:r w:rsidR="00BB66FC">
        <w:rPr>
          <w:rStyle w:val="Strong"/>
          <w:b w:val="0"/>
          <w:bCs w:val="0"/>
          <w:sz w:val="20"/>
          <w:szCs w:val="20"/>
        </w:rPr>
        <w:t>7</w:t>
      </w:r>
      <w:r w:rsidR="00977ED6" w:rsidRPr="00977ED6">
        <w:rPr>
          <w:rStyle w:val="Strong"/>
          <w:b w:val="0"/>
          <w:bCs w:val="0"/>
          <w:sz w:val="20"/>
          <w:szCs w:val="20"/>
        </w:rPr>
        <w:t>, 2022 in the application for project 34185), standard permits, flexible permits, special permits, permits for existing facilities including Voluntary Emissions Reduction Permits and Electric Generating Facility Permits issued under 30 TAC Chapter 116, Subchapter I, or special exemptions referenced in the New Source Review Authorization References attachment</w:t>
      </w:r>
      <w:r w:rsidR="009F73E9">
        <w:rPr>
          <w:rStyle w:val="Strong"/>
          <w:b w:val="0"/>
          <w:bCs w:val="0"/>
          <w:sz w:val="20"/>
          <w:szCs w:val="20"/>
        </w:rPr>
        <w:t>.”</w:t>
      </w:r>
    </w:p>
    <w:p w14:paraId="6853D24E" w14:textId="6E11FB03" w:rsidR="004C572C" w:rsidRPr="004C572C" w:rsidRDefault="004C572C" w:rsidP="004C572C">
      <w:pPr>
        <w:pStyle w:val="ListParagraph"/>
        <w:widowControl/>
        <w:numPr>
          <w:ilvl w:val="0"/>
          <w:numId w:val="17"/>
        </w:numPr>
        <w:autoSpaceDE/>
        <w:autoSpaceDN/>
        <w:spacing w:after="120"/>
        <w:ind w:left="720" w:hanging="360"/>
        <w:contextualSpacing/>
        <w:rPr>
          <w:rStyle w:val="Strong"/>
          <w:b w:val="0"/>
          <w:bCs w:val="0"/>
          <w:sz w:val="20"/>
          <w:szCs w:val="20"/>
        </w:rPr>
      </w:pPr>
      <w:r w:rsidRPr="004C572C">
        <w:rPr>
          <w:rStyle w:val="Strong"/>
          <w:b w:val="0"/>
          <w:bCs w:val="0"/>
          <w:sz w:val="20"/>
          <w:szCs w:val="20"/>
        </w:rPr>
        <w:t xml:space="preserve">Revised the SOB to include a reference to the PBR Supplemental Table and Special Term and Condition </w:t>
      </w:r>
      <w:r w:rsidR="00977ED6">
        <w:rPr>
          <w:rStyle w:val="Strong"/>
          <w:b w:val="0"/>
          <w:bCs w:val="0"/>
          <w:sz w:val="20"/>
          <w:szCs w:val="20"/>
        </w:rPr>
        <w:t>30</w:t>
      </w:r>
      <w:r w:rsidRPr="004C572C">
        <w:rPr>
          <w:rStyle w:val="Strong"/>
          <w:b w:val="0"/>
          <w:bCs w:val="0"/>
          <w:sz w:val="20"/>
          <w:szCs w:val="20"/>
        </w:rPr>
        <w:t>. In addition, the Insignificant Activity list in the SOB has been expanded to include a link to the de minimis source list and references to PBRs that are not listed on the OP</w:t>
      </w:r>
      <w:r w:rsidRPr="004C572C">
        <w:rPr>
          <w:rStyle w:val="Strong"/>
          <w:b w:val="0"/>
          <w:bCs w:val="0"/>
          <w:sz w:val="20"/>
          <w:szCs w:val="20"/>
        </w:rPr>
        <w:noBreakHyphen/>
        <w:t>REQ1.</w:t>
      </w:r>
    </w:p>
    <w:p w14:paraId="72B7DB11" w14:textId="77777777" w:rsidR="004C572C" w:rsidRPr="004C572C" w:rsidRDefault="004C572C" w:rsidP="004C572C">
      <w:pPr>
        <w:numPr>
          <w:ilvl w:val="12"/>
          <w:numId w:val="0"/>
        </w:numPr>
        <w:rPr>
          <w:rStyle w:val="Strong"/>
          <w:rFonts w:cs="Arial"/>
          <w:b w:val="0"/>
          <w:bCs w:val="0"/>
          <w:szCs w:val="20"/>
        </w:rPr>
      </w:pPr>
      <w:r w:rsidRPr="004C572C">
        <w:rPr>
          <w:rStyle w:val="Strong"/>
          <w:rFonts w:cs="Arial"/>
          <w:b w:val="0"/>
          <w:bCs w:val="0"/>
          <w:szCs w:val="20"/>
        </w:rPr>
        <w:tab/>
      </w:r>
    </w:p>
    <w:p w14:paraId="125C0820" w14:textId="2F7918DF" w:rsidR="004C572C" w:rsidRPr="004C572C" w:rsidRDefault="004C572C" w:rsidP="004C572C">
      <w:pPr>
        <w:numPr>
          <w:ilvl w:val="12"/>
          <w:numId w:val="0"/>
        </w:numPr>
        <w:rPr>
          <w:rStyle w:val="Strong"/>
          <w:rFonts w:cs="Arial"/>
          <w:b w:val="0"/>
          <w:bCs w:val="0"/>
          <w:szCs w:val="20"/>
        </w:rPr>
      </w:pPr>
      <w:r w:rsidRPr="004C572C">
        <w:rPr>
          <w:rStyle w:val="Strong"/>
          <w:rFonts w:cs="Arial"/>
          <w:b w:val="0"/>
          <w:bCs w:val="0"/>
          <w:szCs w:val="20"/>
        </w:rPr>
        <w:t xml:space="preserve">In addition, </w:t>
      </w:r>
      <w:r w:rsidRPr="004C572C">
        <w:rPr>
          <w:rFonts w:cs="Arial"/>
          <w:szCs w:val="20"/>
        </w:rPr>
        <w:t>rules establishing authority to issue Permits by Rule (PBR) to certain sources are approved as part of the Texas SIP.  30 TAC Chapter 106, Subchapter A is a defined applicable requirement under Chapter 122 and the EPA-approved Texas operating permit program.  Subchapter A includes applicability, requirements for permitting by rule, registration of emissions, recordkeeping and references to standard exemptions, and exemptions from permitting</w:t>
      </w:r>
      <w:r w:rsidRPr="004C572C">
        <w:rPr>
          <w:rStyle w:val="Strong"/>
          <w:rFonts w:cs="Arial"/>
          <w:b w:val="0"/>
          <w:bCs w:val="0"/>
          <w:szCs w:val="20"/>
        </w:rPr>
        <w:t>.  Title 30 TAC Chapter 106 provides a list of authorizations for certain types of facilities or changes within facilities which the Commission has determined will not make a significant contribution of air contaminants to the atmosphere pursuant to the Texas Health and Safety Code, the TCAA, § 382.057 and § 382.05196.  Additionally, PBR authorizations can apply to distinct, insignificant sources of emissions (i.e.</w:t>
      </w:r>
      <w:r w:rsidR="009F73E9">
        <w:rPr>
          <w:rStyle w:val="Strong"/>
          <w:rFonts w:cs="Arial"/>
          <w:b w:val="0"/>
          <w:bCs w:val="0"/>
          <w:szCs w:val="20"/>
        </w:rPr>
        <w:t>,</w:t>
      </w:r>
      <w:r w:rsidRPr="004C572C">
        <w:rPr>
          <w:rStyle w:val="Strong"/>
          <w:rFonts w:cs="Arial"/>
          <w:b w:val="0"/>
          <w:bCs w:val="0"/>
          <w:szCs w:val="20"/>
        </w:rPr>
        <w:t xml:space="preserve"> engine, production process, etc.) at a Title V site.  As such, PBRs are consistent with EPA policy, and prior Texas SIP decisions and incorporation of PBRs into the </w:t>
      </w:r>
      <w:r w:rsidR="009F73E9">
        <w:rPr>
          <w:rStyle w:val="Strong"/>
          <w:rFonts w:cs="Arial"/>
          <w:b w:val="0"/>
          <w:bCs w:val="0"/>
          <w:szCs w:val="20"/>
        </w:rPr>
        <w:t>Proposed</w:t>
      </w:r>
      <w:r w:rsidRPr="004C572C">
        <w:rPr>
          <w:rStyle w:val="Strong"/>
          <w:rFonts w:cs="Arial"/>
          <w:b w:val="0"/>
          <w:bCs w:val="0"/>
          <w:szCs w:val="20"/>
        </w:rPr>
        <w:t xml:space="preserve"> Permit is permissible.  All current and historical PBRs and standard exemptions (predecessors to PBRs) are available on the TCEQ Web site for review.  </w:t>
      </w:r>
    </w:p>
    <w:p w14:paraId="7AD7F25C" w14:textId="2F65FC45" w:rsidR="004C4EAE" w:rsidRDefault="004C4EAE" w:rsidP="006D2D1C"/>
    <w:p w14:paraId="5F8069D1" w14:textId="5C684E97" w:rsidR="00BF3625" w:rsidRPr="004C0FC5" w:rsidRDefault="00BF3625" w:rsidP="00CF10E6"/>
    <w:sectPr w:rsidR="00BF3625" w:rsidRPr="004C0FC5" w:rsidSect="00917B86">
      <w:headerReference w:type="default" r:id="rId22"/>
      <w:type w:val="continuous"/>
      <w:pgSz w:w="12240" w:h="15838" w:code="1"/>
      <w:pgMar w:top="1440" w:right="1440" w:bottom="720" w:left="1440" w:header="144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34CB64E" w14:textId="77777777" w:rsidR="00BB7F2F" w:rsidRDefault="00BB7F2F">
      <w:r>
        <w:separator/>
      </w:r>
    </w:p>
  </w:endnote>
  <w:endnote w:type="continuationSeparator" w:id="0">
    <w:p w14:paraId="25B495D7" w14:textId="77777777" w:rsidR="00BB7F2F" w:rsidRDefault="00BB7F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Lucida Bright">
    <w:panose1 w:val="02040602050505020304"/>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84B3CF" w14:textId="77777777" w:rsidR="00D42A8F" w:rsidRPr="00095CE7" w:rsidRDefault="00D42A8F" w:rsidP="00095CE7">
    <w:pPr>
      <w:pStyle w:val="AgencyFooter"/>
    </w:pPr>
    <w:r w:rsidRPr="00095CE7">
      <w:t>P.O. Box 13087   •   Austin, Texas 78711-3087   •   512-239-1000   •   tceq.texas.gov</w:t>
    </w:r>
  </w:p>
  <w:p w14:paraId="62F2D4F4" w14:textId="77777777" w:rsidR="00D42A8F" w:rsidRPr="00095CE7" w:rsidRDefault="00D42A8F" w:rsidP="00095CE7">
    <w:pPr>
      <w:pStyle w:val="AgencyFooter2"/>
    </w:pPr>
    <w:r w:rsidRPr="00095CE7">
      <w:t>How is our customer service?     tceq.texas.gov/customersurvey</w:t>
    </w:r>
  </w:p>
  <w:p w14:paraId="18E07CCB" w14:textId="77777777" w:rsidR="00D42A8F" w:rsidRPr="00095CE7" w:rsidRDefault="00D42A8F" w:rsidP="00095CE7">
    <w:pPr>
      <w:pStyle w:val="AgencyFooter3"/>
    </w:pPr>
    <w:r w:rsidRPr="00095CE7">
      <w:t>printed on recycled paper</w:t>
    </w:r>
  </w:p>
  <w:p w14:paraId="77203DA7" w14:textId="77777777" w:rsidR="00725612" w:rsidRPr="00F668F4" w:rsidRDefault="00725612" w:rsidP="00F668F4"/>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3807E8" w14:textId="77777777" w:rsidR="00D42A8F" w:rsidRPr="00095CE7" w:rsidRDefault="00D42A8F" w:rsidP="00095CE7">
    <w:pPr>
      <w:pStyle w:val="AgencyFooter"/>
    </w:pPr>
    <w:r>
      <w:fldChar w:fldCharType="begin"/>
    </w:r>
    <w:r>
      <w:instrText xml:space="preserve"> INCLUDETEXT X:\\Macros\\Misc\\LetterHeadFooter.doc  \* MERGEFORMAT </w:instrText>
    </w:r>
    <w:r>
      <w:fldChar w:fldCharType="separate"/>
    </w:r>
    <w:r w:rsidRPr="00095CE7">
      <w:t xml:space="preserve">P.O. Box 13087   •   Austin, Texas 78711-3087   •   512-239-1000   •   </w:t>
    </w:r>
    <w:hyperlink r:id="rId1" w:history="1">
      <w:r w:rsidRPr="00095CE7">
        <w:t>tceq.texas.gov</w:t>
      </w:r>
    </w:hyperlink>
  </w:p>
  <w:p w14:paraId="1C942587" w14:textId="77777777" w:rsidR="00D42A8F" w:rsidRPr="00095CE7" w:rsidRDefault="00D42A8F" w:rsidP="00095CE7">
    <w:pPr>
      <w:pStyle w:val="AgencyFooter2"/>
    </w:pPr>
    <w:r w:rsidRPr="00095CE7">
      <w:t>How is our customer service?     tceq.texas.gov/customersurvey</w:t>
    </w:r>
  </w:p>
  <w:p w14:paraId="7A706223" w14:textId="77777777" w:rsidR="00D42A8F" w:rsidRPr="00095CE7" w:rsidRDefault="00D42A8F" w:rsidP="00095CE7">
    <w:pPr>
      <w:pStyle w:val="AgencyFooter3"/>
    </w:pPr>
    <w:r w:rsidRPr="00095CE7">
      <w:t>printed on recycled paper</w:t>
    </w:r>
  </w:p>
  <w:p w14:paraId="4471DE76" w14:textId="77777777" w:rsidR="00725612" w:rsidRDefault="00D42A8F" w:rsidP="00ED2116">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A08A59" w14:textId="77777777" w:rsidR="00725612" w:rsidRDefault="00725612">
    <w:pPr>
      <w:jc w:val="both"/>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2EF5B8" w14:textId="77777777" w:rsidR="00725612" w:rsidRPr="00724059" w:rsidRDefault="00725612" w:rsidP="003E5C67">
    <w:pPr>
      <w:jc w:val="center"/>
      <w:rPr>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C495EC9" w14:textId="77777777" w:rsidR="00BB7F2F" w:rsidRDefault="00BB7F2F">
      <w:r>
        <w:separator/>
      </w:r>
    </w:p>
  </w:footnote>
  <w:footnote w:type="continuationSeparator" w:id="0">
    <w:p w14:paraId="458D80CF" w14:textId="77777777" w:rsidR="00BB7F2F" w:rsidRDefault="00BB7F2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CDC104" w14:textId="77777777" w:rsidR="00D42A8F" w:rsidRPr="00A85FC2" w:rsidRDefault="00C24448" w:rsidP="00DF682A">
    <w:pPr>
      <w:pStyle w:val="LetterheadNames"/>
    </w:pPr>
    <w:r>
      <w:pict w14:anchorId="0FD4D57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025" type="#_x0000_t75" alt="TX-SEAL" style="position:absolute;left:0;text-align:left;margin-left:199.85pt;margin-top:-11.6pt;width:67.7pt;height:69.2pt;z-index:251844608;visibility:visible;mso-position-horizontal-relative:text;mso-position-vertical-relative:text">
          <v:imagedata r:id="rId1" o:title="TX-SEAL"/>
        </v:shape>
      </w:pict>
    </w:r>
    <w:r w:rsidR="00D42A8F" w:rsidRPr="00B7611F">
      <w:t>Jon Niermann</w:t>
    </w:r>
    <w:r w:rsidR="00D42A8F" w:rsidRPr="00A85FC2">
      <w:t xml:space="preserve">, </w:t>
    </w:r>
    <w:r w:rsidR="00D42A8F" w:rsidRPr="009A3E9D">
      <w:rPr>
        <w:rStyle w:val="LetterheadNameTitleChar"/>
      </w:rPr>
      <w:t>Chairman</w:t>
    </w:r>
  </w:p>
  <w:p w14:paraId="3B7289C6" w14:textId="77777777" w:rsidR="00D42A8F" w:rsidRDefault="00D42A8F" w:rsidP="00DF682A">
    <w:pPr>
      <w:pStyle w:val="LetterheadNames"/>
      <w:rPr>
        <w:rStyle w:val="LetterheadNameTitleChar"/>
      </w:rPr>
    </w:pPr>
    <w:r w:rsidRPr="00B7611F">
      <w:t>Emily Lindley</w:t>
    </w:r>
    <w:r w:rsidRPr="00A85FC2">
      <w:t xml:space="preserve">, </w:t>
    </w:r>
    <w:r w:rsidRPr="00A85FC2">
      <w:rPr>
        <w:rStyle w:val="LetterheadNameTitleChar"/>
      </w:rPr>
      <w:t>Commissioner</w:t>
    </w:r>
  </w:p>
  <w:p w14:paraId="341C4A2C" w14:textId="77777777" w:rsidR="00D42A8F" w:rsidRPr="00A85FC2" w:rsidRDefault="00D42A8F" w:rsidP="00DF682A">
    <w:pPr>
      <w:pStyle w:val="LetterheadNames"/>
    </w:pPr>
    <w:r w:rsidRPr="002F0C19">
      <w:t xml:space="preserve">Bobby Janecka, </w:t>
    </w:r>
    <w:r w:rsidRPr="00DC1939">
      <w:rPr>
        <w:i/>
      </w:rPr>
      <w:t>Commissioner</w:t>
    </w:r>
  </w:p>
  <w:p w14:paraId="3C563A46" w14:textId="338A00A0" w:rsidR="00D42A8F" w:rsidRPr="00A85FC2" w:rsidRDefault="005361C7" w:rsidP="00DF682A">
    <w:pPr>
      <w:pStyle w:val="LetterheadNames"/>
    </w:pPr>
    <w:r w:rsidRPr="004840BF">
      <w:t>Erin E. Chancellor</w:t>
    </w:r>
    <w:r w:rsidRPr="00A85FC2">
      <w:t xml:space="preserve">, </w:t>
    </w:r>
    <w:r w:rsidRPr="004840BF">
      <w:rPr>
        <w:rStyle w:val="LetterheadNameTitleChar"/>
      </w:rPr>
      <w:t>Interim Executive Director</w:t>
    </w:r>
  </w:p>
  <w:p w14:paraId="5306636C" w14:textId="77777777" w:rsidR="00D42A8F" w:rsidRPr="003079D9" w:rsidRDefault="00D42A8F" w:rsidP="00DF682A">
    <w:pPr>
      <w:pStyle w:val="LetterHeadTitle"/>
    </w:pPr>
    <w:r w:rsidRPr="003079D9">
      <w:t>Texas Commission on Environmental Quality</w:t>
    </w:r>
  </w:p>
  <w:p w14:paraId="372117D4" w14:textId="77777777" w:rsidR="00D42A8F" w:rsidRDefault="00D42A8F" w:rsidP="00DF682A">
    <w:pPr>
      <w:pStyle w:val="LetterheadSubheading"/>
    </w:pPr>
    <w:r w:rsidRPr="00E73ABD">
      <w:t xml:space="preserve">Protecting Texas by Reducing and Preventing </w:t>
    </w:r>
    <w:r w:rsidRPr="00B242EB">
      <w:t>Pollution</w:t>
    </w:r>
  </w:p>
  <w:p w14:paraId="0B9BE195" w14:textId="77777777" w:rsidR="00725612" w:rsidRPr="00F668F4" w:rsidRDefault="00725612" w:rsidP="00F668F4">
    <w:pPr>
      <w:rPr>
        <w:szCs w:val="23"/>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3052BA" w14:textId="77777777" w:rsidR="00D42A8F" w:rsidRPr="00A85FC2" w:rsidRDefault="00D42A8F" w:rsidP="00DF682A">
    <w:pPr>
      <w:pStyle w:val="LetterheadNames"/>
    </w:pPr>
    <w:r>
      <w:fldChar w:fldCharType="begin"/>
    </w:r>
    <w:r>
      <w:instrText xml:space="preserve"> INCLUDETEXT X:\\Macros\\Misc\\LetterHeadHeader.doc  </w:instrText>
    </w:r>
    <w:r>
      <w:fldChar w:fldCharType="separate"/>
    </w:r>
    <w:r w:rsidR="00C24448">
      <w:pict w14:anchorId="730D463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5" type="#_x0000_t75" alt="TX-SEAL" style="position:absolute;left:0;text-align:left;margin-left:199.85pt;margin-top:-11.6pt;width:67.7pt;height:69.2pt;z-index:251865088;visibility:visible;mso-position-horizontal-relative:text;mso-position-vertical-relative:text">
          <v:imagedata r:id="rId1" o:title="TX-SEAL"/>
        </v:shape>
      </w:pict>
    </w:r>
    <w:r w:rsidRPr="00B7611F">
      <w:t>Jon Niermann</w:t>
    </w:r>
    <w:r w:rsidRPr="00A85FC2">
      <w:t xml:space="preserve">, </w:t>
    </w:r>
    <w:r w:rsidRPr="009A3E9D">
      <w:rPr>
        <w:rStyle w:val="LetterheadNameTitleChar"/>
      </w:rPr>
      <w:t>Chairman</w:t>
    </w:r>
  </w:p>
  <w:p w14:paraId="42E2AD98" w14:textId="77777777" w:rsidR="00D42A8F" w:rsidRDefault="00D42A8F" w:rsidP="00DF682A">
    <w:pPr>
      <w:pStyle w:val="LetterheadNames"/>
      <w:rPr>
        <w:rStyle w:val="LetterheadNameTitleChar"/>
      </w:rPr>
    </w:pPr>
    <w:r w:rsidRPr="00B7611F">
      <w:t>Emily Lindley</w:t>
    </w:r>
    <w:r w:rsidRPr="00A85FC2">
      <w:t xml:space="preserve">, </w:t>
    </w:r>
    <w:r w:rsidRPr="00A85FC2">
      <w:rPr>
        <w:rStyle w:val="LetterheadNameTitleChar"/>
      </w:rPr>
      <w:t>Commissioner</w:t>
    </w:r>
  </w:p>
  <w:p w14:paraId="0D2A7C29" w14:textId="77777777" w:rsidR="00D42A8F" w:rsidRPr="00A85FC2" w:rsidRDefault="00D42A8F" w:rsidP="00DF682A">
    <w:pPr>
      <w:pStyle w:val="LetterheadNames"/>
    </w:pPr>
    <w:r w:rsidRPr="002F0C19">
      <w:t xml:space="preserve">Bobby Janecka, </w:t>
    </w:r>
    <w:r w:rsidRPr="00DC1939">
      <w:rPr>
        <w:i/>
      </w:rPr>
      <w:t>Commissioner</w:t>
    </w:r>
  </w:p>
  <w:p w14:paraId="31E9DF80" w14:textId="77777777" w:rsidR="00D42A8F" w:rsidRPr="00A85FC2" w:rsidRDefault="00D42A8F" w:rsidP="00DF682A">
    <w:pPr>
      <w:pStyle w:val="LetterheadNames"/>
    </w:pPr>
    <w:r w:rsidRPr="00B7611F">
      <w:t>Toby Baker</w:t>
    </w:r>
    <w:r w:rsidRPr="00A85FC2">
      <w:t xml:space="preserve">, </w:t>
    </w:r>
    <w:r w:rsidRPr="00B7611F">
      <w:rPr>
        <w:rStyle w:val="LetterheadNameTitleChar"/>
      </w:rPr>
      <w:t>Executive Director</w:t>
    </w:r>
  </w:p>
  <w:p w14:paraId="74300A96" w14:textId="77777777" w:rsidR="00D42A8F" w:rsidRPr="003079D9" w:rsidRDefault="00D42A8F" w:rsidP="00DF682A">
    <w:pPr>
      <w:pStyle w:val="LetterHeadTitle"/>
    </w:pPr>
    <w:r w:rsidRPr="003079D9">
      <w:t>Texas Commission on Environmental Quality</w:t>
    </w:r>
  </w:p>
  <w:p w14:paraId="72131B91" w14:textId="77777777" w:rsidR="00D42A8F" w:rsidRDefault="00D42A8F" w:rsidP="00DF682A">
    <w:pPr>
      <w:pStyle w:val="LetterheadSubheading"/>
    </w:pPr>
    <w:r w:rsidRPr="00E73ABD">
      <w:t xml:space="preserve">Protecting Texas by Reducing and Preventing </w:t>
    </w:r>
    <w:r w:rsidRPr="00B242EB">
      <w:t>Pollution</w:t>
    </w:r>
  </w:p>
  <w:p w14:paraId="62158C46" w14:textId="77777777" w:rsidR="00725612" w:rsidRPr="00ED2116" w:rsidRDefault="00D42A8F">
    <w:pPr>
      <w:rPr>
        <w:szCs w:val="20"/>
      </w:rPr>
    </w:pPr>
    <w: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0FD82A" w14:textId="4EEA1E1B" w:rsidR="00725612" w:rsidRDefault="00725612">
    <w:r>
      <w:rPr>
        <w:color w:val="000000"/>
      </w:rPr>
      <w:t xml:space="preserve">Mr. </w:t>
    </w:r>
    <w:r w:rsidR="00095675">
      <w:rPr>
        <w:color w:val="000000"/>
      </w:rPr>
      <w:t>Jeffrey Robinson</w:t>
    </w:r>
  </w:p>
  <w:p w14:paraId="4DE4A916" w14:textId="77777777" w:rsidR="00725612" w:rsidRDefault="00725612">
    <w:pPr>
      <w:rPr>
        <w:rStyle w:val="PageNumber"/>
      </w:rPr>
    </w:pPr>
    <w:r>
      <w:t xml:space="preserve">Page </w:t>
    </w:r>
    <w:r>
      <w:rPr>
        <w:rStyle w:val="PageNumber"/>
      </w:rPr>
      <w:fldChar w:fldCharType="begin"/>
    </w:r>
    <w:r>
      <w:rPr>
        <w:rStyle w:val="PageNumber"/>
      </w:rPr>
      <w:instrText xml:space="preserve"> PAGE </w:instrText>
    </w:r>
    <w:r>
      <w:rPr>
        <w:rStyle w:val="PageNumber"/>
      </w:rPr>
      <w:fldChar w:fldCharType="separate"/>
    </w:r>
    <w:r w:rsidR="00EF0A63">
      <w:rPr>
        <w:rStyle w:val="PageNumber"/>
        <w:noProof/>
      </w:rPr>
      <w:t>2</w:t>
    </w:r>
    <w:r>
      <w:rPr>
        <w:rStyle w:val="PageNumber"/>
      </w:rPr>
      <w:fldChar w:fldCharType="end"/>
    </w:r>
  </w:p>
  <w:p w14:paraId="58378523" w14:textId="1EDBD928" w:rsidR="00725612" w:rsidRDefault="00E12BC9">
    <w:r>
      <w:t xml:space="preserve">January </w:t>
    </w:r>
    <w:r w:rsidR="006974B9">
      <w:t>27</w:t>
    </w:r>
    <w:r>
      <w:t>, 2023</w:t>
    </w:r>
  </w:p>
  <w:p w14:paraId="64FB68E1" w14:textId="77777777" w:rsidR="00725612" w:rsidRDefault="00725612"/>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260B4E" w14:textId="77777777" w:rsidR="00725612" w:rsidRDefault="00725612"/>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51E2A0" w14:textId="77777777" w:rsidR="00725612" w:rsidRDefault="00725612">
    <w:pPr>
      <w:rPr>
        <w:bCs/>
      </w:rPr>
    </w:pPr>
    <w:r w:rsidRPr="002C7CC9">
      <w:rPr>
        <w:bCs/>
      </w:rPr>
      <w:t>EXECUTIVE DIRECTOR’S RESPONSE TO EPA OBJECTION</w:t>
    </w:r>
  </w:p>
  <w:p w14:paraId="526FDE9A" w14:textId="77777777" w:rsidR="00725612" w:rsidRDefault="00725612">
    <w:pPr>
      <w:rPr>
        <w:bCs/>
      </w:rPr>
    </w:pPr>
    <w:r>
      <w:rPr>
        <w:bCs/>
      </w:rPr>
      <w:t xml:space="preserve">Permit Number </w:t>
    </w:r>
    <w:r w:rsidR="0055381A">
      <w:rPr>
        <w:bCs/>
      </w:rPr>
      <w:t>O2269</w:t>
    </w:r>
  </w:p>
  <w:p w14:paraId="28BBA8EA" w14:textId="77777777" w:rsidR="00725612" w:rsidRDefault="00725612">
    <w:pPr>
      <w:rPr>
        <w:rStyle w:val="PageNumber"/>
      </w:rPr>
    </w:pPr>
    <w:r>
      <w:rPr>
        <w:bCs/>
      </w:rPr>
      <w:t xml:space="preserve">Page </w:t>
    </w: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p w14:paraId="424BF339" w14:textId="77777777" w:rsidR="00725612" w:rsidRDefault="00725612"/>
  <w:p w14:paraId="76BE9FDB" w14:textId="77777777" w:rsidR="00725612" w:rsidRPr="002C7CC9" w:rsidRDefault="00725612"/>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2DAA52FC"/>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22568C1A"/>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CE78833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6AFA569A"/>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DD62868C"/>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6B628DC"/>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1010B266"/>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33F22E12"/>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04EA003C"/>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446688A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22CF18A5"/>
    <w:multiLevelType w:val="hybridMultilevel"/>
    <w:tmpl w:val="52FCE8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CD202D"/>
    <w:multiLevelType w:val="multilevel"/>
    <w:tmpl w:val="0B3AF90E"/>
    <w:lvl w:ilvl="0">
      <w:start w:val="1"/>
      <w:numFmt w:val="decimal"/>
      <w:lvlText w:val="%1."/>
      <w:legacy w:legacy="1" w:legacySpace="0" w:legacyIndent="0"/>
      <w:lvlJc w:val="left"/>
      <w:pPr>
        <w:ind w:left="0" w:firstLine="0"/>
      </w:pPr>
    </w:lvl>
    <w:lvl w:ilvl="1">
      <w:start w:val="1"/>
      <w:numFmt w:val="lowerLetter"/>
      <w:lvlText w:val="%2."/>
      <w:legacy w:legacy="1" w:legacySpace="0" w:legacyIndent="0"/>
      <w:lvlJc w:val="left"/>
      <w:pPr>
        <w:ind w:left="0" w:firstLine="0"/>
      </w:pPr>
    </w:lvl>
    <w:lvl w:ilvl="2">
      <w:start w:val="1"/>
      <w:numFmt w:val="lowerRoman"/>
      <w:lvlText w:val="%3."/>
      <w:legacy w:legacy="1" w:legacySpace="0" w:legacyIndent="0"/>
      <w:lvlJc w:val="left"/>
      <w:pPr>
        <w:ind w:left="0" w:firstLine="0"/>
      </w:pPr>
    </w:lvl>
    <w:lvl w:ilvl="3">
      <w:start w:val="1"/>
      <w:numFmt w:val="decimal"/>
      <w:lvlText w:val="(%4)"/>
      <w:legacy w:legacy="1" w:legacySpace="0" w:legacyIndent="0"/>
      <w:lvlJc w:val="left"/>
      <w:pPr>
        <w:ind w:left="0" w:firstLine="0"/>
      </w:pPr>
    </w:lvl>
    <w:lvl w:ilvl="4">
      <w:start w:val="1"/>
      <w:numFmt w:val="lowerLetter"/>
      <w:lvlText w:val="(%5)"/>
      <w:legacy w:legacy="1" w:legacySpace="0" w:legacyIndent="0"/>
      <w:lvlJc w:val="left"/>
      <w:pPr>
        <w:ind w:left="0" w:firstLine="0"/>
      </w:pPr>
    </w:lvl>
    <w:lvl w:ilvl="5">
      <w:start w:val="1"/>
      <w:numFmt w:val="lowerRoman"/>
      <w:lvlText w:val="(%6)"/>
      <w:legacy w:legacy="1" w:legacySpace="0" w:legacyIndent="0"/>
      <w:lvlJc w:val="left"/>
      <w:pPr>
        <w:ind w:left="0" w:firstLine="0"/>
      </w:pPr>
    </w:lvl>
    <w:lvl w:ilvl="6">
      <w:start w:val="1"/>
      <w:numFmt w:val="decimal"/>
      <w:lvlText w:val="%7)"/>
      <w:legacy w:legacy="1" w:legacySpace="0" w:legacyIndent="0"/>
      <w:lvlJc w:val="left"/>
      <w:pPr>
        <w:ind w:left="0" w:firstLine="0"/>
      </w:pPr>
    </w:lvl>
    <w:lvl w:ilvl="7">
      <w:start w:val="1"/>
      <w:numFmt w:val="lowerLetter"/>
      <w:lvlText w:val="%8)"/>
      <w:legacy w:legacy="1" w:legacySpace="0" w:legacyIndent="0"/>
      <w:lvlJc w:val="left"/>
      <w:pPr>
        <w:ind w:left="0" w:firstLine="0"/>
      </w:pPr>
    </w:lvl>
    <w:lvl w:ilvl="8">
      <w:start w:val="1"/>
      <w:numFmt w:val="lowerRoman"/>
      <w:lvlText w:val="%9)"/>
      <w:legacy w:legacy="1" w:legacySpace="0" w:legacyIndent="0"/>
      <w:lvlJc w:val="left"/>
      <w:pPr>
        <w:ind w:left="0" w:firstLine="0"/>
      </w:pPr>
    </w:lvl>
  </w:abstractNum>
  <w:abstractNum w:abstractNumId="12" w15:restartNumberingAfterBreak="0">
    <w:nsid w:val="2695521F"/>
    <w:multiLevelType w:val="multilevel"/>
    <w:tmpl w:val="0B3AF90E"/>
    <w:lvl w:ilvl="0">
      <w:start w:val="1"/>
      <w:numFmt w:val="decimal"/>
      <w:lvlText w:val="%1."/>
      <w:legacy w:legacy="1" w:legacySpace="0" w:legacyIndent="0"/>
      <w:lvlJc w:val="left"/>
      <w:pPr>
        <w:ind w:left="0" w:firstLine="0"/>
      </w:pPr>
    </w:lvl>
    <w:lvl w:ilvl="1">
      <w:start w:val="1"/>
      <w:numFmt w:val="lowerLetter"/>
      <w:lvlText w:val="%2."/>
      <w:legacy w:legacy="1" w:legacySpace="0" w:legacyIndent="0"/>
      <w:lvlJc w:val="left"/>
      <w:pPr>
        <w:ind w:left="0" w:firstLine="0"/>
      </w:pPr>
    </w:lvl>
    <w:lvl w:ilvl="2">
      <w:start w:val="1"/>
      <w:numFmt w:val="lowerRoman"/>
      <w:lvlText w:val="%3."/>
      <w:legacy w:legacy="1" w:legacySpace="0" w:legacyIndent="0"/>
      <w:lvlJc w:val="left"/>
      <w:pPr>
        <w:ind w:left="0" w:firstLine="0"/>
      </w:pPr>
    </w:lvl>
    <w:lvl w:ilvl="3">
      <w:start w:val="1"/>
      <w:numFmt w:val="decimal"/>
      <w:lvlText w:val="(%4)"/>
      <w:legacy w:legacy="1" w:legacySpace="0" w:legacyIndent="0"/>
      <w:lvlJc w:val="left"/>
      <w:pPr>
        <w:ind w:left="0" w:firstLine="0"/>
      </w:pPr>
    </w:lvl>
    <w:lvl w:ilvl="4">
      <w:start w:val="1"/>
      <w:numFmt w:val="lowerLetter"/>
      <w:lvlText w:val="(%5)"/>
      <w:legacy w:legacy="1" w:legacySpace="0" w:legacyIndent="0"/>
      <w:lvlJc w:val="left"/>
      <w:pPr>
        <w:ind w:left="0" w:firstLine="0"/>
      </w:pPr>
    </w:lvl>
    <w:lvl w:ilvl="5">
      <w:start w:val="1"/>
      <w:numFmt w:val="lowerRoman"/>
      <w:lvlText w:val="(%6)"/>
      <w:legacy w:legacy="1" w:legacySpace="0" w:legacyIndent="0"/>
      <w:lvlJc w:val="left"/>
      <w:pPr>
        <w:ind w:left="0" w:firstLine="0"/>
      </w:pPr>
    </w:lvl>
    <w:lvl w:ilvl="6">
      <w:start w:val="1"/>
      <w:numFmt w:val="decimal"/>
      <w:lvlText w:val="%7)"/>
      <w:legacy w:legacy="1" w:legacySpace="0" w:legacyIndent="0"/>
      <w:lvlJc w:val="left"/>
      <w:pPr>
        <w:ind w:left="0" w:firstLine="0"/>
      </w:pPr>
    </w:lvl>
    <w:lvl w:ilvl="7">
      <w:start w:val="1"/>
      <w:numFmt w:val="lowerLetter"/>
      <w:lvlText w:val="%8)"/>
      <w:legacy w:legacy="1" w:legacySpace="0" w:legacyIndent="0"/>
      <w:lvlJc w:val="left"/>
      <w:pPr>
        <w:ind w:left="0" w:firstLine="0"/>
      </w:pPr>
    </w:lvl>
    <w:lvl w:ilvl="8">
      <w:start w:val="1"/>
      <w:numFmt w:val="lowerRoman"/>
      <w:lvlText w:val="%9)"/>
      <w:legacy w:legacy="1" w:legacySpace="0" w:legacyIndent="0"/>
      <w:lvlJc w:val="left"/>
      <w:pPr>
        <w:ind w:left="0" w:firstLine="0"/>
      </w:pPr>
    </w:lvl>
  </w:abstractNum>
  <w:abstractNum w:abstractNumId="13" w15:restartNumberingAfterBreak="0">
    <w:nsid w:val="2AFD688A"/>
    <w:multiLevelType w:val="multilevel"/>
    <w:tmpl w:val="0B3AF90E"/>
    <w:lvl w:ilvl="0">
      <w:start w:val="1"/>
      <w:numFmt w:val="decimal"/>
      <w:lvlText w:val="%1."/>
      <w:legacy w:legacy="1" w:legacySpace="0" w:legacyIndent="0"/>
      <w:lvlJc w:val="left"/>
      <w:pPr>
        <w:ind w:left="0" w:firstLine="0"/>
      </w:pPr>
    </w:lvl>
    <w:lvl w:ilvl="1">
      <w:start w:val="1"/>
      <w:numFmt w:val="lowerLetter"/>
      <w:lvlText w:val="%2."/>
      <w:legacy w:legacy="1" w:legacySpace="0" w:legacyIndent="0"/>
      <w:lvlJc w:val="left"/>
      <w:pPr>
        <w:ind w:left="0" w:firstLine="0"/>
      </w:pPr>
    </w:lvl>
    <w:lvl w:ilvl="2">
      <w:start w:val="1"/>
      <w:numFmt w:val="lowerRoman"/>
      <w:lvlText w:val="%3."/>
      <w:legacy w:legacy="1" w:legacySpace="0" w:legacyIndent="0"/>
      <w:lvlJc w:val="left"/>
      <w:pPr>
        <w:ind w:left="0" w:firstLine="0"/>
      </w:pPr>
    </w:lvl>
    <w:lvl w:ilvl="3">
      <w:start w:val="1"/>
      <w:numFmt w:val="decimal"/>
      <w:lvlText w:val="(%4)"/>
      <w:legacy w:legacy="1" w:legacySpace="0" w:legacyIndent="0"/>
      <w:lvlJc w:val="left"/>
      <w:pPr>
        <w:ind w:left="0" w:firstLine="0"/>
      </w:pPr>
    </w:lvl>
    <w:lvl w:ilvl="4">
      <w:start w:val="1"/>
      <w:numFmt w:val="lowerLetter"/>
      <w:lvlText w:val="(%5)"/>
      <w:legacy w:legacy="1" w:legacySpace="0" w:legacyIndent="0"/>
      <w:lvlJc w:val="left"/>
      <w:pPr>
        <w:ind w:left="0" w:firstLine="0"/>
      </w:pPr>
    </w:lvl>
    <w:lvl w:ilvl="5">
      <w:start w:val="1"/>
      <w:numFmt w:val="lowerRoman"/>
      <w:lvlText w:val="(%6)"/>
      <w:legacy w:legacy="1" w:legacySpace="0" w:legacyIndent="0"/>
      <w:lvlJc w:val="left"/>
      <w:pPr>
        <w:ind w:left="0" w:firstLine="0"/>
      </w:pPr>
    </w:lvl>
    <w:lvl w:ilvl="6">
      <w:start w:val="1"/>
      <w:numFmt w:val="decimal"/>
      <w:lvlText w:val="%7)"/>
      <w:legacy w:legacy="1" w:legacySpace="0" w:legacyIndent="0"/>
      <w:lvlJc w:val="left"/>
      <w:pPr>
        <w:ind w:left="0" w:firstLine="0"/>
      </w:pPr>
    </w:lvl>
    <w:lvl w:ilvl="7">
      <w:start w:val="1"/>
      <w:numFmt w:val="lowerLetter"/>
      <w:lvlText w:val="%8)"/>
      <w:legacy w:legacy="1" w:legacySpace="0" w:legacyIndent="0"/>
      <w:lvlJc w:val="left"/>
      <w:pPr>
        <w:ind w:left="0" w:firstLine="0"/>
      </w:pPr>
    </w:lvl>
    <w:lvl w:ilvl="8">
      <w:start w:val="1"/>
      <w:numFmt w:val="lowerRoman"/>
      <w:lvlText w:val="%9)"/>
      <w:legacy w:legacy="1" w:legacySpace="0" w:legacyIndent="0"/>
      <w:lvlJc w:val="left"/>
      <w:pPr>
        <w:ind w:left="0" w:firstLine="0"/>
      </w:pPr>
    </w:lvl>
  </w:abstractNum>
  <w:abstractNum w:abstractNumId="14" w15:restartNumberingAfterBreak="0">
    <w:nsid w:val="2DB12041"/>
    <w:multiLevelType w:val="multilevel"/>
    <w:tmpl w:val="0B3AF90E"/>
    <w:lvl w:ilvl="0">
      <w:start w:val="1"/>
      <w:numFmt w:val="decimal"/>
      <w:lvlText w:val="%1."/>
      <w:legacy w:legacy="1" w:legacySpace="0" w:legacyIndent="0"/>
      <w:lvlJc w:val="left"/>
      <w:pPr>
        <w:ind w:left="0" w:firstLine="0"/>
      </w:pPr>
    </w:lvl>
    <w:lvl w:ilvl="1">
      <w:start w:val="1"/>
      <w:numFmt w:val="lowerLetter"/>
      <w:lvlText w:val="%2."/>
      <w:legacy w:legacy="1" w:legacySpace="0" w:legacyIndent="0"/>
      <w:lvlJc w:val="left"/>
      <w:pPr>
        <w:ind w:left="0" w:firstLine="0"/>
      </w:pPr>
    </w:lvl>
    <w:lvl w:ilvl="2">
      <w:start w:val="1"/>
      <w:numFmt w:val="lowerRoman"/>
      <w:lvlText w:val="%3."/>
      <w:legacy w:legacy="1" w:legacySpace="0" w:legacyIndent="0"/>
      <w:lvlJc w:val="left"/>
      <w:pPr>
        <w:ind w:left="0" w:firstLine="0"/>
      </w:pPr>
    </w:lvl>
    <w:lvl w:ilvl="3">
      <w:start w:val="1"/>
      <w:numFmt w:val="decimal"/>
      <w:lvlText w:val="(%4)"/>
      <w:legacy w:legacy="1" w:legacySpace="0" w:legacyIndent="0"/>
      <w:lvlJc w:val="left"/>
      <w:pPr>
        <w:ind w:left="0" w:firstLine="0"/>
      </w:pPr>
    </w:lvl>
    <w:lvl w:ilvl="4">
      <w:start w:val="1"/>
      <w:numFmt w:val="lowerLetter"/>
      <w:lvlText w:val="(%5)"/>
      <w:legacy w:legacy="1" w:legacySpace="0" w:legacyIndent="0"/>
      <w:lvlJc w:val="left"/>
      <w:pPr>
        <w:ind w:left="0" w:firstLine="0"/>
      </w:pPr>
    </w:lvl>
    <w:lvl w:ilvl="5">
      <w:start w:val="1"/>
      <w:numFmt w:val="lowerRoman"/>
      <w:lvlText w:val="(%6)"/>
      <w:legacy w:legacy="1" w:legacySpace="0" w:legacyIndent="0"/>
      <w:lvlJc w:val="left"/>
      <w:pPr>
        <w:ind w:left="0" w:firstLine="0"/>
      </w:pPr>
    </w:lvl>
    <w:lvl w:ilvl="6">
      <w:start w:val="1"/>
      <w:numFmt w:val="decimal"/>
      <w:lvlText w:val="%7)"/>
      <w:legacy w:legacy="1" w:legacySpace="0" w:legacyIndent="0"/>
      <w:lvlJc w:val="left"/>
      <w:pPr>
        <w:ind w:left="0" w:firstLine="0"/>
      </w:pPr>
    </w:lvl>
    <w:lvl w:ilvl="7">
      <w:start w:val="1"/>
      <w:numFmt w:val="lowerLetter"/>
      <w:lvlText w:val="%8)"/>
      <w:legacy w:legacy="1" w:legacySpace="0" w:legacyIndent="0"/>
      <w:lvlJc w:val="left"/>
      <w:pPr>
        <w:ind w:left="0" w:firstLine="0"/>
      </w:pPr>
    </w:lvl>
    <w:lvl w:ilvl="8">
      <w:start w:val="1"/>
      <w:numFmt w:val="lowerRoman"/>
      <w:lvlText w:val="%9)"/>
      <w:legacy w:legacy="1" w:legacySpace="0" w:legacyIndent="0"/>
      <w:lvlJc w:val="left"/>
      <w:pPr>
        <w:ind w:left="0" w:firstLine="0"/>
      </w:pPr>
    </w:lvl>
  </w:abstractNum>
  <w:abstractNum w:abstractNumId="15" w15:restartNumberingAfterBreak="0">
    <w:nsid w:val="41A8152B"/>
    <w:multiLevelType w:val="multilevel"/>
    <w:tmpl w:val="0B3AF90E"/>
    <w:lvl w:ilvl="0">
      <w:start w:val="1"/>
      <w:numFmt w:val="decimal"/>
      <w:lvlText w:val="%1."/>
      <w:legacy w:legacy="1" w:legacySpace="0" w:legacyIndent="0"/>
      <w:lvlJc w:val="left"/>
      <w:pPr>
        <w:ind w:left="0" w:firstLine="0"/>
      </w:pPr>
    </w:lvl>
    <w:lvl w:ilvl="1">
      <w:start w:val="1"/>
      <w:numFmt w:val="lowerLetter"/>
      <w:lvlText w:val="%2."/>
      <w:legacy w:legacy="1" w:legacySpace="0" w:legacyIndent="0"/>
      <w:lvlJc w:val="left"/>
      <w:pPr>
        <w:ind w:left="0" w:firstLine="0"/>
      </w:pPr>
    </w:lvl>
    <w:lvl w:ilvl="2">
      <w:start w:val="1"/>
      <w:numFmt w:val="lowerRoman"/>
      <w:lvlText w:val="%3."/>
      <w:legacy w:legacy="1" w:legacySpace="0" w:legacyIndent="0"/>
      <w:lvlJc w:val="left"/>
      <w:pPr>
        <w:ind w:left="0" w:firstLine="0"/>
      </w:pPr>
    </w:lvl>
    <w:lvl w:ilvl="3">
      <w:start w:val="1"/>
      <w:numFmt w:val="decimal"/>
      <w:lvlText w:val="(%4)"/>
      <w:legacy w:legacy="1" w:legacySpace="0" w:legacyIndent="0"/>
      <w:lvlJc w:val="left"/>
      <w:pPr>
        <w:ind w:left="0" w:firstLine="0"/>
      </w:pPr>
    </w:lvl>
    <w:lvl w:ilvl="4">
      <w:start w:val="1"/>
      <w:numFmt w:val="lowerLetter"/>
      <w:lvlText w:val="(%5)"/>
      <w:legacy w:legacy="1" w:legacySpace="0" w:legacyIndent="0"/>
      <w:lvlJc w:val="left"/>
      <w:pPr>
        <w:ind w:left="0" w:firstLine="0"/>
      </w:pPr>
    </w:lvl>
    <w:lvl w:ilvl="5">
      <w:start w:val="1"/>
      <w:numFmt w:val="lowerRoman"/>
      <w:lvlText w:val="(%6)"/>
      <w:legacy w:legacy="1" w:legacySpace="0" w:legacyIndent="0"/>
      <w:lvlJc w:val="left"/>
      <w:pPr>
        <w:ind w:left="0" w:firstLine="0"/>
      </w:pPr>
    </w:lvl>
    <w:lvl w:ilvl="6">
      <w:start w:val="1"/>
      <w:numFmt w:val="decimal"/>
      <w:lvlText w:val="%7)"/>
      <w:legacy w:legacy="1" w:legacySpace="0" w:legacyIndent="0"/>
      <w:lvlJc w:val="left"/>
      <w:pPr>
        <w:ind w:left="0" w:firstLine="0"/>
      </w:pPr>
    </w:lvl>
    <w:lvl w:ilvl="7">
      <w:start w:val="1"/>
      <w:numFmt w:val="lowerLetter"/>
      <w:lvlText w:val="%8)"/>
      <w:legacy w:legacy="1" w:legacySpace="0" w:legacyIndent="0"/>
      <w:lvlJc w:val="left"/>
      <w:pPr>
        <w:ind w:left="0" w:firstLine="0"/>
      </w:pPr>
    </w:lvl>
    <w:lvl w:ilvl="8">
      <w:start w:val="1"/>
      <w:numFmt w:val="lowerRoman"/>
      <w:lvlText w:val="%9)"/>
      <w:legacy w:legacy="1" w:legacySpace="0" w:legacyIndent="0"/>
      <w:lvlJc w:val="left"/>
      <w:pPr>
        <w:ind w:left="0" w:firstLine="0"/>
      </w:pPr>
    </w:lvl>
  </w:abstractNum>
  <w:abstractNum w:abstractNumId="16" w15:restartNumberingAfterBreak="0">
    <w:nsid w:val="6982627D"/>
    <w:multiLevelType w:val="multilevel"/>
    <w:tmpl w:val="0B3AF90E"/>
    <w:lvl w:ilvl="0">
      <w:start w:val="1"/>
      <w:numFmt w:val="decimal"/>
      <w:lvlText w:val="%1."/>
      <w:legacy w:legacy="1" w:legacySpace="0" w:legacyIndent="0"/>
      <w:lvlJc w:val="left"/>
      <w:pPr>
        <w:ind w:left="0" w:firstLine="0"/>
      </w:pPr>
    </w:lvl>
    <w:lvl w:ilvl="1">
      <w:start w:val="1"/>
      <w:numFmt w:val="lowerLetter"/>
      <w:lvlText w:val="%2."/>
      <w:legacy w:legacy="1" w:legacySpace="0" w:legacyIndent="0"/>
      <w:lvlJc w:val="left"/>
      <w:pPr>
        <w:ind w:left="0" w:firstLine="0"/>
      </w:pPr>
    </w:lvl>
    <w:lvl w:ilvl="2">
      <w:start w:val="1"/>
      <w:numFmt w:val="lowerRoman"/>
      <w:lvlText w:val="%3."/>
      <w:legacy w:legacy="1" w:legacySpace="0" w:legacyIndent="0"/>
      <w:lvlJc w:val="left"/>
      <w:pPr>
        <w:ind w:left="0" w:firstLine="0"/>
      </w:pPr>
    </w:lvl>
    <w:lvl w:ilvl="3">
      <w:start w:val="1"/>
      <w:numFmt w:val="decimal"/>
      <w:lvlText w:val="(%4)"/>
      <w:legacy w:legacy="1" w:legacySpace="0" w:legacyIndent="0"/>
      <w:lvlJc w:val="left"/>
      <w:pPr>
        <w:ind w:left="0" w:firstLine="0"/>
      </w:pPr>
    </w:lvl>
    <w:lvl w:ilvl="4">
      <w:start w:val="1"/>
      <w:numFmt w:val="lowerLetter"/>
      <w:lvlText w:val="(%5)"/>
      <w:legacy w:legacy="1" w:legacySpace="0" w:legacyIndent="0"/>
      <w:lvlJc w:val="left"/>
      <w:pPr>
        <w:ind w:left="0" w:firstLine="0"/>
      </w:pPr>
    </w:lvl>
    <w:lvl w:ilvl="5">
      <w:start w:val="1"/>
      <w:numFmt w:val="lowerRoman"/>
      <w:lvlText w:val="(%6)"/>
      <w:legacy w:legacy="1" w:legacySpace="0" w:legacyIndent="0"/>
      <w:lvlJc w:val="left"/>
      <w:pPr>
        <w:ind w:left="0" w:firstLine="0"/>
      </w:pPr>
    </w:lvl>
    <w:lvl w:ilvl="6">
      <w:start w:val="1"/>
      <w:numFmt w:val="decimal"/>
      <w:lvlText w:val="%7)"/>
      <w:legacy w:legacy="1" w:legacySpace="0" w:legacyIndent="0"/>
      <w:lvlJc w:val="left"/>
      <w:pPr>
        <w:ind w:left="0" w:firstLine="0"/>
      </w:pPr>
    </w:lvl>
    <w:lvl w:ilvl="7">
      <w:start w:val="1"/>
      <w:numFmt w:val="lowerLetter"/>
      <w:lvlText w:val="%8)"/>
      <w:legacy w:legacy="1" w:legacySpace="0" w:legacyIndent="0"/>
      <w:lvlJc w:val="left"/>
      <w:pPr>
        <w:ind w:left="0" w:firstLine="0"/>
      </w:pPr>
    </w:lvl>
    <w:lvl w:ilvl="8">
      <w:start w:val="1"/>
      <w:numFmt w:val="lowerRoman"/>
      <w:lvlText w:val="%9)"/>
      <w:legacy w:legacy="1" w:legacySpace="0" w:legacyIndent="0"/>
      <w:lvlJc w:val="left"/>
      <w:pPr>
        <w:ind w:left="0" w:firstLine="0"/>
      </w:pPr>
    </w:lvl>
  </w:abstractNum>
  <w:abstractNum w:abstractNumId="17" w15:restartNumberingAfterBreak="0">
    <w:nsid w:val="6E9D52B6"/>
    <w:multiLevelType w:val="hybridMultilevel"/>
    <w:tmpl w:val="9236B9CA"/>
    <w:lvl w:ilvl="0" w:tplc="04090011">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388256877">
    <w:abstractNumId w:val="11"/>
  </w:num>
  <w:num w:numId="2" w16cid:durableId="1749232763">
    <w:abstractNumId w:val="13"/>
  </w:num>
  <w:num w:numId="3" w16cid:durableId="1043601723">
    <w:abstractNumId w:val="12"/>
  </w:num>
  <w:num w:numId="4" w16cid:durableId="1705787569">
    <w:abstractNumId w:val="15"/>
  </w:num>
  <w:num w:numId="5" w16cid:durableId="1994798116">
    <w:abstractNumId w:val="16"/>
  </w:num>
  <w:num w:numId="6" w16cid:durableId="1131679098">
    <w:abstractNumId w:val="14"/>
  </w:num>
  <w:num w:numId="7" w16cid:durableId="525800802">
    <w:abstractNumId w:val="9"/>
  </w:num>
  <w:num w:numId="8" w16cid:durableId="1901937275">
    <w:abstractNumId w:val="7"/>
  </w:num>
  <w:num w:numId="9" w16cid:durableId="326254336">
    <w:abstractNumId w:val="6"/>
  </w:num>
  <w:num w:numId="10" w16cid:durableId="598025334">
    <w:abstractNumId w:val="5"/>
  </w:num>
  <w:num w:numId="11" w16cid:durableId="1006401950">
    <w:abstractNumId w:val="4"/>
  </w:num>
  <w:num w:numId="12" w16cid:durableId="108858128">
    <w:abstractNumId w:val="8"/>
  </w:num>
  <w:num w:numId="13" w16cid:durableId="1962766258">
    <w:abstractNumId w:val="3"/>
  </w:num>
  <w:num w:numId="14" w16cid:durableId="1168447906">
    <w:abstractNumId w:val="2"/>
  </w:num>
  <w:num w:numId="15" w16cid:durableId="696203419">
    <w:abstractNumId w:val="1"/>
  </w:num>
  <w:num w:numId="16" w16cid:durableId="1470633533">
    <w:abstractNumId w:val="0"/>
  </w:num>
  <w:num w:numId="17" w16cid:durableId="263733351">
    <w:abstractNumId w:val="17"/>
  </w:num>
  <w:num w:numId="18" w16cid:durableId="18968779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381A"/>
    <w:rsid w:val="00001360"/>
    <w:rsid w:val="0000201B"/>
    <w:rsid w:val="000037EF"/>
    <w:rsid w:val="00004BC2"/>
    <w:rsid w:val="00005845"/>
    <w:rsid w:val="00006829"/>
    <w:rsid w:val="00006A7B"/>
    <w:rsid w:val="00007D4E"/>
    <w:rsid w:val="00010F20"/>
    <w:rsid w:val="000164A9"/>
    <w:rsid w:val="00016871"/>
    <w:rsid w:val="00016942"/>
    <w:rsid w:val="00017309"/>
    <w:rsid w:val="00020EAA"/>
    <w:rsid w:val="000266E0"/>
    <w:rsid w:val="000303A6"/>
    <w:rsid w:val="000305C2"/>
    <w:rsid w:val="000307AE"/>
    <w:rsid w:val="00035751"/>
    <w:rsid w:val="00037C5C"/>
    <w:rsid w:val="00043A9C"/>
    <w:rsid w:val="00043F07"/>
    <w:rsid w:val="00056D1D"/>
    <w:rsid w:val="0006529B"/>
    <w:rsid w:val="00071065"/>
    <w:rsid w:val="00072817"/>
    <w:rsid w:val="0007348A"/>
    <w:rsid w:val="0008015C"/>
    <w:rsid w:val="00091318"/>
    <w:rsid w:val="00094A5D"/>
    <w:rsid w:val="00094F7E"/>
    <w:rsid w:val="00095675"/>
    <w:rsid w:val="00097BAC"/>
    <w:rsid w:val="000A3D0D"/>
    <w:rsid w:val="000A4DA5"/>
    <w:rsid w:val="000A7048"/>
    <w:rsid w:val="000B0B8A"/>
    <w:rsid w:val="000C00DF"/>
    <w:rsid w:val="000D073C"/>
    <w:rsid w:val="000D0956"/>
    <w:rsid w:val="000F4FF6"/>
    <w:rsid w:val="000F6DB3"/>
    <w:rsid w:val="0010000F"/>
    <w:rsid w:val="0011410A"/>
    <w:rsid w:val="001207D8"/>
    <w:rsid w:val="00120988"/>
    <w:rsid w:val="00121AE9"/>
    <w:rsid w:val="00122659"/>
    <w:rsid w:val="00122ADD"/>
    <w:rsid w:val="0012541A"/>
    <w:rsid w:val="0013073E"/>
    <w:rsid w:val="00133D93"/>
    <w:rsid w:val="00136B69"/>
    <w:rsid w:val="00144203"/>
    <w:rsid w:val="0014747F"/>
    <w:rsid w:val="0015247D"/>
    <w:rsid w:val="00156814"/>
    <w:rsid w:val="001569E6"/>
    <w:rsid w:val="0016507E"/>
    <w:rsid w:val="00166D19"/>
    <w:rsid w:val="00182D12"/>
    <w:rsid w:val="001848E5"/>
    <w:rsid w:val="00192543"/>
    <w:rsid w:val="001929B0"/>
    <w:rsid w:val="0019444E"/>
    <w:rsid w:val="001A27E0"/>
    <w:rsid w:val="001A36F1"/>
    <w:rsid w:val="001B1E9E"/>
    <w:rsid w:val="001B2155"/>
    <w:rsid w:val="001B59AE"/>
    <w:rsid w:val="001B693E"/>
    <w:rsid w:val="001B69CA"/>
    <w:rsid w:val="001B7B61"/>
    <w:rsid w:val="001C1776"/>
    <w:rsid w:val="001C34CD"/>
    <w:rsid w:val="001C3884"/>
    <w:rsid w:val="001D0A4F"/>
    <w:rsid w:val="001E2CE5"/>
    <w:rsid w:val="001F020D"/>
    <w:rsid w:val="001F1EF4"/>
    <w:rsid w:val="001F59B8"/>
    <w:rsid w:val="001F78E0"/>
    <w:rsid w:val="002043BC"/>
    <w:rsid w:val="0021057B"/>
    <w:rsid w:val="002163C8"/>
    <w:rsid w:val="002164CE"/>
    <w:rsid w:val="002174A5"/>
    <w:rsid w:val="0021776A"/>
    <w:rsid w:val="0022087E"/>
    <w:rsid w:val="00220DC2"/>
    <w:rsid w:val="00235B59"/>
    <w:rsid w:val="0024486E"/>
    <w:rsid w:val="00244C20"/>
    <w:rsid w:val="00254FA9"/>
    <w:rsid w:val="002632B3"/>
    <w:rsid w:val="0027356D"/>
    <w:rsid w:val="00273585"/>
    <w:rsid w:val="0028041B"/>
    <w:rsid w:val="00282312"/>
    <w:rsid w:val="002823C9"/>
    <w:rsid w:val="0028672F"/>
    <w:rsid w:val="00290A0D"/>
    <w:rsid w:val="0029305F"/>
    <w:rsid w:val="00293226"/>
    <w:rsid w:val="00295012"/>
    <w:rsid w:val="0029718B"/>
    <w:rsid w:val="00297443"/>
    <w:rsid w:val="002A03C6"/>
    <w:rsid w:val="002A09E3"/>
    <w:rsid w:val="002A2495"/>
    <w:rsid w:val="002A602F"/>
    <w:rsid w:val="002A6CF8"/>
    <w:rsid w:val="002A6F7E"/>
    <w:rsid w:val="002B2996"/>
    <w:rsid w:val="002C1E6A"/>
    <w:rsid w:val="002C271F"/>
    <w:rsid w:val="002C7BAB"/>
    <w:rsid w:val="002C7CC9"/>
    <w:rsid w:val="002D3CAE"/>
    <w:rsid w:val="002E0FEB"/>
    <w:rsid w:val="002E167D"/>
    <w:rsid w:val="002E3EBB"/>
    <w:rsid w:val="002E4A5F"/>
    <w:rsid w:val="002E54F4"/>
    <w:rsid w:val="002F38EB"/>
    <w:rsid w:val="00307909"/>
    <w:rsid w:val="00307FF9"/>
    <w:rsid w:val="00313449"/>
    <w:rsid w:val="003210EE"/>
    <w:rsid w:val="00324345"/>
    <w:rsid w:val="003432D7"/>
    <w:rsid w:val="00343734"/>
    <w:rsid w:val="00346BE6"/>
    <w:rsid w:val="00356B34"/>
    <w:rsid w:val="00365BEC"/>
    <w:rsid w:val="00366088"/>
    <w:rsid w:val="003663C5"/>
    <w:rsid w:val="00370488"/>
    <w:rsid w:val="00371E1C"/>
    <w:rsid w:val="00372AEF"/>
    <w:rsid w:val="00372DE1"/>
    <w:rsid w:val="00373788"/>
    <w:rsid w:val="003743BD"/>
    <w:rsid w:val="00374655"/>
    <w:rsid w:val="00377EE4"/>
    <w:rsid w:val="00383EE1"/>
    <w:rsid w:val="0039132E"/>
    <w:rsid w:val="00391448"/>
    <w:rsid w:val="003935D7"/>
    <w:rsid w:val="00395D5A"/>
    <w:rsid w:val="00395F4E"/>
    <w:rsid w:val="003B0176"/>
    <w:rsid w:val="003B042B"/>
    <w:rsid w:val="003B29F2"/>
    <w:rsid w:val="003B3C14"/>
    <w:rsid w:val="003B432A"/>
    <w:rsid w:val="003C3974"/>
    <w:rsid w:val="003C7D70"/>
    <w:rsid w:val="003D0484"/>
    <w:rsid w:val="003D3DD5"/>
    <w:rsid w:val="003D3FB5"/>
    <w:rsid w:val="003E2511"/>
    <w:rsid w:val="003E5C67"/>
    <w:rsid w:val="003F540F"/>
    <w:rsid w:val="003F591E"/>
    <w:rsid w:val="00400D50"/>
    <w:rsid w:val="0040468F"/>
    <w:rsid w:val="00414F82"/>
    <w:rsid w:val="00422165"/>
    <w:rsid w:val="00422F69"/>
    <w:rsid w:val="004274AD"/>
    <w:rsid w:val="00430FC5"/>
    <w:rsid w:val="004363F4"/>
    <w:rsid w:val="00440D78"/>
    <w:rsid w:val="00441847"/>
    <w:rsid w:val="00443CC0"/>
    <w:rsid w:val="004445BE"/>
    <w:rsid w:val="0044637B"/>
    <w:rsid w:val="00447066"/>
    <w:rsid w:val="004522A1"/>
    <w:rsid w:val="00453009"/>
    <w:rsid w:val="004535E5"/>
    <w:rsid w:val="00456EDA"/>
    <w:rsid w:val="00457F2D"/>
    <w:rsid w:val="00460192"/>
    <w:rsid w:val="004641F1"/>
    <w:rsid w:val="00467238"/>
    <w:rsid w:val="00472C1C"/>
    <w:rsid w:val="0047414E"/>
    <w:rsid w:val="00476AD9"/>
    <w:rsid w:val="00480163"/>
    <w:rsid w:val="0048591A"/>
    <w:rsid w:val="004859FB"/>
    <w:rsid w:val="00485DDD"/>
    <w:rsid w:val="00486E73"/>
    <w:rsid w:val="0048725C"/>
    <w:rsid w:val="0049517B"/>
    <w:rsid w:val="00495BF6"/>
    <w:rsid w:val="00497C1C"/>
    <w:rsid w:val="004A33E2"/>
    <w:rsid w:val="004A40AC"/>
    <w:rsid w:val="004A4744"/>
    <w:rsid w:val="004B1792"/>
    <w:rsid w:val="004C06C1"/>
    <w:rsid w:val="004C0FC5"/>
    <w:rsid w:val="004C4EAE"/>
    <w:rsid w:val="004C572C"/>
    <w:rsid w:val="004C79B1"/>
    <w:rsid w:val="004C7D7C"/>
    <w:rsid w:val="004D09DA"/>
    <w:rsid w:val="004D7AA4"/>
    <w:rsid w:val="004D7E20"/>
    <w:rsid w:val="004E4BD7"/>
    <w:rsid w:val="004E4FA5"/>
    <w:rsid w:val="004E6A7D"/>
    <w:rsid w:val="004F3640"/>
    <w:rsid w:val="004F4F76"/>
    <w:rsid w:val="004F57C8"/>
    <w:rsid w:val="0050063A"/>
    <w:rsid w:val="00505576"/>
    <w:rsid w:val="00505B63"/>
    <w:rsid w:val="005071BF"/>
    <w:rsid w:val="00515277"/>
    <w:rsid w:val="005157B4"/>
    <w:rsid w:val="00521E39"/>
    <w:rsid w:val="00527028"/>
    <w:rsid w:val="00527797"/>
    <w:rsid w:val="0053074E"/>
    <w:rsid w:val="00532ECC"/>
    <w:rsid w:val="005354DA"/>
    <w:rsid w:val="005361C7"/>
    <w:rsid w:val="0054686A"/>
    <w:rsid w:val="0055345D"/>
    <w:rsid w:val="0055381A"/>
    <w:rsid w:val="00555259"/>
    <w:rsid w:val="00560966"/>
    <w:rsid w:val="005610B3"/>
    <w:rsid w:val="00565712"/>
    <w:rsid w:val="00572EEF"/>
    <w:rsid w:val="00586DB4"/>
    <w:rsid w:val="0058728B"/>
    <w:rsid w:val="0059613A"/>
    <w:rsid w:val="0059704F"/>
    <w:rsid w:val="005A102C"/>
    <w:rsid w:val="005A5011"/>
    <w:rsid w:val="005B00BF"/>
    <w:rsid w:val="005B2354"/>
    <w:rsid w:val="005B43F6"/>
    <w:rsid w:val="005B5105"/>
    <w:rsid w:val="005B6DD7"/>
    <w:rsid w:val="005C495D"/>
    <w:rsid w:val="005C7148"/>
    <w:rsid w:val="005D1239"/>
    <w:rsid w:val="005D3938"/>
    <w:rsid w:val="005D3AE5"/>
    <w:rsid w:val="005D7725"/>
    <w:rsid w:val="005D7754"/>
    <w:rsid w:val="005D7AD3"/>
    <w:rsid w:val="005E0AB3"/>
    <w:rsid w:val="005E171F"/>
    <w:rsid w:val="005E2990"/>
    <w:rsid w:val="005E31F8"/>
    <w:rsid w:val="005E466C"/>
    <w:rsid w:val="006041F7"/>
    <w:rsid w:val="00604CFD"/>
    <w:rsid w:val="00611D2E"/>
    <w:rsid w:val="0061318A"/>
    <w:rsid w:val="0061614B"/>
    <w:rsid w:val="0062020D"/>
    <w:rsid w:val="00624F98"/>
    <w:rsid w:val="0063197D"/>
    <w:rsid w:val="006353A7"/>
    <w:rsid w:val="00640FB9"/>
    <w:rsid w:val="00643290"/>
    <w:rsid w:val="006526A4"/>
    <w:rsid w:val="00656AED"/>
    <w:rsid w:val="0065730C"/>
    <w:rsid w:val="00657CD8"/>
    <w:rsid w:val="00670B0B"/>
    <w:rsid w:val="00672B10"/>
    <w:rsid w:val="00680BBF"/>
    <w:rsid w:val="006821E5"/>
    <w:rsid w:val="00687335"/>
    <w:rsid w:val="00692798"/>
    <w:rsid w:val="00693046"/>
    <w:rsid w:val="006930B6"/>
    <w:rsid w:val="00694087"/>
    <w:rsid w:val="006974B9"/>
    <w:rsid w:val="006A51F6"/>
    <w:rsid w:val="006B4181"/>
    <w:rsid w:val="006B588D"/>
    <w:rsid w:val="006D2D1C"/>
    <w:rsid w:val="006D57A4"/>
    <w:rsid w:val="006E1542"/>
    <w:rsid w:val="006E3E8D"/>
    <w:rsid w:val="006F5D31"/>
    <w:rsid w:val="006F716D"/>
    <w:rsid w:val="00700C8D"/>
    <w:rsid w:val="00704CA5"/>
    <w:rsid w:val="00707021"/>
    <w:rsid w:val="00707DB9"/>
    <w:rsid w:val="00713ACC"/>
    <w:rsid w:val="00713E90"/>
    <w:rsid w:val="00713EBF"/>
    <w:rsid w:val="007176C4"/>
    <w:rsid w:val="00722D15"/>
    <w:rsid w:val="00724059"/>
    <w:rsid w:val="00725138"/>
    <w:rsid w:val="00725612"/>
    <w:rsid w:val="00726BA2"/>
    <w:rsid w:val="00727BCB"/>
    <w:rsid w:val="00735862"/>
    <w:rsid w:val="007413D7"/>
    <w:rsid w:val="00742207"/>
    <w:rsid w:val="00750BAE"/>
    <w:rsid w:val="007558B9"/>
    <w:rsid w:val="00762145"/>
    <w:rsid w:val="0076635C"/>
    <w:rsid w:val="00771094"/>
    <w:rsid w:val="00775A8A"/>
    <w:rsid w:val="007809B9"/>
    <w:rsid w:val="00781240"/>
    <w:rsid w:val="007816E8"/>
    <w:rsid w:val="0078493E"/>
    <w:rsid w:val="00785C7E"/>
    <w:rsid w:val="00790412"/>
    <w:rsid w:val="00791E10"/>
    <w:rsid w:val="0079223C"/>
    <w:rsid w:val="007925FA"/>
    <w:rsid w:val="0079387D"/>
    <w:rsid w:val="0079550B"/>
    <w:rsid w:val="00796F14"/>
    <w:rsid w:val="007A07ED"/>
    <w:rsid w:val="007A274B"/>
    <w:rsid w:val="007A313C"/>
    <w:rsid w:val="007A3ADF"/>
    <w:rsid w:val="007A668A"/>
    <w:rsid w:val="007A7829"/>
    <w:rsid w:val="007C290A"/>
    <w:rsid w:val="007C5C04"/>
    <w:rsid w:val="007D4986"/>
    <w:rsid w:val="007D4D5C"/>
    <w:rsid w:val="007D611D"/>
    <w:rsid w:val="007E22B2"/>
    <w:rsid w:val="007E7B3C"/>
    <w:rsid w:val="007E7D5B"/>
    <w:rsid w:val="007F0660"/>
    <w:rsid w:val="007F1CE0"/>
    <w:rsid w:val="007F65B7"/>
    <w:rsid w:val="008025DA"/>
    <w:rsid w:val="008100B7"/>
    <w:rsid w:val="00812E13"/>
    <w:rsid w:val="0081338E"/>
    <w:rsid w:val="00813C0A"/>
    <w:rsid w:val="00817FE6"/>
    <w:rsid w:val="008217B5"/>
    <w:rsid w:val="00824453"/>
    <w:rsid w:val="00827C2F"/>
    <w:rsid w:val="00831240"/>
    <w:rsid w:val="008330ED"/>
    <w:rsid w:val="00836359"/>
    <w:rsid w:val="008370B2"/>
    <w:rsid w:val="00840A20"/>
    <w:rsid w:val="00840E7F"/>
    <w:rsid w:val="00841B88"/>
    <w:rsid w:val="0084399C"/>
    <w:rsid w:val="00851600"/>
    <w:rsid w:val="00851F49"/>
    <w:rsid w:val="008523E2"/>
    <w:rsid w:val="00855845"/>
    <w:rsid w:val="00855BB2"/>
    <w:rsid w:val="00863C52"/>
    <w:rsid w:val="00864539"/>
    <w:rsid w:val="00881563"/>
    <w:rsid w:val="00885087"/>
    <w:rsid w:val="008918C9"/>
    <w:rsid w:val="008927FA"/>
    <w:rsid w:val="0089546D"/>
    <w:rsid w:val="008A2873"/>
    <w:rsid w:val="008A35DA"/>
    <w:rsid w:val="008A3AFA"/>
    <w:rsid w:val="008A4F9E"/>
    <w:rsid w:val="008A58D1"/>
    <w:rsid w:val="008A6A11"/>
    <w:rsid w:val="008B5FCC"/>
    <w:rsid w:val="008C2D92"/>
    <w:rsid w:val="008D0FD8"/>
    <w:rsid w:val="008E01FE"/>
    <w:rsid w:val="008E2C95"/>
    <w:rsid w:val="008E4217"/>
    <w:rsid w:val="008E6534"/>
    <w:rsid w:val="008E711B"/>
    <w:rsid w:val="008F1956"/>
    <w:rsid w:val="008F4EAC"/>
    <w:rsid w:val="00902089"/>
    <w:rsid w:val="00905271"/>
    <w:rsid w:val="0090780B"/>
    <w:rsid w:val="00916409"/>
    <w:rsid w:val="00917B86"/>
    <w:rsid w:val="00922CE2"/>
    <w:rsid w:val="00923142"/>
    <w:rsid w:val="00931153"/>
    <w:rsid w:val="009330A2"/>
    <w:rsid w:val="00937E9E"/>
    <w:rsid w:val="00940B10"/>
    <w:rsid w:val="009458A8"/>
    <w:rsid w:val="00945E8D"/>
    <w:rsid w:val="00951375"/>
    <w:rsid w:val="0096405C"/>
    <w:rsid w:val="009650FD"/>
    <w:rsid w:val="00974EF0"/>
    <w:rsid w:val="00977ED6"/>
    <w:rsid w:val="0098060C"/>
    <w:rsid w:val="0098201D"/>
    <w:rsid w:val="00983E83"/>
    <w:rsid w:val="00984F02"/>
    <w:rsid w:val="00987DD3"/>
    <w:rsid w:val="009A327B"/>
    <w:rsid w:val="009A4314"/>
    <w:rsid w:val="009A4E5D"/>
    <w:rsid w:val="009A4F1E"/>
    <w:rsid w:val="009A56BB"/>
    <w:rsid w:val="009A5847"/>
    <w:rsid w:val="009A619F"/>
    <w:rsid w:val="009B2563"/>
    <w:rsid w:val="009B4301"/>
    <w:rsid w:val="009B6055"/>
    <w:rsid w:val="009C01D9"/>
    <w:rsid w:val="009C234B"/>
    <w:rsid w:val="009C2C50"/>
    <w:rsid w:val="009C4891"/>
    <w:rsid w:val="009C65A4"/>
    <w:rsid w:val="009D2006"/>
    <w:rsid w:val="009D49F0"/>
    <w:rsid w:val="009E235D"/>
    <w:rsid w:val="009E2A59"/>
    <w:rsid w:val="009E34BB"/>
    <w:rsid w:val="009E58E2"/>
    <w:rsid w:val="009E681C"/>
    <w:rsid w:val="009F077D"/>
    <w:rsid w:val="009F4248"/>
    <w:rsid w:val="009F52B0"/>
    <w:rsid w:val="009F5379"/>
    <w:rsid w:val="009F5B8C"/>
    <w:rsid w:val="009F73E9"/>
    <w:rsid w:val="00A007B1"/>
    <w:rsid w:val="00A01245"/>
    <w:rsid w:val="00A023D2"/>
    <w:rsid w:val="00A047FC"/>
    <w:rsid w:val="00A1009D"/>
    <w:rsid w:val="00A10D30"/>
    <w:rsid w:val="00A1268D"/>
    <w:rsid w:val="00A14443"/>
    <w:rsid w:val="00A15F29"/>
    <w:rsid w:val="00A16C13"/>
    <w:rsid w:val="00A20C27"/>
    <w:rsid w:val="00A220A6"/>
    <w:rsid w:val="00A256A1"/>
    <w:rsid w:val="00A25AAD"/>
    <w:rsid w:val="00A25BEE"/>
    <w:rsid w:val="00A3047A"/>
    <w:rsid w:val="00A33806"/>
    <w:rsid w:val="00A36D27"/>
    <w:rsid w:val="00A41561"/>
    <w:rsid w:val="00A41CA3"/>
    <w:rsid w:val="00A536BE"/>
    <w:rsid w:val="00A65594"/>
    <w:rsid w:val="00A76226"/>
    <w:rsid w:val="00A90FE1"/>
    <w:rsid w:val="00A9169B"/>
    <w:rsid w:val="00A95C9A"/>
    <w:rsid w:val="00AA5FF7"/>
    <w:rsid w:val="00AA6574"/>
    <w:rsid w:val="00AB22E8"/>
    <w:rsid w:val="00AB2A16"/>
    <w:rsid w:val="00AB4D35"/>
    <w:rsid w:val="00AB7639"/>
    <w:rsid w:val="00AC02DF"/>
    <w:rsid w:val="00AC0AEE"/>
    <w:rsid w:val="00AC40B5"/>
    <w:rsid w:val="00AC631B"/>
    <w:rsid w:val="00AC6F57"/>
    <w:rsid w:val="00AD1CA2"/>
    <w:rsid w:val="00AD1CDB"/>
    <w:rsid w:val="00AE0188"/>
    <w:rsid w:val="00AE4720"/>
    <w:rsid w:val="00AE4911"/>
    <w:rsid w:val="00AE6183"/>
    <w:rsid w:val="00AF2F95"/>
    <w:rsid w:val="00AF4573"/>
    <w:rsid w:val="00AF5033"/>
    <w:rsid w:val="00AF62A5"/>
    <w:rsid w:val="00B01DA0"/>
    <w:rsid w:val="00B044C2"/>
    <w:rsid w:val="00B113F4"/>
    <w:rsid w:val="00B13DE7"/>
    <w:rsid w:val="00B147E4"/>
    <w:rsid w:val="00B20774"/>
    <w:rsid w:val="00B217FF"/>
    <w:rsid w:val="00B260C4"/>
    <w:rsid w:val="00B26D25"/>
    <w:rsid w:val="00B26F23"/>
    <w:rsid w:val="00B333D0"/>
    <w:rsid w:val="00B43997"/>
    <w:rsid w:val="00B47C25"/>
    <w:rsid w:val="00B53884"/>
    <w:rsid w:val="00B60C19"/>
    <w:rsid w:val="00B71E9D"/>
    <w:rsid w:val="00B7451E"/>
    <w:rsid w:val="00B812F1"/>
    <w:rsid w:val="00B81F0F"/>
    <w:rsid w:val="00B82213"/>
    <w:rsid w:val="00B82781"/>
    <w:rsid w:val="00B8447A"/>
    <w:rsid w:val="00B84C8F"/>
    <w:rsid w:val="00B84FEF"/>
    <w:rsid w:val="00B866C7"/>
    <w:rsid w:val="00B924FC"/>
    <w:rsid w:val="00B96A90"/>
    <w:rsid w:val="00B96EEC"/>
    <w:rsid w:val="00B97AEA"/>
    <w:rsid w:val="00BB4187"/>
    <w:rsid w:val="00BB61A5"/>
    <w:rsid w:val="00BB66FC"/>
    <w:rsid w:val="00BB74F1"/>
    <w:rsid w:val="00BB7F2F"/>
    <w:rsid w:val="00BC0B64"/>
    <w:rsid w:val="00BC137E"/>
    <w:rsid w:val="00BC1F1E"/>
    <w:rsid w:val="00BD1E3B"/>
    <w:rsid w:val="00BD3616"/>
    <w:rsid w:val="00BD607F"/>
    <w:rsid w:val="00BD7424"/>
    <w:rsid w:val="00BE0D9A"/>
    <w:rsid w:val="00BE2C7A"/>
    <w:rsid w:val="00BF0C59"/>
    <w:rsid w:val="00BF25C6"/>
    <w:rsid w:val="00BF3625"/>
    <w:rsid w:val="00BF65A0"/>
    <w:rsid w:val="00C01116"/>
    <w:rsid w:val="00C011C3"/>
    <w:rsid w:val="00C03A90"/>
    <w:rsid w:val="00C0453D"/>
    <w:rsid w:val="00C04EA2"/>
    <w:rsid w:val="00C07B6D"/>
    <w:rsid w:val="00C11B26"/>
    <w:rsid w:val="00C12FC2"/>
    <w:rsid w:val="00C13EF2"/>
    <w:rsid w:val="00C14F31"/>
    <w:rsid w:val="00C174CC"/>
    <w:rsid w:val="00C201FD"/>
    <w:rsid w:val="00C24448"/>
    <w:rsid w:val="00C3122D"/>
    <w:rsid w:val="00C31467"/>
    <w:rsid w:val="00C31CEF"/>
    <w:rsid w:val="00C45D0D"/>
    <w:rsid w:val="00C4738D"/>
    <w:rsid w:val="00C4740A"/>
    <w:rsid w:val="00C51607"/>
    <w:rsid w:val="00C53AF2"/>
    <w:rsid w:val="00C55326"/>
    <w:rsid w:val="00C55C0A"/>
    <w:rsid w:val="00C6567D"/>
    <w:rsid w:val="00C65695"/>
    <w:rsid w:val="00C76D42"/>
    <w:rsid w:val="00C7775F"/>
    <w:rsid w:val="00C90321"/>
    <w:rsid w:val="00C95418"/>
    <w:rsid w:val="00C9744B"/>
    <w:rsid w:val="00CC001F"/>
    <w:rsid w:val="00CC27C3"/>
    <w:rsid w:val="00CC73E1"/>
    <w:rsid w:val="00CD132C"/>
    <w:rsid w:val="00CD6DAE"/>
    <w:rsid w:val="00CE4ABC"/>
    <w:rsid w:val="00CF10E6"/>
    <w:rsid w:val="00CF1385"/>
    <w:rsid w:val="00CF20A1"/>
    <w:rsid w:val="00CF3DED"/>
    <w:rsid w:val="00CF3FCD"/>
    <w:rsid w:val="00D0059E"/>
    <w:rsid w:val="00D0502A"/>
    <w:rsid w:val="00D052ED"/>
    <w:rsid w:val="00D05924"/>
    <w:rsid w:val="00D10838"/>
    <w:rsid w:val="00D11D24"/>
    <w:rsid w:val="00D12F8E"/>
    <w:rsid w:val="00D14B5B"/>
    <w:rsid w:val="00D1524F"/>
    <w:rsid w:val="00D16148"/>
    <w:rsid w:val="00D17C09"/>
    <w:rsid w:val="00D209C0"/>
    <w:rsid w:val="00D22DC2"/>
    <w:rsid w:val="00D242F3"/>
    <w:rsid w:val="00D2553E"/>
    <w:rsid w:val="00D3126A"/>
    <w:rsid w:val="00D31E45"/>
    <w:rsid w:val="00D35365"/>
    <w:rsid w:val="00D35BB8"/>
    <w:rsid w:val="00D42324"/>
    <w:rsid w:val="00D42A8F"/>
    <w:rsid w:val="00D46F84"/>
    <w:rsid w:val="00D50351"/>
    <w:rsid w:val="00D503B0"/>
    <w:rsid w:val="00D5560A"/>
    <w:rsid w:val="00D57749"/>
    <w:rsid w:val="00D57B60"/>
    <w:rsid w:val="00D646BA"/>
    <w:rsid w:val="00D7514F"/>
    <w:rsid w:val="00D77F7F"/>
    <w:rsid w:val="00D8209A"/>
    <w:rsid w:val="00D82874"/>
    <w:rsid w:val="00D84C9B"/>
    <w:rsid w:val="00D86B5E"/>
    <w:rsid w:val="00D86D75"/>
    <w:rsid w:val="00D91F37"/>
    <w:rsid w:val="00D924CF"/>
    <w:rsid w:val="00D93201"/>
    <w:rsid w:val="00D9621D"/>
    <w:rsid w:val="00DA6209"/>
    <w:rsid w:val="00DA76A1"/>
    <w:rsid w:val="00DB052E"/>
    <w:rsid w:val="00DC21C3"/>
    <w:rsid w:val="00DC41BB"/>
    <w:rsid w:val="00DD14C7"/>
    <w:rsid w:val="00DD6792"/>
    <w:rsid w:val="00DE2AE9"/>
    <w:rsid w:val="00DE533D"/>
    <w:rsid w:val="00DE7A12"/>
    <w:rsid w:val="00DE7D11"/>
    <w:rsid w:val="00DF2979"/>
    <w:rsid w:val="00DF34EC"/>
    <w:rsid w:val="00DF4A16"/>
    <w:rsid w:val="00E07D70"/>
    <w:rsid w:val="00E10B11"/>
    <w:rsid w:val="00E11704"/>
    <w:rsid w:val="00E12BC9"/>
    <w:rsid w:val="00E15980"/>
    <w:rsid w:val="00E16ABF"/>
    <w:rsid w:val="00E23946"/>
    <w:rsid w:val="00E26C07"/>
    <w:rsid w:val="00E30ACA"/>
    <w:rsid w:val="00E30C50"/>
    <w:rsid w:val="00E313B5"/>
    <w:rsid w:val="00E34725"/>
    <w:rsid w:val="00E356CF"/>
    <w:rsid w:val="00E50621"/>
    <w:rsid w:val="00E55C0E"/>
    <w:rsid w:val="00E5754F"/>
    <w:rsid w:val="00E63063"/>
    <w:rsid w:val="00E675F3"/>
    <w:rsid w:val="00E71778"/>
    <w:rsid w:val="00E86085"/>
    <w:rsid w:val="00E90A8C"/>
    <w:rsid w:val="00E95305"/>
    <w:rsid w:val="00E97313"/>
    <w:rsid w:val="00EB1789"/>
    <w:rsid w:val="00EB3691"/>
    <w:rsid w:val="00EB40EC"/>
    <w:rsid w:val="00EC0FC8"/>
    <w:rsid w:val="00EC1374"/>
    <w:rsid w:val="00EC24D5"/>
    <w:rsid w:val="00EC31DE"/>
    <w:rsid w:val="00EC6896"/>
    <w:rsid w:val="00ED2116"/>
    <w:rsid w:val="00ED5FE5"/>
    <w:rsid w:val="00EE083A"/>
    <w:rsid w:val="00EE119E"/>
    <w:rsid w:val="00EE3008"/>
    <w:rsid w:val="00EE46C5"/>
    <w:rsid w:val="00EF0A63"/>
    <w:rsid w:val="00EF34BF"/>
    <w:rsid w:val="00EF4033"/>
    <w:rsid w:val="00EF58B3"/>
    <w:rsid w:val="00EF7E8E"/>
    <w:rsid w:val="00F011AB"/>
    <w:rsid w:val="00F0608F"/>
    <w:rsid w:val="00F0672E"/>
    <w:rsid w:val="00F06EAC"/>
    <w:rsid w:val="00F212B7"/>
    <w:rsid w:val="00F21A29"/>
    <w:rsid w:val="00F248D0"/>
    <w:rsid w:val="00F25C17"/>
    <w:rsid w:val="00F263F1"/>
    <w:rsid w:val="00F32BD3"/>
    <w:rsid w:val="00F338F5"/>
    <w:rsid w:val="00F4070E"/>
    <w:rsid w:val="00F40DF7"/>
    <w:rsid w:val="00F435F5"/>
    <w:rsid w:val="00F541C5"/>
    <w:rsid w:val="00F55101"/>
    <w:rsid w:val="00F57A72"/>
    <w:rsid w:val="00F629EF"/>
    <w:rsid w:val="00F62FBE"/>
    <w:rsid w:val="00F668F4"/>
    <w:rsid w:val="00F7414D"/>
    <w:rsid w:val="00F769B4"/>
    <w:rsid w:val="00F80038"/>
    <w:rsid w:val="00F80DAF"/>
    <w:rsid w:val="00F95E47"/>
    <w:rsid w:val="00F95F69"/>
    <w:rsid w:val="00F97449"/>
    <w:rsid w:val="00FA52E3"/>
    <w:rsid w:val="00FB333F"/>
    <w:rsid w:val="00FC2C60"/>
    <w:rsid w:val="00FC2FA2"/>
    <w:rsid w:val="00FC61D8"/>
    <w:rsid w:val="00FD3273"/>
    <w:rsid w:val="00FD3902"/>
    <w:rsid w:val="00FD67EE"/>
    <w:rsid w:val="00FD7E00"/>
    <w:rsid w:val="00FE1A5A"/>
    <w:rsid w:val="00FE53FD"/>
    <w:rsid w:val="00FF05A4"/>
    <w:rsid w:val="00FF05F6"/>
    <w:rsid w:val="00FF2C3A"/>
    <w:rsid w:val="00FF466F"/>
    <w:rsid w:val="00FF5B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oNotEmbedSmartTags/>
  <w:decimalSymbol w:val="."/>
  <w:listSeparator w:val=","/>
  <w14:docId w14:val="6C2C1F8F"/>
  <w15:docId w15:val="{5AEABFAC-ADE6-4135-A54D-2F89DF2F23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Georgia" w:eastAsia="Times New Roman" w:hAnsi="Georg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B5FCC"/>
    <w:pPr>
      <w:autoSpaceDE w:val="0"/>
      <w:autoSpaceDN w:val="0"/>
      <w:adjustRightInd w:val="0"/>
    </w:pPr>
    <w:rPr>
      <w:rFonts w:ascii="Arial" w:hAnsi="Arial"/>
      <w:szCs w:val="24"/>
    </w:rPr>
  </w:style>
  <w:style w:type="paragraph" w:styleId="Heading1">
    <w:name w:val="heading 1"/>
    <w:basedOn w:val="Normal"/>
    <w:next w:val="Normal"/>
    <w:qFormat/>
    <w:rsid w:val="00ED2116"/>
    <w:pPr>
      <w:keepNext/>
      <w:autoSpaceDE/>
      <w:autoSpaceDN/>
      <w:adjustRightInd/>
      <w:spacing w:before="160" w:after="20"/>
      <w:jc w:val="center"/>
      <w:outlineLvl w:val="0"/>
    </w:pPr>
    <w:rPr>
      <w:rFonts w:cs="Arial"/>
      <w:bCs/>
      <w:smallCaps/>
      <w:kern w:val="32"/>
      <w:sz w:val="32"/>
      <w:szCs w:val="32"/>
    </w:rPr>
  </w:style>
  <w:style w:type="paragraph" w:styleId="Heading2">
    <w:name w:val="heading 2"/>
    <w:basedOn w:val="Normal"/>
    <w:next w:val="Normal"/>
    <w:link w:val="Heading2Char"/>
    <w:unhideWhenUsed/>
    <w:qFormat/>
    <w:rsid w:val="00F0672E"/>
    <w:pPr>
      <w:numPr>
        <w:ilvl w:val="12"/>
      </w:numPr>
      <w:tabs>
        <w:tab w:val="left" w:pos="-360"/>
        <w:tab w:val="left" w:pos="0"/>
        <w:tab w:val="left" w:pos="1260"/>
        <w:tab w:val="left" w:pos="162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s>
      <w:jc w:val="center"/>
      <w:outlineLvl w:val="1"/>
    </w:pPr>
    <w:rPr>
      <w:b/>
      <w:bCs/>
    </w:rPr>
  </w:style>
  <w:style w:type="paragraph" w:styleId="Heading3">
    <w:name w:val="heading 3"/>
    <w:basedOn w:val="Normal"/>
    <w:next w:val="Normal"/>
    <w:link w:val="Heading3Char"/>
    <w:unhideWhenUsed/>
    <w:qFormat/>
    <w:rsid w:val="00EC31DE"/>
    <w:pPr>
      <w:numPr>
        <w:ilvl w:val="12"/>
      </w:numPr>
      <w:jc w:val="center"/>
      <w:outlineLvl w:val="2"/>
    </w:pPr>
    <w:rPr>
      <w:b/>
      <w:bCs/>
    </w:rPr>
  </w:style>
  <w:style w:type="paragraph" w:styleId="Heading4">
    <w:name w:val="heading 4"/>
    <w:basedOn w:val="Normal"/>
    <w:next w:val="Normal"/>
    <w:link w:val="Heading4Char"/>
    <w:unhideWhenUsed/>
    <w:qFormat/>
    <w:rsid w:val="00F011AB"/>
    <w:pPr>
      <w:jc w:val="center"/>
      <w:outlineLvl w:val="3"/>
    </w:pPr>
    <w:rPr>
      <w:b/>
      <w:cap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F0672E"/>
    <w:rPr>
      <w:b/>
      <w:bCs/>
      <w:sz w:val="24"/>
      <w:szCs w:val="24"/>
    </w:rPr>
  </w:style>
  <w:style w:type="character" w:customStyle="1" w:styleId="Heading3Char">
    <w:name w:val="Heading 3 Char"/>
    <w:basedOn w:val="DefaultParagraphFont"/>
    <w:link w:val="Heading3"/>
    <w:rsid w:val="00EC31DE"/>
    <w:rPr>
      <w:b/>
      <w:bCs/>
      <w:sz w:val="24"/>
      <w:szCs w:val="24"/>
    </w:rPr>
  </w:style>
  <w:style w:type="character" w:customStyle="1" w:styleId="Heading4Char">
    <w:name w:val="Heading 4 Char"/>
    <w:basedOn w:val="DefaultParagraphFont"/>
    <w:link w:val="Heading4"/>
    <w:rsid w:val="00F011AB"/>
    <w:rPr>
      <w:b/>
      <w:caps/>
      <w:sz w:val="24"/>
      <w:szCs w:val="24"/>
    </w:rPr>
  </w:style>
  <w:style w:type="character" w:styleId="FootnoteReference">
    <w:name w:val="footnote reference"/>
    <w:semiHidden/>
  </w:style>
  <w:style w:type="character" w:customStyle="1" w:styleId="Titles">
    <w:name w:val="Titles"/>
    <w:semiHidden/>
    <w:rsid w:val="008B5FCC"/>
    <w:rPr>
      <w:i/>
    </w:rPr>
  </w:style>
  <w:style w:type="paragraph" w:styleId="BalloonText">
    <w:name w:val="Balloon Text"/>
    <w:basedOn w:val="Normal"/>
    <w:semiHidden/>
    <w:rsid w:val="00C4738D"/>
    <w:rPr>
      <w:rFonts w:ascii="Tahoma" w:hAnsi="Tahoma" w:cs="Tahoma"/>
      <w:sz w:val="16"/>
      <w:szCs w:val="16"/>
    </w:rPr>
  </w:style>
  <w:style w:type="character" w:styleId="PageNumber">
    <w:name w:val="page number"/>
    <w:basedOn w:val="DefaultParagraphFont"/>
    <w:rsid w:val="00ED2116"/>
  </w:style>
  <w:style w:type="character" w:styleId="CommentReference">
    <w:name w:val="annotation reference"/>
    <w:basedOn w:val="DefaultParagraphFont"/>
    <w:semiHidden/>
    <w:rsid w:val="00555259"/>
    <w:rPr>
      <w:sz w:val="16"/>
      <w:szCs w:val="16"/>
    </w:rPr>
  </w:style>
  <w:style w:type="paragraph" w:styleId="CommentText">
    <w:name w:val="annotation text"/>
    <w:basedOn w:val="Normal"/>
    <w:semiHidden/>
    <w:rsid w:val="00555259"/>
    <w:rPr>
      <w:szCs w:val="20"/>
    </w:rPr>
  </w:style>
  <w:style w:type="paragraph" w:styleId="CommentSubject">
    <w:name w:val="annotation subject"/>
    <w:basedOn w:val="CommentText"/>
    <w:next w:val="CommentText"/>
    <w:semiHidden/>
    <w:rsid w:val="00555259"/>
    <w:rPr>
      <w:b/>
      <w:bCs/>
    </w:rPr>
  </w:style>
  <w:style w:type="character" w:styleId="Emphasis">
    <w:name w:val="Emphasis"/>
    <w:basedOn w:val="DefaultParagraphFont"/>
    <w:qFormat/>
    <w:rsid w:val="006821E5"/>
    <w:rPr>
      <w:i/>
      <w:iCs/>
    </w:rPr>
  </w:style>
  <w:style w:type="character" w:styleId="Strong">
    <w:name w:val="Strong"/>
    <w:basedOn w:val="DefaultParagraphFont"/>
    <w:uiPriority w:val="22"/>
    <w:qFormat/>
    <w:rsid w:val="00781240"/>
    <w:rPr>
      <w:b/>
      <w:bCs/>
    </w:rPr>
  </w:style>
  <w:style w:type="paragraph" w:styleId="DocumentMap">
    <w:name w:val="Document Map"/>
    <w:basedOn w:val="Normal"/>
    <w:link w:val="DocumentMapChar"/>
    <w:rsid w:val="00725612"/>
    <w:rPr>
      <w:rFonts w:ascii="Tahoma" w:hAnsi="Tahoma" w:cs="Tahoma"/>
      <w:sz w:val="16"/>
      <w:szCs w:val="16"/>
    </w:rPr>
  </w:style>
  <w:style w:type="character" w:customStyle="1" w:styleId="DocumentMapChar">
    <w:name w:val="Document Map Char"/>
    <w:basedOn w:val="DefaultParagraphFont"/>
    <w:link w:val="DocumentMap"/>
    <w:rsid w:val="00725612"/>
    <w:rPr>
      <w:rFonts w:ascii="Tahoma" w:hAnsi="Tahoma" w:cs="Tahoma"/>
      <w:sz w:val="16"/>
      <w:szCs w:val="16"/>
    </w:rPr>
  </w:style>
  <w:style w:type="paragraph" w:styleId="Header">
    <w:name w:val="header"/>
    <w:basedOn w:val="Normal"/>
    <w:link w:val="HeaderChar"/>
    <w:rsid w:val="005C495D"/>
    <w:pPr>
      <w:tabs>
        <w:tab w:val="center" w:pos="4680"/>
        <w:tab w:val="right" w:pos="9360"/>
      </w:tabs>
    </w:pPr>
  </w:style>
  <w:style w:type="character" w:customStyle="1" w:styleId="HeaderChar">
    <w:name w:val="Header Char"/>
    <w:basedOn w:val="DefaultParagraphFont"/>
    <w:link w:val="Header"/>
    <w:rsid w:val="005C495D"/>
    <w:rPr>
      <w:rFonts w:ascii="Arial" w:hAnsi="Arial"/>
      <w:szCs w:val="24"/>
    </w:rPr>
  </w:style>
  <w:style w:type="paragraph" w:styleId="Footer">
    <w:name w:val="footer"/>
    <w:basedOn w:val="Normal"/>
    <w:link w:val="FooterChar"/>
    <w:rsid w:val="005C495D"/>
    <w:pPr>
      <w:tabs>
        <w:tab w:val="center" w:pos="4680"/>
        <w:tab w:val="right" w:pos="9360"/>
      </w:tabs>
    </w:pPr>
  </w:style>
  <w:style w:type="paragraph" w:customStyle="1" w:styleId="AgencyFooter3">
    <w:name w:val="AgencyFooter3"/>
    <w:qFormat/>
    <w:rsid w:val="00A41561"/>
    <w:pPr>
      <w:spacing w:before="40"/>
      <w:jc w:val="center"/>
    </w:pPr>
    <w:rPr>
      <w:rFonts w:ascii="Lucida Bright" w:hAnsi="Lucida Bright"/>
      <w:sz w:val="10"/>
      <w:szCs w:val="12"/>
    </w:rPr>
  </w:style>
  <w:style w:type="paragraph" w:customStyle="1" w:styleId="AgencyFooter">
    <w:name w:val="AgencyFooter"/>
    <w:qFormat/>
    <w:rsid w:val="00A41561"/>
    <w:pPr>
      <w:tabs>
        <w:tab w:val="center" w:pos="4320"/>
        <w:tab w:val="right" w:pos="8640"/>
      </w:tabs>
      <w:spacing w:after="40"/>
      <w:jc w:val="center"/>
    </w:pPr>
    <w:rPr>
      <w:rFonts w:ascii="Lucida Bright" w:hAnsi="Lucida Bright"/>
      <w:sz w:val="16"/>
    </w:rPr>
  </w:style>
  <w:style w:type="paragraph" w:customStyle="1" w:styleId="AgencyFooter2">
    <w:name w:val="AgencyFooter2"/>
    <w:qFormat/>
    <w:rsid w:val="00A41561"/>
    <w:pPr>
      <w:pBdr>
        <w:top w:val="single" w:sz="2" w:space="3" w:color="auto"/>
      </w:pBdr>
      <w:tabs>
        <w:tab w:val="center" w:pos="4320"/>
        <w:tab w:val="right" w:pos="8640"/>
      </w:tabs>
      <w:jc w:val="center"/>
    </w:pPr>
    <w:rPr>
      <w:rFonts w:ascii="Lucida Bright" w:hAnsi="Lucida Bright"/>
      <w:sz w:val="16"/>
      <w:szCs w:val="18"/>
    </w:rPr>
  </w:style>
  <w:style w:type="character" w:customStyle="1" w:styleId="FooterChar">
    <w:name w:val="Footer Char"/>
    <w:basedOn w:val="DefaultParagraphFont"/>
    <w:link w:val="Footer"/>
    <w:rsid w:val="005C495D"/>
    <w:rPr>
      <w:rFonts w:ascii="Arial" w:hAnsi="Arial"/>
      <w:szCs w:val="24"/>
    </w:rPr>
  </w:style>
  <w:style w:type="paragraph" w:customStyle="1" w:styleId="LetterheadNames">
    <w:name w:val="LetterheadNames"/>
    <w:link w:val="LetterheadNamesChar"/>
    <w:qFormat/>
    <w:rsid w:val="00A256A1"/>
    <w:pPr>
      <w:spacing w:after="100"/>
      <w:ind w:left="-360"/>
    </w:pPr>
    <w:rPr>
      <w:rFonts w:ascii="Lucida Bright" w:hAnsi="Lucida Bright"/>
      <w:sz w:val="16"/>
      <w:szCs w:val="18"/>
    </w:rPr>
  </w:style>
  <w:style w:type="paragraph" w:customStyle="1" w:styleId="LetterHeadTitle">
    <w:name w:val="LetterHeadTitle"/>
    <w:qFormat/>
    <w:rsid w:val="00A256A1"/>
    <w:pPr>
      <w:spacing w:before="480" w:after="120"/>
      <w:jc w:val="center"/>
    </w:pPr>
    <w:rPr>
      <w:rFonts w:ascii="Lucida Bright" w:hAnsi="Lucida Bright" w:cs="Arial"/>
      <w:bCs/>
      <w:smallCaps/>
      <w:kern w:val="32"/>
      <w:sz w:val="30"/>
      <w:szCs w:val="32"/>
    </w:rPr>
  </w:style>
  <w:style w:type="paragraph" w:customStyle="1" w:styleId="LetterheadSubheading">
    <w:name w:val="LetterheadSubheading"/>
    <w:qFormat/>
    <w:rsid w:val="00A256A1"/>
    <w:pPr>
      <w:spacing w:before="120" w:after="60"/>
      <w:jc w:val="center"/>
    </w:pPr>
    <w:rPr>
      <w:rFonts w:ascii="Lucida Bright" w:hAnsi="Lucida Bright"/>
      <w:i/>
      <w:sz w:val="16"/>
    </w:rPr>
  </w:style>
  <w:style w:type="paragraph" w:customStyle="1" w:styleId="LetterheadNameTitle">
    <w:name w:val="LetterheadNameTitle"/>
    <w:basedOn w:val="LetterheadNames"/>
    <w:link w:val="LetterheadNameTitleChar"/>
    <w:qFormat/>
    <w:rsid w:val="00A256A1"/>
    <w:rPr>
      <w:i/>
    </w:rPr>
  </w:style>
  <w:style w:type="character" w:customStyle="1" w:styleId="LetterheadNamesChar">
    <w:name w:val="LetterheadNames Char"/>
    <w:link w:val="LetterheadNames"/>
    <w:rsid w:val="00A256A1"/>
    <w:rPr>
      <w:rFonts w:ascii="Lucida Bright" w:hAnsi="Lucida Bright"/>
      <w:sz w:val="16"/>
      <w:szCs w:val="18"/>
    </w:rPr>
  </w:style>
  <w:style w:type="character" w:customStyle="1" w:styleId="LetterheadNameTitleChar">
    <w:name w:val="LetterheadNameTitle Char"/>
    <w:link w:val="LetterheadNameTitle"/>
    <w:rsid w:val="00A256A1"/>
    <w:rPr>
      <w:rFonts w:ascii="Lucida Bright" w:hAnsi="Lucida Bright"/>
      <w:i/>
      <w:sz w:val="16"/>
      <w:szCs w:val="18"/>
    </w:rPr>
  </w:style>
  <w:style w:type="character" w:styleId="Hyperlink">
    <w:name w:val="Hyperlink"/>
    <w:basedOn w:val="DefaultParagraphFont"/>
    <w:unhideWhenUsed/>
    <w:rsid w:val="00FC61D8"/>
    <w:rPr>
      <w:color w:val="0000FF" w:themeColor="hyperlink"/>
      <w:u w:val="single"/>
    </w:rPr>
  </w:style>
  <w:style w:type="character" w:styleId="UnresolvedMention">
    <w:name w:val="Unresolved Mention"/>
    <w:basedOn w:val="DefaultParagraphFont"/>
    <w:uiPriority w:val="99"/>
    <w:semiHidden/>
    <w:unhideWhenUsed/>
    <w:rsid w:val="00FC61D8"/>
    <w:rPr>
      <w:color w:val="605E5C"/>
      <w:shd w:val="clear" w:color="auto" w:fill="E1DFDD"/>
    </w:rPr>
  </w:style>
  <w:style w:type="paragraph" w:styleId="ListParagraph">
    <w:name w:val="List Paragraph"/>
    <w:basedOn w:val="Normal"/>
    <w:uiPriority w:val="34"/>
    <w:qFormat/>
    <w:rsid w:val="004C572C"/>
    <w:pPr>
      <w:widowControl w:val="0"/>
      <w:adjustRightInd/>
      <w:ind w:left="520" w:hanging="360"/>
    </w:pPr>
    <w:rPr>
      <w:rFonts w:eastAsia="Arial" w:cs="Arial"/>
      <w:sz w:val="22"/>
      <w:szCs w:val="22"/>
    </w:rPr>
  </w:style>
  <w:style w:type="character" w:customStyle="1" w:styleId="normaltextrun">
    <w:name w:val="normaltextrun"/>
    <w:basedOn w:val="DefaultParagraphFont"/>
    <w:rsid w:val="00BF3625"/>
  </w:style>
  <w:style w:type="character" w:customStyle="1" w:styleId="eop">
    <w:name w:val="eop"/>
    <w:basedOn w:val="DefaultParagraphFont"/>
    <w:rsid w:val="00BF362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00933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footer" Target="footer3.xml"/><Relationship Id="rId3" Type="http://schemas.openxmlformats.org/officeDocument/2006/relationships/customXml" Target="../customXml/item3.xml"/><Relationship Id="rId21" Type="http://schemas.openxmlformats.org/officeDocument/2006/relationships/hyperlink" Target="https://www.tceq.texas.gov/assets/public/permitting/air/Guidance/NewSourceReview/fnsr_app_determ.pdf" TargetMode="Externa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header" Target="header3.xml"/><Relationship Id="rId25" Type="http://schemas.openxmlformats.org/officeDocument/2006/relationships/customXml" Target="../customXml/item5.xml"/><Relationship Id="rId20" Type="http://schemas.openxmlformats.org/officeDocument/2006/relationships/footer" Target="footer4.xml"/><Relationship Id="rId16" Type="http://schemas.openxmlformats.org/officeDocument/2006/relationships/image" Target="file:///X:\graphics\\electSign\Sshort.jpg"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image" Target="media/image2.jpeg"/><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eader" Target="header4.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header" Target="header5.xml"/></Relationships>
</file>

<file path=word/_rels/footer2.xml.rels><?xml version="1.0" encoding="UTF-8" standalone="yes"?>
<Relationships xmlns="http://schemas.openxmlformats.org/package/2006/relationships"><Relationship Id="rId1" Type="http://schemas.openxmlformats.org/officeDocument/2006/relationships/hyperlink" Target="http://www.tceq.state.tx.u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mso-contentType ?>
<SharedContentType xmlns="Microsoft.SharePoint.Taxonomy.ContentTypeSync" SourceId="29f62856-1543-49d4-a736-4569d363f533" ContentTypeId="0x0101" PreviousValue="false"/>
</file>

<file path=customXml/item3.xml><?xml version="1.0" encoding="utf-8"?>
<ct:contentTypeSchema xmlns:ct="http://schemas.microsoft.com/office/2006/metadata/contentType" xmlns:ma="http://schemas.microsoft.com/office/2006/metadata/properties/metaAttributes" ct:_="" ma:_="" ma:contentTypeName="Document" ma:contentTypeID="0x0101005C58E803282349408D7BA9D93F5BAE02" ma:contentTypeVersion="17" ma:contentTypeDescription="Create a new document." ma:contentTypeScope="" ma:versionID="6a1435dd30549a7edab078b944459d95">
  <xsd:schema xmlns:xsd="http://www.w3.org/2001/XMLSchema" xmlns:xs="http://www.w3.org/2001/XMLSchema" xmlns:p="http://schemas.microsoft.com/office/2006/metadata/properties" xmlns:ns1="http://schemas.microsoft.com/sharepoint/v3" xmlns:ns2="4ffa91fb-a0ff-4ac5-b2db-65c790d184a4" xmlns:ns3="http://schemas.microsoft.com/sharepoint.v3" xmlns:ns4="http://schemas.microsoft.com/sharepoint/v3/fields" xmlns:ns5="99f20e8d-72cb-4a6d-a06b-d0a9d9466ea7" xmlns:ns6="1d5300c2-f757-49bd-abfa-ee99c3934829" targetNamespace="http://schemas.microsoft.com/office/2006/metadata/properties" ma:root="true" ma:fieldsID="675b50462eca857061c75e4c26328102" ns1:_="" ns2:_="" ns3:_="" ns4:_="" ns5:_="" ns6:_="">
    <xsd:import namespace="http://schemas.microsoft.com/sharepoint/v3"/>
    <xsd:import namespace="4ffa91fb-a0ff-4ac5-b2db-65c790d184a4"/>
    <xsd:import namespace="http://schemas.microsoft.com/sharepoint.v3"/>
    <xsd:import namespace="http://schemas.microsoft.com/sharepoint/v3/fields"/>
    <xsd:import namespace="99f20e8d-72cb-4a6d-a06b-d0a9d9466ea7"/>
    <xsd:import namespace="1d5300c2-f757-49bd-abfa-ee99c3934829"/>
    <xsd:element name="properties">
      <xsd:complexType>
        <xsd:sequence>
          <xsd:element name="documentManagement">
            <xsd:complexType>
              <xsd:all>
                <xsd:element ref="ns2:Document_x0020_Creation_x0020_Date" minOccurs="0"/>
                <xsd:element ref="ns2:Creator" minOccurs="0"/>
                <xsd:element ref="ns2:EPA_x0020_Office" minOccurs="0"/>
                <xsd:element ref="ns2:Record" minOccurs="0"/>
                <xsd:element ref="ns3:CategoryDescription" minOccurs="0"/>
                <xsd:element ref="ns2:Identifier" minOccurs="0"/>
                <xsd:element ref="ns2:EPA_x0020_Contributor" minOccurs="0"/>
                <xsd:element ref="ns2:External_x0020_Contributor" minOccurs="0"/>
                <xsd:element ref="ns4:_Coverage" minOccurs="0"/>
                <xsd:element ref="ns2:EPA_x0020_Related_x0020_Documents" minOccurs="0"/>
                <xsd:element ref="ns4:_Source" minOccurs="0"/>
                <xsd:element ref="ns2:Rights" minOccurs="0"/>
                <xsd:element ref="ns1:Language" minOccurs="0"/>
                <xsd:element ref="ns2:j747ac98061d40f0aa7bd47e1db5675d" minOccurs="0"/>
                <xsd:element ref="ns2:TaxKeywordTaxHTField" minOccurs="0"/>
                <xsd:element ref="ns2:TaxCatchAllLabel" minOccurs="0"/>
                <xsd:element ref="ns2:TaxCatchAll" minOccurs="0"/>
                <xsd:element ref="ns5:MediaServiceDateTaken" minOccurs="0"/>
                <xsd:element ref="ns5:MediaServiceMetadata" minOccurs="0"/>
                <xsd:element ref="ns5:MediaServiceFastMetadata" minOccurs="0"/>
                <xsd:element ref="ns1:_ip_UnifiedCompliancePolicyProperties" minOccurs="0"/>
                <xsd:element ref="ns1:_ip_UnifiedCompliancePolicyUIAction" minOccurs="0"/>
                <xsd:element ref="ns5:MediaServiceObjectDetectorVersions" minOccurs="0"/>
                <xsd:element ref="ns5:MediaLengthInSeconds" minOccurs="0"/>
                <xsd:element ref="ns6:SharedWithUsers" minOccurs="0"/>
                <xsd:element ref="ns6:SharedWithDetails" minOccurs="0"/>
                <xsd:element ref="ns5:lcf76f155ced4ddcb4097134ff3c332f" minOccurs="0"/>
                <xsd:element ref="ns5:MediaServiceGenerationTime" minOccurs="0"/>
                <xsd:element ref="ns5:MediaServiceEventHashCode" minOccurs="0"/>
                <xsd:element ref="ns5:MediaServiceOCR" minOccurs="0"/>
                <xsd:element ref="ns5:MediaServiceSearchPropertie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Language" ma:index="17" nillable="true" ma:displayName="Language" ma:default="English" ma:description="Select the document language from the drop down." ma:format="Dropdown" ma:internalName="Language" ma:readOnly="false">
      <xsd:simpleType>
        <xsd:restriction base="dms:Choice">
          <xsd:enumeration value="Arabic (Saudi Arabia)"/>
          <xsd:enumeration value="Bulgarian (Bulgaria)"/>
          <xsd:enumeration value="Chinese (Hong Kong S.A.R.)"/>
          <xsd:enumeration value="Chinese (People's Republic of China)"/>
          <xsd:enumeration value="Chinese (Taiwan)"/>
          <xsd:enumeration value="Croatian (Croatia)"/>
          <xsd:enumeration value="Czech (Czech Republic)"/>
          <xsd:enumeration value="Danish (Denmark)"/>
          <xsd:enumeration value="Dutch (Netherlands)"/>
          <xsd:enumeration value="English"/>
          <xsd:enumeration value="Estonian (Estonia)"/>
          <xsd:enumeration value="Finnish (Finland)"/>
          <xsd:enumeration value="French (France)"/>
          <xsd:enumeration value="German (Germany)"/>
          <xsd:enumeration value="Greek (Greece)"/>
          <xsd:enumeration value="Hebrew (Israel)"/>
          <xsd:enumeration value="Hindi (India)"/>
          <xsd:enumeration value="Hungarian (Hungary)"/>
          <xsd:enumeration value="Indonesian (Indonesia)"/>
          <xsd:enumeration value="Italian (Italy)"/>
          <xsd:enumeration value="Japanese (Japan)"/>
          <xsd:enumeration value="Korean (Korea)"/>
          <xsd:enumeration value="Latvian (Latvia)"/>
          <xsd:enumeration value="Lithuanian (Lithuania)"/>
          <xsd:enumeration value="Malay (Malaysia)"/>
          <xsd:enumeration value="Norwegian (Bokmal) (Norway)"/>
          <xsd:enumeration value="Polish (Poland)"/>
          <xsd:enumeration value="Portuguese (Brazil)"/>
          <xsd:enumeration value="Portuguese (Portugal)"/>
          <xsd:enumeration value="Romanian (Romania)"/>
          <xsd:enumeration value="Russian (Russia)"/>
          <xsd:enumeration value="Serbian (Latin) (Serbia)"/>
          <xsd:enumeration value="Slovak (Slovakia)"/>
          <xsd:enumeration value="Slovenian (Slovenia)"/>
          <xsd:enumeration value="Spanish (Spain)"/>
          <xsd:enumeration value="Swedish (Sweden)"/>
          <xsd:enumeration value="Thai (Thailand)"/>
          <xsd:enumeration value="Turkish (Turkey)"/>
          <xsd:enumeration value="Ukrainian (Ukraine)"/>
          <xsd:enumeration value="Urdu (Islamic Republic of Pakistan)"/>
          <xsd:enumeration value="Vietnamese (Vietnam)"/>
        </xsd:restriction>
      </xsd:simpleType>
    </xsd:element>
    <xsd:element name="_ip_UnifiedCompliancePolicyProperties" ma:index="31" nillable="true" ma:displayName="Unified Compliance Policy Properties" ma:hidden="true" ma:internalName="_ip_UnifiedCompliancePolicyProperties">
      <xsd:simpleType>
        <xsd:restriction base="dms:Note"/>
      </xsd:simpleType>
    </xsd:element>
    <xsd:element name="_ip_UnifiedCompliancePolicyUIAction" ma:index="32"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ffa91fb-a0ff-4ac5-b2db-65c790d184a4" elementFormDefault="qualified">
    <xsd:import namespace="http://schemas.microsoft.com/office/2006/documentManagement/types"/>
    <xsd:import namespace="http://schemas.microsoft.com/office/infopath/2007/PartnerControls"/>
    <xsd:element name="Document_x0020_Creation_x0020_Date" ma:index="2" nillable="true" ma:displayName="Document Date" ma:default="[today]" ma:description="Enter the date this document was last modified. The upload date has been entered by default." ma:format="DateOnly" ma:internalName="Document_x0020_Creation_x0020_Date" ma:readOnly="false">
      <xsd:simpleType>
        <xsd:restriction base="dms:DateTime"/>
      </xsd:simpleType>
    </xsd:element>
    <xsd:element name="Creator" ma:index="3" nillable="true" ma:displayName="Creator" ma:description="Enter the person primarily responsible for the document. The name of the person uploading the document has been entered by default." ma:list="UserInfo" ma:SharePointGroup="0" ma:internalName="Creato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PA_x0020_Office" ma:index="4" nillable="true" ma:displayName="EPA Office" ma:description="Enter the EPA organization primarily responsible for the document. The office of the person uploading the document has been entered by default." ma:internalName="EPA_x0020_Office" ma:readOnly="false">
      <xsd:simpleType>
        <xsd:restriction base="dms:Text">
          <xsd:maxLength value="255"/>
        </xsd:restriction>
      </xsd:simpleType>
    </xsd:element>
    <xsd:element name="Record" ma:index="5" nillable="true" ma:displayName="Record" ma:default="Shared" ma:description="For documents that provide evidence of EPA decisions and actions, select &quot;Shared&quot; (open access) or &quot;Private&quot; (restricted access)." ma:format="Dropdown" ma:internalName="Record" ma:readOnly="false">
      <xsd:simpleType>
        <xsd:restriction base="dms:Choice">
          <xsd:enumeration value="None"/>
          <xsd:enumeration value="Shared"/>
          <xsd:enumeration value="Private"/>
        </xsd:restriction>
      </xsd:simpleType>
    </xsd:element>
    <xsd:element name="Identifier" ma:index="9" nillable="true" ma:displayName="Identifier" ma:description="Enter all EPA identification numbers applicable to this document, one on each line." ma:internalName="Identifier" ma:readOnly="false">
      <xsd:simpleType>
        <xsd:restriction base="dms:Note">
          <xsd:maxLength value="255"/>
        </xsd:restriction>
      </xsd:simpleType>
    </xsd:element>
    <xsd:element name="EPA_x0020_Contributor" ma:index="11" nillable="true" ma:displayName="EPA Contributor" ma:description="Enter an EPA person who contributed to the creation of the document but is not the primary author." ma:list="UserInfo" ma:SharePointGroup="0" ma:internalName="EPA_x0020_Contributo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xternal_x0020_Contributor" ma:index="12" nillable="true" ma:displayName="External Contributor" ma:description="Enter a non-EPA person who contributed to the creation of the document but is not the primary author." ma:internalName="External_x0020_Contributor" ma:readOnly="false">
      <xsd:simpleType>
        <xsd:restriction base="dms:Note">
          <xsd:maxLength value="255"/>
        </xsd:restriction>
      </xsd:simpleType>
    </xsd:element>
    <xsd:element name="EPA_x0020_Related_x0020_Documents" ma:index="14" nillable="true" ma:displayName="Other Related Documents" ma:description="Enter any related document." ma:internalName="EPA_x0020_Related_x0020_Documents" ma:readOnly="false">
      <xsd:simpleType>
        <xsd:restriction base="dms:Note">
          <xsd:maxLength value="255"/>
        </xsd:restriction>
      </xsd:simpleType>
    </xsd:element>
    <xsd:element name="Rights" ma:index="16" nillable="true" ma:displayName="Rights" ma:description="Enter information about intellectual property rights held over the document (e.g. copyright, patent, trademark)." ma:internalName="Rights" ma:readOnly="false">
      <xsd:simpleType>
        <xsd:restriction base="dms:Note">
          <xsd:maxLength value="255"/>
        </xsd:restriction>
      </xsd:simpleType>
    </xsd:element>
    <xsd:element name="j747ac98061d40f0aa7bd47e1db5675d" ma:index="19" nillable="true" ma:taxonomy="true" ma:internalName="j747ac98061d40f0aa7bd47e1db5675d" ma:taxonomyFieldName="Document_x0020_Type" ma:displayName="Document Type" ma:readOnly="false" ma:default="" ma:fieldId="{3747ac98-061d-40f0-aa7b-d47e1db5675d}" ma:sspId="29f62856-1543-49d4-a736-4569d363f533" ma:termSetId="e06cd6a9-a175-4da0-81cb-8dba7aa394ab" ma:anchorId="00000000-0000-0000-0000-000000000000" ma:open="false" ma:isKeyword="false">
      <xsd:complexType>
        <xsd:sequence>
          <xsd:element ref="pc:Terms" minOccurs="0" maxOccurs="1"/>
        </xsd:sequence>
      </xsd:complexType>
    </xsd:element>
    <xsd:element name="TaxKeywordTaxHTField" ma:index="21" nillable="true" ma:taxonomy="true" ma:internalName="TaxKeywordTaxHTField" ma:taxonomyFieldName="TaxKeyword" ma:displayName="Enterprise Keywords" ma:readOnly="false" ma:fieldId="{23f27201-bee3-471e-b2e7-b64fd8b7ca38}" ma:taxonomyMulti="true" ma:sspId="29f62856-1543-49d4-a736-4569d363f533" ma:termSetId="00000000-0000-0000-0000-000000000000" ma:anchorId="00000000-0000-0000-0000-000000000000" ma:open="true" ma:isKeyword="true">
      <xsd:complexType>
        <xsd:sequence>
          <xsd:element ref="pc:Terms" minOccurs="0" maxOccurs="1"/>
        </xsd:sequence>
      </xsd:complexType>
    </xsd:element>
    <xsd:element name="TaxCatchAllLabel" ma:index="23" nillable="true" ma:displayName="Taxonomy Catch All Column1" ma:hidden="true" ma:list="{4e8e0972-4665-4f12-bc19-739219d7aa78}" ma:internalName="TaxCatchAllLabel" ma:readOnly="true" ma:showField="CatchAllDataLabel" ma:web="1d5300c2-f757-49bd-abfa-ee99c3934829">
      <xsd:complexType>
        <xsd:complexContent>
          <xsd:extension base="dms:MultiChoiceLookup">
            <xsd:sequence>
              <xsd:element name="Value" type="dms:Lookup" maxOccurs="unbounded" minOccurs="0" nillable="true"/>
            </xsd:sequence>
          </xsd:extension>
        </xsd:complexContent>
      </xsd:complexType>
    </xsd:element>
    <xsd:element name="TaxCatchAll" ma:index="24" nillable="true" ma:displayName="Taxonomy Catch All Column" ma:hidden="true" ma:list="{4e8e0972-4665-4f12-bc19-739219d7aa78}" ma:internalName="TaxCatchAll" ma:showField="CatchAllData" ma:web="1d5300c2-f757-49bd-abfa-ee99c3934829">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CategoryDescription" ma:index="6" nillable="true" ma:displayName="Description" ma:description="Enter a brief description." ma:internalName="CategoryDescription"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Coverage" ma:index="13" nillable="true" ma:displayName="Coverage" ma:description="Enter the geographic location, jurisdiction, or time period for which the document is relevant." ma:internalName="_Coverage" ma:readOnly="false">
      <xsd:simpleType>
        <xsd:restriction base="dms:Text">
          <xsd:maxLength value="255"/>
        </xsd:restriction>
      </xsd:simpleType>
    </xsd:element>
    <xsd:element name="_Source" ma:index="15" nillable="true" ma:displayName="Source" ma:description="Enter a source from which the document is derived." ma:internalName="_Source"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99f20e8d-72cb-4a6d-a06b-d0a9d9466ea7" elementFormDefault="qualified">
    <xsd:import namespace="http://schemas.microsoft.com/office/2006/documentManagement/types"/>
    <xsd:import namespace="http://schemas.microsoft.com/office/infopath/2007/PartnerControls"/>
    <xsd:element name="MediaServiceDateTaken" ma:index="28" nillable="true" ma:displayName="MediaServiceDateTaken" ma:description="" ma:hidden="true" ma:indexed="true" ma:internalName="MediaServiceDateTaken" ma:readOnly="true">
      <xsd:simpleType>
        <xsd:restriction base="dms:Text"/>
      </xsd:simpleType>
    </xsd:element>
    <xsd:element name="MediaServiceMetadata" ma:index="29" nillable="true" ma:displayName="MediaServiceMetadata" ma:hidden="true" ma:internalName="MediaServiceMetadata" ma:readOnly="true">
      <xsd:simpleType>
        <xsd:restriction base="dms:Note"/>
      </xsd:simpleType>
    </xsd:element>
    <xsd:element name="MediaServiceFastMetadata" ma:index="30" nillable="true" ma:displayName="MediaServiceFastMetadata" ma:hidden="true" ma:internalName="MediaServiceFastMetadata" ma:readOnly="true">
      <xsd:simpleType>
        <xsd:restriction base="dms:Note"/>
      </xsd:simpleType>
    </xsd:element>
    <xsd:element name="MediaServiceObjectDetectorVersions" ma:index="33" nillable="true" ma:displayName="MediaServiceObjectDetectorVersions" ma:description="" ma:hidden="true" ma:indexed="true" ma:internalName="MediaServiceObjectDetectorVersions" ma:readOnly="true">
      <xsd:simpleType>
        <xsd:restriction base="dms:Text"/>
      </xsd:simpleType>
    </xsd:element>
    <xsd:element name="MediaLengthInSeconds" ma:index="34" nillable="true" ma:displayName="MediaLengthInSeconds" ma:hidden="true" ma:internalName="MediaLengthInSeconds" ma:readOnly="true">
      <xsd:simpleType>
        <xsd:restriction base="dms:Unknown"/>
      </xsd:simpleType>
    </xsd:element>
    <xsd:element name="lcf76f155ced4ddcb4097134ff3c332f" ma:index="38" nillable="true" ma:taxonomy="true" ma:internalName="lcf76f155ced4ddcb4097134ff3c332f" ma:taxonomyFieldName="MediaServiceImageTags" ma:displayName="Image Tags" ma:readOnly="false" ma:fieldId="{5cf76f15-5ced-4ddc-b409-7134ff3c332f}" ma:taxonomyMulti="true" ma:sspId="29f62856-1543-49d4-a736-4569d363f533" ma:termSetId="09814cd3-568e-fe90-9814-8d621ff8fb84" ma:anchorId="fba54fb3-c3e1-fe81-a776-ca4b69148c4d" ma:open="true" ma:isKeyword="false">
      <xsd:complexType>
        <xsd:sequence>
          <xsd:element ref="pc:Terms" minOccurs="0" maxOccurs="1"/>
        </xsd:sequence>
      </xsd:complexType>
    </xsd:element>
    <xsd:element name="MediaServiceGenerationTime" ma:index="39" nillable="true" ma:displayName="MediaServiceGenerationTime" ma:hidden="true" ma:internalName="MediaServiceGenerationTime" ma:readOnly="true">
      <xsd:simpleType>
        <xsd:restriction base="dms:Text"/>
      </xsd:simpleType>
    </xsd:element>
    <xsd:element name="MediaServiceEventHashCode" ma:index="40" nillable="true" ma:displayName="MediaServiceEventHashCode" ma:hidden="true" ma:internalName="MediaServiceEventHashCode" ma:readOnly="true">
      <xsd:simpleType>
        <xsd:restriction base="dms:Text"/>
      </xsd:simpleType>
    </xsd:element>
    <xsd:element name="MediaServiceOCR" ma:index="41" nillable="true" ma:displayName="Extracted Text" ma:internalName="MediaServiceOCR" ma:readOnly="true">
      <xsd:simpleType>
        <xsd:restriction base="dms:Note">
          <xsd:maxLength value="255"/>
        </xsd:restriction>
      </xsd:simpleType>
    </xsd:element>
    <xsd:element name="MediaServiceSearchProperties" ma:index="42" nillable="true" ma:displayName="MediaServiceSearchProperties" ma:hidden="true" ma:internalName="MediaServiceSearchProperties" ma:readOnly="true">
      <xsd:simpleType>
        <xsd:restriction base="dms:Note"/>
      </xsd:simpleType>
    </xsd:element>
    <xsd:element name="MediaServiceLocation" ma:index="43"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d5300c2-f757-49bd-abfa-ee99c3934829" elementFormDefault="qualified">
    <xsd:import namespace="http://schemas.microsoft.com/office/2006/documentManagement/types"/>
    <xsd:import namespace="http://schemas.microsoft.com/office/infopath/2007/PartnerControls"/>
    <xsd:element name="SharedWithUsers" ma:index="3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36"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5"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_Source xmlns="http://schemas.microsoft.com/sharepoint/v3/fields" xsi:nil="true"/>
    <Language xmlns="http://schemas.microsoft.com/sharepoint/v3">English</Language>
    <_ip_UnifiedCompliancePolicyUIAction xmlns="http://schemas.microsoft.com/sharepoint/v3" xsi:nil="true"/>
    <j747ac98061d40f0aa7bd47e1db5675d xmlns="4ffa91fb-a0ff-4ac5-b2db-65c790d184a4">
      <Terms xmlns="http://schemas.microsoft.com/office/infopath/2007/PartnerControls"/>
    </j747ac98061d40f0aa7bd47e1db5675d>
    <External_x0020_Contributor xmlns="4ffa91fb-a0ff-4ac5-b2db-65c790d184a4" xsi:nil="true"/>
    <TaxKeywordTaxHTField xmlns="4ffa91fb-a0ff-4ac5-b2db-65c790d184a4">
      <Terms xmlns="http://schemas.microsoft.com/office/infopath/2007/PartnerControls"/>
    </TaxKeywordTaxHTField>
    <Record xmlns="4ffa91fb-a0ff-4ac5-b2db-65c790d184a4">Shared</Record>
    <_ip_UnifiedCompliancePolicyProperties xmlns="http://schemas.microsoft.com/sharepoint/v3" xsi:nil="true"/>
    <Rights xmlns="4ffa91fb-a0ff-4ac5-b2db-65c790d184a4" xsi:nil="true"/>
    <Document_x0020_Creation_x0020_Date xmlns="4ffa91fb-a0ff-4ac5-b2db-65c790d184a4">2024-12-18T19:39:43+00:00</Document_x0020_Creation_x0020_Date>
    <EPA_x0020_Office xmlns="4ffa91fb-a0ff-4ac5-b2db-65c790d184a4" xsi:nil="true"/>
    <CategoryDescription xmlns="http://schemas.microsoft.com/sharepoint.v3" xsi:nil="true"/>
    <Identifier xmlns="4ffa91fb-a0ff-4ac5-b2db-65c790d184a4" xsi:nil="true"/>
    <_Coverage xmlns="http://schemas.microsoft.com/sharepoint/v3/fields" xsi:nil="true"/>
    <Creator xmlns="4ffa91fb-a0ff-4ac5-b2db-65c790d184a4">
      <UserInfo>
        <DisplayName/>
        <AccountId xsi:nil="true"/>
        <AccountType/>
      </UserInfo>
    </Creator>
    <EPA_x0020_Related_x0020_Documents xmlns="4ffa91fb-a0ff-4ac5-b2db-65c790d184a4" xsi:nil="true"/>
    <lcf76f155ced4ddcb4097134ff3c332f xmlns="99f20e8d-72cb-4a6d-a06b-d0a9d9466ea7">
      <Terms xmlns="http://schemas.microsoft.com/office/infopath/2007/PartnerControls"/>
    </lcf76f155ced4ddcb4097134ff3c332f>
    <EPA_x0020_Contributor xmlns="4ffa91fb-a0ff-4ac5-b2db-65c790d184a4">
      <UserInfo>
        <DisplayName/>
        <AccountId xsi:nil="true"/>
        <AccountType/>
      </UserInfo>
    </EPA_x0020_Contributor>
    <TaxCatchAll xmlns="4ffa91fb-a0ff-4ac5-b2db-65c790d184a4" xsi:nil="true"/>
  </documentManagement>
</p:properties>
</file>

<file path=customXml/item5.xml><?xml version="1.0" encoding="utf-8"?>
<?mso-contentType ?>
<SharedContentType xmlns="Microsoft.SharePoint.Taxonomy.ContentTypeSync" SourceId="29f62856-1543-49d4-a736-4569d363f533" ContentTypeId="0x0101" PreviousValue="false"/>
</file>

<file path=customXml/itemProps1.xml><?xml version="1.0" encoding="utf-8"?>
<ds:datastoreItem xmlns:ds="http://schemas.openxmlformats.org/officeDocument/2006/customXml" ds:itemID="{C9256FEF-0BA6-4BB7-8FC8-8AA79ADF2CC8}">
  <ds:schemaRefs>
    <ds:schemaRef ds:uri="http://schemas.microsoft.com/sharepoint/v3/contenttype/forms"/>
  </ds:schemaRefs>
</ds:datastoreItem>
</file>

<file path=customXml/itemProps2.xml><?xml version="1.0" encoding="utf-8"?>
<ds:datastoreItem xmlns:ds="http://schemas.openxmlformats.org/officeDocument/2006/customXml" ds:itemID="{9F6A324F-7A6F-42D5-8B1A-723483B633E4}">
  <ds:schemaRefs>
    <ds:schemaRef ds:uri="Microsoft.SharePoint.Taxonomy.ContentTypeSync"/>
  </ds:schemaRefs>
</ds:datastoreItem>
</file>

<file path=customXml/itemProps3.xml><?xml version="1.0" encoding="utf-8"?>
<ds:datastoreItem xmlns:ds="http://schemas.openxmlformats.org/officeDocument/2006/customXml" ds:itemID="{0ECF42AB-131F-4008-A30F-4338B0B07376}"/>
</file>

<file path=customXml/itemProps4.xml><?xml version="1.0" encoding="utf-8"?>
<ds:datastoreItem xmlns:ds="http://schemas.openxmlformats.org/officeDocument/2006/customXml" ds:itemID="{9E97DAE7-55C9-424C-AA76-FB99083F725C}">
  <ds:schemaRefs>
    <ds:schemaRef ds:uri="http://schemas.microsoft.com/office/2006/metadata/properties"/>
    <ds:schemaRef ds:uri="http://schemas.microsoft.com/office/infopath/2007/PartnerControls"/>
    <ds:schemaRef ds:uri="http://schemas.microsoft.com/sharepoint/v3/fields"/>
    <ds:schemaRef ds:uri="http://schemas.microsoft.com/sharepoint/v3"/>
    <ds:schemaRef ds:uri="4ffa91fb-a0ff-4ac5-b2db-65c790d184a4"/>
    <ds:schemaRef ds:uri="http://schemas.microsoft.com/sharepoint.v3"/>
  </ds:schemaRefs>
</ds:datastoreItem>
</file>

<file path=customXml/itemProps5.xml><?xml version="1.0" encoding="utf-8"?>
<ds:datastoreItem xmlns:ds="http://schemas.openxmlformats.org/officeDocument/2006/customXml" ds:itemID="{DA2AB314-1365-45FB-A61E-C12B109A8232}"/>
</file>

<file path=docProps/app.xml><?xml version="1.0" encoding="utf-8"?>
<Properties xmlns="http://schemas.openxmlformats.org/officeDocument/2006/extended-properties" xmlns:vt="http://schemas.openxmlformats.org/officeDocument/2006/docPropsVTypes">
  <Template>Normal.dotm</Template>
  <TotalTime>18</TotalTime>
  <Pages>8</Pages>
  <Words>4267</Words>
  <Characters>23770</Characters>
  <Application>Microsoft Office Word</Application>
  <DocSecurity>0</DocSecurity>
  <Lines>198</Lines>
  <Paragraphs>55</Paragraphs>
  <ScaleCrop>false</ScaleCrop>
  <HeadingPairs>
    <vt:vector size="2" baseType="variant">
      <vt:variant>
        <vt:lpstr>Title</vt:lpstr>
      </vt:variant>
      <vt:variant>
        <vt:i4>1</vt:i4>
      </vt:variant>
    </vt:vector>
  </HeadingPairs>
  <TitlesOfParts>
    <vt:vector size="1" baseType="lpstr">
      <vt:lpstr>FOP Proposed Permit w/ ED Response to EPA Objection</vt:lpstr>
    </vt:vector>
  </TitlesOfParts>
  <Company>TCEQ</Company>
  <LinksUpToDate>false</LinksUpToDate>
  <CharactersWithSpaces>27982</CharactersWithSpaces>
  <SharedDoc>false</SharedDoc>
  <HLinks>
    <vt:vector size="6" baseType="variant">
      <vt:variant>
        <vt:i4>1572892</vt:i4>
      </vt:variant>
      <vt:variant>
        <vt:i4>11</vt:i4>
      </vt:variant>
      <vt:variant>
        <vt:i4>0</vt:i4>
      </vt:variant>
      <vt:variant>
        <vt:i4>5</vt:i4>
      </vt:variant>
      <vt:variant>
        <vt:lpwstr>http://www.tceq.state.tx.us/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FOP Proposed Permit w/ ED Response to EPA Objection</dc:title>
  <dc:subject>FOP Proposed Permit w/ ED Response to EPA Objection</dc:subject>
  <dc:creator>TCEQ</dc:creator>
  <cp:lastModifiedBy>Theo Ezeji</cp:lastModifiedBy>
  <cp:revision>14</cp:revision>
  <dcterms:created xsi:type="dcterms:W3CDTF">2023-01-23T14:00:00Z</dcterms:created>
  <dcterms:modified xsi:type="dcterms:W3CDTF">2023-01-23T14:31:00Z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0x0101005C58E803282349408D7BA9D93F5BAE02</vt:lpwstr>
  </property>
  <property fmtid="{D5CDD505-2E9C-101B-9397-08002B2CF9AE}" pid="3" name="TaxKeyword">
    <vt:lpwstr/>
  </property>
  <property fmtid="{D5CDD505-2E9C-101B-9397-08002B2CF9AE}" pid="4" name="EPA Subject">
    <vt:lpwstr/>
  </property>
  <property fmtid="{D5CDD505-2E9C-101B-9397-08002B2CF9AE}" pid="5" name="Document Type">
    <vt:lpwstr/>
  </property>
  <property fmtid="{D5CDD505-2E9C-101B-9397-08002B2CF9AE}" pid="6" name="Order">
    <vt:r8>7006800</vt:r8>
  </property>
  <property fmtid="{D5CDD505-2E9C-101B-9397-08002B2CF9AE}" pid="7" name="Record">
    <vt:lpwstr>Shared</vt:lpwstr>
  </property>
  <property fmtid="{D5CDD505-2E9C-101B-9397-08002B2CF9AE}" pid="8" name="Language">
    <vt:lpwstr>English</vt:lpwstr>
  </property>
  <property fmtid="{D5CDD505-2E9C-101B-9397-08002B2CF9AE}" pid="9" name="xd_Signature">
    <vt:bool>false</vt:bool>
  </property>
  <property fmtid="{D5CDD505-2E9C-101B-9397-08002B2CF9AE}" pid="10" name="xd_ProgID">
    <vt:lpwstr/>
  </property>
  <property fmtid="{D5CDD505-2E9C-101B-9397-08002B2CF9AE}" pid="11" name="_ExtendedDescription">
    <vt:lpwstr/>
  </property>
  <property fmtid="{D5CDD505-2E9C-101B-9397-08002B2CF9AE}" pid="12" name="DocumentSetDescription">
    <vt:lpwstr/>
  </property>
  <property fmtid="{D5CDD505-2E9C-101B-9397-08002B2CF9AE}" pid="13" name="_ColorTag">
    <vt:lpwstr/>
  </property>
  <property fmtid="{D5CDD505-2E9C-101B-9397-08002B2CF9AE}" pid="14" name="TriggerFlowInfo">
    <vt:lpwstr/>
  </property>
  <property fmtid="{D5CDD505-2E9C-101B-9397-08002B2CF9AE}" pid="15" name="_SourceUrl">
    <vt:lpwstr/>
  </property>
  <property fmtid="{D5CDD505-2E9C-101B-9397-08002B2CF9AE}" pid="16" name="_SharedFileIndex">
    <vt:lpwstr/>
  </property>
  <property fmtid="{D5CDD505-2E9C-101B-9397-08002B2CF9AE}" pid="17" name="_ColorHex">
    <vt:lpwstr/>
  </property>
  <property fmtid="{D5CDD505-2E9C-101B-9397-08002B2CF9AE}" pid="18" name="_Emoji">
    <vt:lpwstr/>
  </property>
  <property fmtid="{D5CDD505-2E9C-101B-9397-08002B2CF9AE}" pid="19" name="ComplianceAssetId">
    <vt:lpwstr/>
  </property>
  <property fmtid="{D5CDD505-2E9C-101B-9397-08002B2CF9AE}" pid="20" name="TemplateUrl">
    <vt:lpwstr/>
  </property>
</Properties>
</file>